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Adobe Inc.</w:t>
      </w:r>
    </w:p>
    <w:p>
      <w:pPr>
        <w:spacing w:after="60"/>
        <w:rPr>
          <w:color w:val="52514E"/>
          <w:sz w:val="22"/>
          <w:szCs w:val="22"/>
        </w:rPr>
      </w:pPr>
      <w:r>
        <w:rPr>
          <w:color w:val="52514E"/>
          <w:sz w:val="22"/>
          <w:szCs w:val="22"/>
        </w:rPr>
        <w:t xml:space="preserve">ADBE · NASDAQ Global Select Market · ISIN US00724F1012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242,27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282,99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+16,8 % (base +20,7 %)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306,45 USD · mercado 361,21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94.291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Adobe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ADBE / US00724F1012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José (California) · 1982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adobe.com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242,27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190,12 – 363,70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94.291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95.490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1.278 M USD/día (5,1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282,99 USD</w:t>
      </w:r>
      <w:r>
        <w:t xml:space="preserve"> frente a 242,27 · Rentabilidad a 12 meses </w:t>
      </w:r>
      <w:r>
        <w:rPr>
          <w:b/>
          <w:bCs/>
        </w:rPr>
        <w:t xml:space="preserve">+16,8 % (base +20,7 %)</w:t>
      </w:r>
      <w:r>
        <w:t xml:space="preserve"> · Valor intrínseco 306,45 USD · con la prima implícita del mercado: 361,21 (+49,1 %) · Alcista / bajista +38,3 % / -30,2 %</w:t>
      </w:r>
    </w:p>
    <w:p>
      <w:pPr>
        <w:spacing w:after="100"/>
      </w:pPr>
      <w:r>
        <w:rPr>
          <w:b/>
        </w:rPr>
        <w:t xml:space="preserve">La recomendación y por qué.</w:t>
      </w:r>
      <w:r>
        <w:t xml:space="preserve"> Comprar, con convicción media. El valor objetivo es de 306,45 USD, un 26,5 % por encima del precio de 242,27 USD, y esa es la rentabilidad total esperada a 12 meses (no paga dividendo). El alcista gana un 38,3 % y el bajista pierde un 30,2 %: asimetría de 1,27 veces. Las dos reglas dan Comprar; con la prima de riesgo que hoy pide el mercado, el objetivo sube a 361,21 USD (+49,1 %). La razón en una frase: el precio descuenta que Adobe crece un 2 % al año cuando crece un 12 % y sube la guía. La convicción es media, la que sugieren los criterios, porque el bajista pierde más de un 25 %: subiría si el ARR de FY2027 crece por encima del 9 % sin compras y bajaría si Adobe recorta precios de Creative Cloud.</w:t>
      </w:r>
    </w:p>
    <w:p>
      <w:pPr>
        <w:spacing w:after="100"/>
      </w:pPr>
      <w:r>
        <w:rPr>
          <w:b/>
        </w:rPr>
        <w:t xml:space="preserve">El negocio.</w:t>
      </w:r>
      <w:r>
        <w:t xml:space="preserve"> Adobe es el estándar del software creativo y de documentos (Photoshop, Premiere, Acrobat): 23.769 M de ingresos en FY2025, casi todo por suscripción, con un margen EBIT del 36,6 % y un ROIC del 61,6 %, cinco veces su WACC [1]. Su calidad sostiene nuestro caso base (5,9 % anual, la mitad de lo que crece hoy) sin necesitar capital: subió Creative Cloud un 16,7 % en 2025 y el ARR siguió creciendo un 11 % [6, 20].</w:t>
      </w:r>
    </w:p>
    <w:p>
      <w:pPr>
        <w:spacing w:after="100"/>
      </w:pPr>
      <w:r>
        <w:rPr>
          <w:b/>
        </w:rPr>
        <w:t xml:space="preserve">Finanzas.</w:t>
      </w:r>
      <w:r>
        <w:t xml:space="preserve"> Los ingresos crecieron al 16,8 % anual en la década y el BPA al 24,5 %. Convierte en caja el 137 % del beneficio: 10.592 M de flujo libre en los últimos 12 meses, un 11,2 % de la capitalización [1]. Recompró 45.706 M de acciones en diez años; en FY2024-FY2025 más que su flujo libre, con deuda, aunque la deuda neta sigue en 0,1 veces el EBITDA [1].</w:t>
      </w:r>
    </w:p>
    <w:p>
      <w:pPr>
        <w:spacing w:after="100"/>
      </w:pPr>
      <w:r>
        <w:rPr>
          <w:b/>
        </w:rPr>
        <w:t xml:space="preserve">Equipo y gobierno.</w:t>
      </w:r>
      <w:r>
        <w:t xml:space="preserve"> Restan. En 2026 se fueron el director financiero y el responsable del negocio creativo, y el consejero delegado será desde el 1 de diciembre Anil Chakravarthy, que no esperaba el mercado [18, 45]. La remuneración tuvo un 49,23 % de votos en contra en la junta de 2026 y Narayen vendió 49,6 M en acciones tras anunciar su relevo [41, 49].</w:t>
      </w:r>
    </w:p>
    <w:p>
      <w:pPr>
        <w:spacing w:after="100"/>
      </w:pPr>
      <w:r>
        <w:rPr>
          <w:b/>
        </w:rPr>
        <w:t xml:space="preserve">Valoración.</w:t>
      </w:r>
      <w:r>
        <w:t xml:space="preserve"> El DCF da 295,24 USD (+21,9 %) con un WACC alto (11,6 %, beta de 1,26). El DCF inverso dice que el precio supone un crecimiento del 2,0 % anual en FY2027-FY2033, o un margen EBITDA del 33,6 % en vez del 40,5 %: comprar hoy rinde un 13,5 % anual con nuestro caso base. Cotiza a 9,4 veces el EBITDA y 13,5 veces el beneficio, los mínimos de su década (medias de 36,6 y 46,5 veces), y a la mitad del múltiplo del software. Comparables y transacciones darían el doble, pero no los usamos: el mercado no aplica a Adobe un riesgo que los demás no tienen. Discrepamos del mercado en la probabilidad de ese riesgo.</w:t>
      </w:r>
    </w:p>
    <w:p>
      <w:pPr>
        <w:spacing w:after="100"/>
      </w:pPr>
      <w:r>
        <w:rPr>
          <w:b/>
        </w:rPr>
        <w:t xml:space="preserve">Riesgos y catalizadores.</w:t>
      </w:r>
      <w:r>
        <w:t xml:space="preserve"> El mayor riesgo es que la IA generativa convierta la edición creativa en algo gratuito (el bajista: 169,00 USD, −30,2 %) y obligue a Adobe a bajar precios, como sugiere el aplazamiento de las subidas en 2026 [16]. Los comentarios de gestores son más negativos que los números: el pesimismo es la tesis. Catalizadores: llegada de Chakravarthy el 1-dic-2026 y resultados del 4T26 con la guía de FY2027 a mediados de diciembre.</w:t>
      </w:r>
    </w:p>
    <w:p>
      <w:pPr>
        <w:spacing w:after="100"/>
      </w:pPr>
      <w:r>
        <w:rPr>
          <w:b/>
        </w:rPr>
        <w:t xml:space="preserve">Qué cambiaría la decisión.</w:t>
      </w:r>
      <w:r>
        <w:t xml:space="preserve"> Seguiría siendo Comprar por debajo de 291,74 USD y pasaría a Vender por encima de 361,30 USD. Bajaríamos a Mantener si el ARR crece menos del 8 % sin compras, si Adobe rebaja precios de Creative Cloud o si la guía de FY2027 apunta a menos del 6 % de crecimiento.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282,99 USD</w:t>
      </w:r>
      <w:r>
        <w:t xml:space="preserve"> (rentabilidad +16,8 % (base +20,7 %)) · Valor intrínseco: 306,45 USD (+26,5 % sobre 242,27) · con la prima implícita del mercado: 361,21 (+49,1 %)</w:t>
      </w:r>
    </w:p>
    <w:p>
      <w:pPr>
        <w:spacing w:after="100"/>
      </w:pPr>
      <w:r>
        <w:t xml:space="preserve">Adobe es el estándar del trabajo creativo y de documentos: Creative Cloud, Acrobat y Experience Cloud facturaron 23.769 M en FY2025 con un margen EBIT del 36,6 % y un ROIC del 61,6 %, y el ARR crece un 11,2 % [1, 6]. Genera un flujo libre de 10.592 M al año, un 11,2 % de su capitalización.</w:t>
      </w:r>
    </w:p>
    <w:p>
      <w:pPr>
        <w:spacing w:after="100"/>
      </w:pPr>
      <w:r>
        <w:t xml:space="preserve">El precio de 242,27 USD, un 33 % por debajo del máximo de 52 semanas, descuenta que la IA generativa le quita el poder de precios: un crecimiento del 2,0 % anual hasta FY2033. Cotiza a 9,4 veces el EBITDA, el mínimo de su década y la mitad que el software comparable [62, 66, 67, 68, 69, 70, 71, 72, 73, 74, 75, 76, 77, 78, 79].</w:t>
      </w:r>
    </w:p>
    <w:p>
      <w:pPr>
        <w:spacing w:after="100"/>
      </w:pPr>
      <w:r>
        <w:t xml:space="preserve">El mercado acierta en que el riesgo es real: Canva regala software, Google y OpenAI generan imagen y vídeo, y Adobe aplazó sus subidas de precio en 2026 [16, 22, 37]. Se equivoca en la velocidad: los ingresos crecen un 12 %, la guía de FY2026 subió en septiembre y los usuarios superan los 1.000 millones al mes [7]. Para invertir hay que creer que Adobe seguirá cobrando por el flujo de trabajo profesional aunque crear una imagen sea gratis.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17,64 = 174,64 · 12,4x × 23,58 = 292,39 · 16,8x × 25,12 = 422,02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 / 20,7 %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275,06 (nuestro base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306,45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 / -30,2 %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 frente a 11,6 %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frente a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1,27 (&lt; 2); bajista del -30,2 %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246,08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246,08 y 314,43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314,43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361,30 USD, pasaríamos a Vender.</w:t>
      </w:r>
    </w:p>
    <w:p>
      <w:pPr>
        <w:pStyle w:val="ListParagraph"/>
        <w:numPr>
          <w:ilvl w:val="0"/>
          <w:numId w:val="2"/>
        </w:numPr>
        <w:spacing w:after="60"/>
      </w:pPr>
      <w:r>
        <w:t xml:space="preserve">Si el ARR crece menos del 8 % sin compras en el 4T26 o el 1T27, pasaríamos a Mantener.</w:t>
      </w:r>
    </w:p>
    <w:p>
      <w:pPr>
        <w:pStyle w:val="ListParagraph"/>
        <w:numPr>
          <w:ilvl w:val="0"/>
          <w:numId w:val="2"/>
        </w:numPr>
        <w:spacing w:after="60"/>
      </w:pPr>
      <w:r>
        <w:t xml:space="preserve">Si Adobe rebaja los precios de Creative Cloud, revisaríamos el caso base hacia el bajista.</w:t>
      </w:r>
    </w:p>
    <w:p>
      <w:pPr>
        <w:pStyle w:val="ListParagraph"/>
        <w:numPr>
          <w:ilvl w:val="0"/>
          <w:numId w:val="2"/>
        </w:numPr>
        <w:spacing w:after="60"/>
      </w:pPr>
      <w:r>
        <w:t xml:space="preserve">Si la guía de FY2027 apunta a menos del 6 % de crecimiento, pasaríamos a Mantener.</w:t>
      </w:r>
    </w:p>
    <w:p>
      <w:pPr>
        <w:pStyle w:val="ListParagraph"/>
        <w:numPr>
          <w:ilvl w:val="0"/>
          <w:numId w:val="2"/>
        </w:numPr>
        <w:spacing w:after="60"/>
      </w:pPr>
      <w:r>
        <w:t xml:space="preserve">Si el ARR de FY2027 crece por encima del 9 % sin compras,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Adobe es la próxima víctima de la IA generativa: la creación de contenidos se vuelve gratuita, Creative Cloud pierde usuarios de pago frente a Canva y los generadores de Google y OpenAI, y los ingresos se estancan.</w:t>
      </w:r>
    </w:p>
    <w:p>
      <w:pPr>
        <w:keepNext/>
        <w:spacing w:after="100"/>
      </w:pPr>
      <w:r>
        <w:rPr>
          <w:b/>
          <w:bCs/>
        </w:rPr>
        <w:t xml:space="preserve">Lo que creemos nosotros.</w:t>
      </w:r>
    </w:p>
    <w:p>
      <w:pPr>
        <w:spacing w:after="100"/>
      </w:pPr>
      <w:r>
        <w:t xml:space="preserve">El crecimiento se frenará a la mitad (5,9 % anual de media), pero Adobe conserva el flujo de trabajo profesional, los formatos estándar y los clientes empresariales, y cobra la IA dentro de sus planes: el ARR de productos de IA crece más de un 150 % [7].</w:t>
      </w:r>
    </w:p>
    <w:p>
      <w:pPr>
        <w:keepNext/>
        <w:spacing w:after="100"/>
      </w:pPr>
      <w:r>
        <w:rPr>
          <w:b/>
          <w:bCs/>
        </w:rPr>
        <w:t xml:space="preserve">Por qué podemos tener razón.</w:t>
      </w:r>
    </w:p>
    <w:p>
      <w:pPr>
        <w:spacing w:after="100"/>
      </w:pPr>
      <w:r>
        <w:t xml:space="preserve">Porque los datos que mostrarían la sustitución no aparecen todavía: el ARR crece un 11,2 %, la guía sube y la empresa subió precios un 16,7 % en 2025 sin perder crecimiento [6, 20]. A este precio no hace falta tener razón del todo: con un crecimiento del 4 % anual el valor ya supera el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4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crisis</w:t>
      </w:r>
      <w:r>
        <w:t xml:space="preserve">: 9,4 veces el EBITDA y 13,5 veces el beneficio, mínimos de la década.</w:t>
      </w:r>
    </w:p>
    <w:p>
      <w:pPr>
        <w:pStyle w:val="ListParagraph"/>
        <w:numPr>
          <w:ilvl w:val="0"/>
          <w:numId w:val="2"/>
        </w:numPr>
        <w:spacing w:after="60"/>
      </w:pPr>
      <w:r>
        <w:rPr>
          <w:b/>
        </w:rPr>
        <w:t xml:space="preserve">Caja</w:t>
      </w:r>
      <w:r>
        <w:t xml:space="preserve">: 10.592 M de flujo libre, un 11,2 % de la capitalización [1].</w:t>
      </w:r>
    </w:p>
    <w:p>
      <w:pPr>
        <w:pStyle w:val="ListParagraph"/>
        <w:numPr>
          <w:ilvl w:val="0"/>
          <w:numId w:val="2"/>
        </w:numPr>
        <w:spacing w:after="60"/>
      </w:pPr>
      <w:r>
        <w:rPr>
          <w:b/>
        </w:rPr>
        <w:t xml:space="preserve">Crecimiento intacto</w:t>
      </w:r>
      <w:r>
        <w:t xml:space="preserve">: ingresos +12 % en FY2026 y ARR +11,2 % [6, 7].</w:t>
      </w:r>
    </w:p>
    <w:p>
      <w:pPr>
        <w:pStyle w:val="ListParagraph"/>
        <w:numPr>
          <w:ilvl w:val="0"/>
          <w:numId w:val="2"/>
        </w:numPr>
        <w:spacing w:after="60"/>
      </w:pPr>
      <w:r>
        <w:rPr>
          <w:b/>
        </w:rPr>
        <w:t xml:space="preserve">Rentabilidad</w:t>
      </w:r>
      <w:r>
        <w:t xml:space="preserve">: ROIC del 61,6 % y margen EBIT del 36,6 % [1].</w:t>
      </w:r>
    </w:p>
    <w:p>
      <w:pPr>
        <w:pStyle w:val="ListParagraph"/>
        <w:numPr>
          <w:ilvl w:val="0"/>
          <w:numId w:val="2"/>
        </w:numPr>
        <w:spacing w:after="60"/>
      </w:pPr>
      <w:r>
        <w:rPr>
          <w:b/>
        </w:rPr>
        <w:t xml:space="preserve">Recompras</w:t>
      </w:r>
      <w:r>
        <w:t xml:space="preserve">: 24.550 M pendientes hasta 2030, un 26 % del capital al precio de hoy.</w:t>
      </w:r>
    </w:p>
    <w:p>
      <w:pPr>
        <w:pStyle w:val="Heading2"/>
      </w:pPr>
      <w:r>
        <w:t xml:space="preserve">En contra</w:t>
      </w:r>
    </w:p>
    <w:p>
      <w:pPr>
        <w:pStyle w:val="ListParagraph"/>
        <w:numPr>
          <w:ilvl w:val="0"/>
          <w:numId w:val="2"/>
        </w:numPr>
        <w:spacing w:after="60"/>
      </w:pPr>
      <w:r>
        <w:rPr>
          <w:b/>
        </w:rPr>
        <w:t xml:space="preserve">Riesgo de sustitución por la IA</w:t>
      </w:r>
      <w:r>
        <w:t xml:space="preserve">: Canva gratis y generadores de Google y OpenAI [22, 37].</w:t>
      </w:r>
    </w:p>
    <w:p>
      <w:pPr>
        <w:pStyle w:val="ListParagraph"/>
        <w:numPr>
          <w:ilvl w:val="0"/>
          <w:numId w:val="2"/>
        </w:numPr>
        <w:spacing w:after="60"/>
      </w:pPr>
      <w:r>
        <w:rPr>
          <w:b/>
        </w:rPr>
        <w:t xml:space="preserve">Poder de precios en duda</w:t>
      </w:r>
      <w:r>
        <w:t xml:space="preserve">: subidas de Creative Cloud aplazadas en 2026 [16].</w:t>
      </w:r>
    </w:p>
    <w:p>
      <w:pPr>
        <w:pStyle w:val="ListParagraph"/>
        <w:numPr>
          <w:ilvl w:val="0"/>
          <w:numId w:val="2"/>
        </w:numPr>
        <w:spacing w:after="60"/>
      </w:pPr>
      <w:r>
        <w:rPr>
          <w:b/>
        </w:rPr>
        <w:t xml:space="preserve">Cúpula en transición</w:t>
      </w:r>
      <w:r>
        <w:t xml:space="preserve">: consejero delegado nuevo, director financiero interino [18, 45].</w:t>
      </w:r>
    </w:p>
    <w:p>
      <w:pPr>
        <w:pStyle w:val="ListParagraph"/>
        <w:numPr>
          <w:ilvl w:val="0"/>
          <w:numId w:val="2"/>
        </w:numPr>
        <w:spacing w:after="60"/>
      </w:pPr>
      <w:r>
        <w:rPr>
          <w:b/>
        </w:rPr>
        <w:t xml:space="preserve">Gobierno</w:t>
      </w:r>
      <w:r>
        <w:t xml:space="preserve">: 49,23 % de votos en contra de la remuneración en 2026 [41].</w:t>
      </w:r>
    </w:p>
    <w:p>
      <w:pPr>
        <w:pStyle w:val="ListParagraph"/>
        <w:numPr>
          <w:ilvl w:val="0"/>
          <w:numId w:val="2"/>
        </w:numPr>
        <w:spacing w:after="60"/>
      </w:pPr>
      <w:r>
        <w:rPr>
          <w:b/>
        </w:rPr>
        <w:t xml:space="preserve">RPO al +8 %</w:t>
      </w:r>
      <w:r>
        <w:t xml:space="preserve">, por debajo del ARR [16].</w:t>
      </w:r>
    </w:p>
    <w:p>
      <w:pPr>
        <w:pStyle w:val="Heading2"/>
      </w:pPr>
      <w:r>
        <w:t xml:space="preserve">Qué tiene que pasar para que la tesis funcione</w:t>
      </w:r>
    </w:p>
    <w:p>
      <w:pPr>
        <w:spacing w:after="100"/>
      </w:pPr>
      <w:r>
        <w:t xml:space="preserve">La tesis depende del ARR: hoy crece un 11,2 % con Semrush; tiene que seguir por encima del 8 % sin compras para que el precio sea un error. La señal de que no ocurre sería una guía de FY2027 por debajo del 6 % de crecimiento o una rebaja de precios de Creative Cloud: confirmaría el escenario que el mercado ya descuenta.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 mil M (+11,2 %, con Semrush)</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 sin compras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erosiona la base de suscripción.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Creative Cloud Pro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69,99 USD/mes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Rebaja o planes con IA más baratos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poder de precios es lo que el mercado da por perdido.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el crecimiento de los contratos.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10.592 M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 las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no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 (guía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coste de la IA puede comerse el margen.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 11,5x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John Warnock y Charles Geschke fundaron Adobe en 1982 para digitalizar la impresión y la edición; PostScript (1985) fue el primer estándar internacional de impresión por ordenador [19]. Sobre esa base llegaron Illustrator (1987), Photoshop (1990), Premiere (1991) y el formato PDF con Acrobat (1993) [19]. Con Macromedia (2005) y Omniture (2009) añadió la web y la analítica, origen del negocio de experiencia digital [19]. En 2012 lanzó Creative Cloud y pasó de vender licencias a cobrar suscripciones [19]: en FY2025 la suscripción ya fue el 96 % de los ingresos (22.904 de 23.769 M USD) [1]. Magento y Marketo (2018) y Workfront (2020) ampliaron la parte de marketing [19]. La compra de Figma, firmada en septiembre de 2022, se canceló en diciembre de 2023 con una indemnización de 1.000 M USD [1]. En 2023 lanzó Firefly, sus modelos de IA generativa [19]. Shantanu Narayen deja la dirección general el 1-dic-2026 y pasa a presidente ejecutivo; le sustituye Anil Chakravarthy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Warnock y Charles Geschke fundan Adobe para digitalizar la impresión y la edición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PostScript, primer estándar internacional de impresión por ordenador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Photoshop, hoy la aplicación central de Creative Cloud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el formato PDF con Acrobat; en 2003 Acrobat Reader inaugura el modelo gratuito con versión de pago y en 2008 el PDF pasa a estándar abierto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Macromedia (Flash, Dreamweaver)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Omniture (analítica web), base del segmento Digital Experience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y Marketing Cloud: paso de la licencia perpetua a la suscripción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Magento (comercio electrónico) y Marketo (automatización de marketing B2B)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Workfront (gestión del trabajo de marketing) [19]; en 2021, Frame.io (revisión de vídeo)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Firefly (marzo) y cancelación de la compra de Figma (diciembre), con una indemnización de 1.000 M USD pagada en FY2024 [1,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All Apps pasa a Creative Cloud Pro con subida de precio (de 59,99 a 69,99 USD al mes en Norteamérica desde el 17-jun-2025) [20, 21]; acuerdo para comprar Semrush (18-nov-2025)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solo segmento desde el 1T26 [1]; cierre de Semrush por 1.874 M USD (28-abr-2026) y acuerdo por Topaz Labs (340 M USD) [6]; Anil Chakravarthy será consejero delegado desde el 1-dic-2026 y Shantanu Narayen, presidente ejecutivo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Adobe vende software de creación y de documentos y software de marketing para empresas. Hasta FY2025 lo reportaba en tres segmentos: Digital Media (Creative Cloud con Photoshop, Illustrator, Lightroom, Premiere Pro y After Effects; Acrobat; Express y Firefly), con 17.650 M USD; Digital Experience (Adobe Experience Platform, Experience Manager, Commerce, Marketo, Workfront y GenStudio), con 5.860 M USD; y Publishing and Advertising, con 256 M USD [1]. Desde el 1T26 reporta un solo segmento y sigue el negocio por dos grupos de clientes [1]: Creative &amp; Marketing Professionals (Creative Cloud y Digital Experience; 16.303 M USD de suscripciones en FY2025) y Business Professionals &amp; Consumers (Acrobat y Express; 6.495 M USD) [1]. Vende de forma directa a grandes empresas con su fuerza comercial, a particulares y pymes en adobe.com y en las tiendas de aplicaciones, y a través de distribuidores, integradores y fabricantes de equipos [1]. Declara más de 1.000 millones de usuarios activos mensuales en creatividad y productividad [7] y el 87 % de las empresas de la Fortune 100 usa Adobe Experience Cloud [19].</w:t>
      </w:r>
    </w:p>
    <w:p>
      <w:pPr>
        <w:pStyle w:val="Heading2"/>
      </w:pPr>
      <w:r>
        <w:t xml:space="preserve">Cómo gana dinero</w:t>
      </w:r>
    </w:p>
    <w:p>
      <w:pPr>
        <w:spacing w:after="100"/>
      </w:pPr>
      <w:r>
        <w:t xml:space="preserve">Casi todo es suscripción: 22.904 M USD de 23.769 M USD en FY2025 (96 %) [1]. Los contratos duran de 1 a 36 meses y el ingreso se reconoce de forma lineal, de modo que lo que se factura cada trimestre viene sobre todo de contratos firmados antes [1]. Las obligaciones de ejecución pendientes sumaban 22.160 M USD al cierre del 3T26, con un 67 % a reconocer en doce meses [7]. El coste de los ingresos fue de 2.550 M USD en FY2025 (margen bruto del 89 %) e incluye ya el coste de inferencia de la IA [1]; el resultado de explotación fue de 8.706 M USD (36,6 % de las ventas) [1]. El margen depende sobre todo de cuántas suscripciones se renuevan y a qué precio: el coste marginal de un usuario más es bajo. Creative Cloud y Firefly incluyen un número mensual de créditos generativos; los planes gratuitos, unos pocos [1]. La dirección espera un margen de explotación no GAAP de alrededor del 45 % en FY2026 [7].</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Media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Experience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Publishing and Advertising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Media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Experience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Publishing and Advertising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supuso el 10 % de los ingresos ni de las cuentas a cobrar en FY2023-FY2025 [1]. La base va de los usuarios gratuitos de Acrobat Reader y Express (más de 1.000 millones de usuarios activos mensuales en total) a contratos plurianuales con grandes empresas [1, 7]. </w:t>
      </w:r>
      <w:r>
        <w:rPr>
          <w:b/>
        </w:rPr>
        <w:t xml:space="preserve">Poder de precios demostrado:</w:t>
      </w:r>
      <w:r>
        <w:t xml:space="preserve"> en mayo de 2025 Adobe renombró Creative Cloud All Apps como Creative Cloud Pro y subió el plan anual pagado al mes de 59,99 a 69,99 USD en Norteamérica (+16,7 %) desde la renovación posterior al 17-jun-2025, y en el resto del mundo desde el 1-ago-2025 [20, 21]; el plan mensual sin permanencia pasó de 89,99 a 104,99 USD [21]. A la vez creó Creative Cloud Standard (54,99 USD) con acceso limitado a la IA, como escalón de bajada [20, 21]. Fue la segunda subida en menos de dos años [21]. Tras ella, el ARR total creció un 11,5 % en FY2025 y un 11,2 % en el 3T26 (este último con la aportación de Semrush) [1, 6], y la empresa prevé un 10,2 % para el ARR de cierre de FY2026 [7]. Un 3 % de las obligaciones pendientes son pagos no cancelables ni reembolsables de grandes clientes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total de Adobe (mil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 (FY2025); 27,50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(FY2025); +11,2 %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principal desde FY2026; el 3T26 incluye unos 480 M de Semrush [6,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Media ARR (mil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a tipos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8,40 (FY2019), 12,24 (FY2021), 15,17 (FY2023); dejó de publicarse en FY2026 [1, 2, 3, 4,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ejecución pendientes, RPO (mil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 (FY2025); 22,16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(FY2025)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65 % (FY2025) y el 67 % (3T26) se reconoce en 12 meses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suscripción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96,4 % (FY2025); 97,4 %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Suscripción 22.904 M, producto 325 M y servicios 540 M en FY2025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 Business Professionals &amp; Consumers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5.662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 (FY2025); 1.905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(FY2025); +16 %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Acrobat y Express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 Creative &amp; Marketing Professionals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14.749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 (FY2025); 4.651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(FY2025); +13 %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y Digital Experience; el 3T26 incluye Semrush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de Digital Experience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Media: 96 % y 95 %; Publishing and Advertising: 68 % y 67 %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creación de contenido (imagen, diseño, vídeo, ilustración, maquetación) y el de documentos PDF, a escala mundial y para profesionales, empresas y consumidores; el software de marketing de Digital Experience es un mercado distinto y aquí solo se toca de pasada. Hay dos estimaciones independientes: Global Industry Analysts sitúa el software creativo en 9.800 M USD en 2024 y 14.100 M USD en 2030 (6,3 % anual) [33], y Lucintel prevé 4.400 M USD para el software PDF en 2031, con un 12,1 % anual desde 2025 [34]. Ambas se quedan cortas: solo el segmento Digital Media de Adobe facturó 17.650 M USD en FY2025 [1], más que las dos juntas, y Canva cerró 2025 con 4.000 M USD de ARR [22]. Se usa la serie de Global Industry Analysts como orientación de crecimiento, no de tamaño; los años intermedios son estimación propia interpolada con su tasa 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9.800 M USD en 2024 en software creativo según Global Industry Analysts [33], más ≈ 2.200 M USD de software PDF en 2025 (estimación propia: 4.400 M USD en 2031 descontados al 12,1 % anual que da Lucintel [34]). Los ingresos de los principales proveedores superan esas cifras: Adobe Digital Media 17.650 M USD (FY2025) [1], Canva 4.000 M USD de ARR (2025) [22] y Figma 1.056 M USD (2025)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software creativo mundial, Global Industry Analysts; 2025e-2029e interpolado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como nueva fuente de ingresos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de los productos de IA de Adobe creció más de un 150 % en el 3T26 [7]; Firefly lleva más de 29.000 millones de imágenes generadas [19]; el 80 % de los clientes de Figma con más de 10.000 USD de ARR consume créditos de IA cada semana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Ampliación de la base de usuarios con modelos gratuitos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superó los 1.000 millones de usuarios activos mensuales en el 3T26 [7]; Canva tiene más de 265 millones, de ellos 31 millones de pago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ligadas a la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Pro: de 59,99 a 69,99 USD al mes en Norteamérica desde junio de 2025 (+16,7 %) [20, 21]; el ARR total siguió creciendo un 11,2 % en el 3T26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inferencia de la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 suscripción de Adobe incluye ya la inferencia de IA; los costes de alojamiento y centros de datos aportaron 8 puntos de su subida en FY2025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Herramientas gratuitas y modelos de IA de propósito general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Canva hizo gratuita Affinity (fotografía, vectores y maquetación) en octubre de 2025 [37]; la aplicación Gemini superaba los 650 millones de usuarios mensuales y Veo 3 había generado más de 230 millones de vídeos en el 3T25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Presupuestos de marketing de las empresas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Experience creció un 9 % en FY2025 (5.860 M USD) frente al 11 % de Digital Media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Figma crece un 48 % (2T26, 370,1 M USD) [27], Canva llegó a 4.000 M USD de ARR con un 20 % más de usuarios en 2025 [22] y regala Affinity desde octubre de 2025 [37]; Adobe define su mercado como de innovación rápida, barreras de entrada limitadas y clientes sensibles al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llega al 10 % de los ingresos [1] y Adobe subió un 16,7 % el plan completo de Creative Cloud en 2025 sin que el ARR dejara de crecer a doble dígito [6, 20, 21]. El acuerdo con el Departamento de Justicia (marzo de 2026) le obliga a facilitar la baja y a explicar la penalización por cancelación anticipada [38].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integra modelos de Google (Gemini, Veo), OpenAI, Runway, Luma, Kling, Black Forest Labs y ElevenLabs en sus aplicaciones [35] y depende de su calendario: Google retira Gemini 2.5 con Nano Banana desde el 2-oct-2026 [35]. El alojamiento y los centros de datos de terceros son la mayor partida del coste de suscripción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laboratorios de IA llegan con escala: Gemini superaba los 650 millones de usuarios mensuales en el 3T25 [36]. Adobe reconoce barreras de entrada limitadas y entrada frecuente de competidores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de IA generan imagen y vídeo dentro del chat: más de 230 millones de vídeos con Veo 3 [36] y 26 millones de conversaciones con la aplicación de Canva dentro de ChatGPT hasta octubre de 2025 [22].</w:t>
            </w:r>
          </w:p>
        </w:tc>
      </w:tr>
    </w:tbl>
    <w:p>
      <w:pPr>
        <w:spacing w:after="160" w:before="0"/>
      </w:pPr>
    </w:p>
    <w:p>
      <w:pPr>
        <w:pStyle w:val="Heading2"/>
      </w:pPr>
      <w:r>
        <w:t xml:space="preserve">Ciclo</w:t>
      </w:r>
    </w:p>
    <w:p>
      <w:pPr>
        <w:spacing w:after="100"/>
      </w:pPr>
      <w:r>
        <w:t xml:space="preserve">La suscripción hace el sector poco cíclico: los ingresos de Adobe crecieron un 15,2 % en FY2020 y un 11,5 % en FY2022 [5]. En FY2009, cuando aún vendía licencias, cayeron un 17,7 % [5], y en FY2013 bajaron un 7,9 % por el paso a la suscripción [5]. Hoy el crecimiento se modera sin caída: el ARR total crecía un 11,5 % en FY2025 [1], un 11,2 % en el 3T26 con Semrush [6] y la guía de FY2026 es del 10,2 % [7]; Figma (+48 %) y Canva crecen más deprisa [22, 27].</w:t>
      </w:r>
    </w:p>
    <w:p>
      <w:pPr>
        <w:pStyle w:val="Heading2"/>
      </w:pPr>
      <w:r>
        <w:t xml:space="preserve">Regulación</w:t>
      </w:r>
    </w:p>
    <w:p>
      <w:pPr>
        <w:spacing w:after="100"/>
      </w:pPr>
      <w:r>
        <w:t xml:space="preserve">Las obligaciones de la Ley de IA de la UE entran en vigor por fases hasta 2030 y Adobe dice que parte de su actividad está sujeta a ella, con multas para quien no cumpla [1]. También le afectan la Ley de Servicios Digitales de la UE y el RGPD [1]. En EE. UU., la ley ROSCA de suscripciones en línea: el 13-mar-2026 Adobe pactó con el Departamento de Justicia 75 M USD de multa y 75 M USD en servicios gratuitos para los clientes, y deberá explicar la penalización por baja anticipada y ofrecer formas sencillas de cancelar [38]. El 10-K no cuantifica el efecto en ingresos [1].</w:t>
      </w:r>
    </w:p>
    <w:p>
      <w:pPr>
        <w:pStyle w:val="Heading2"/>
      </w:pPr>
      <w:r>
        <w:t xml:space="preserve">Tendencias y disrupción</w:t>
      </w:r>
    </w:p>
    <w:p>
      <w:pPr>
        <w:spacing w:after="100"/>
      </w:pPr>
      <w:r>
        <w:t xml:space="preserve">La IA generativa baja el coste de crear y amplía el número de creadores: Adobe pasó de los 1.000 millones de usuarios mensuales [7] y Canva sumó un 20 % de usuarios en 2025 [22]. A la vez rebaja el valor de la herramienta sin más: Canva regala Affinity [37], Google ofrece generación de imagen y vídeo en Gemini [36] y ChatGPT aloja ya la aplicación de Canva [22]. La respuesta de Adobe es doble: modelos Firefly entrenados con contenido con licencia y con indemnización por propiedad intelectual para empresas [1], y abrir sus aplicaciones a modelos de terceros (Google, OpenAI, Runway, Kling y otros) [35]. Figma se mueve hacia el código y los agentes (Code Layers, agente propio) [27].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proveedor por ingresos del software creativo y de documentos: Digital Media facturó 17.650 M USD en FY2025 [1], frente a 4.000 M USD de ARR de Canva [22] y 1.056 M USD de ingresos de Figma en 2025 [26]. En software de marketing (Digital Experience, 5.860 M USD [1]) compite con Salesforce (41.525 M USD de ingresos totales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ni publica cuentas: 4.000 M USD de ARR al cierre de 2025, más de 265 millones de usuarios mensuales y 31 millones de pago; su negocio con empresas de más de 25 puestos dobló hasta 500 M USD de ARR [22]. Hizo gratuita Affinity en octubre de 2025 y cobra solo la IA [37]. Última valoración: 42.000 M USD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Figma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 de interfaces colaborativo. Pérdida de explotación de 1.290,5 M USD en 2025 por 1.364,1 M USD de pagos en acciones tras su salida a bolsa [26]. En el 2T26 creció un 48 % (370,1 M USD), retención neta del 136 %, margen de explotación GAAP del −32 % y no GAAP del 10 %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 de escala y de márgenes en software (ejercicio a junio de 2026) [25]; compite con Acrobat en productividad documental y con Digital Experience en datos de clientes.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de Digital Experience en plataformas de datos y de marketing (ejercicio a enero de 2026)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diseño 3D y para ingeniería por suscripción (ejercicio a enero de 2026) [23]; se solapa con Substance 3D y en efectos visuales.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webs para pymes con IA; resultado de explotación de 1,8 M USD en 2025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Shutterstock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SSTK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de imágenes y licencias de datos para entrenar IA [29]; compite con Adobe Stock. La fusión con Getty se canceló el 7-jul-2026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Getty Images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de imágenes; el resultado de explotación cayó de 180,8 a 83,9 M USD en 2025 [30]. La NYSE suspendió su cotización el 29-sep-2026 y negocia con acreedores y accionistas [32].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PDF es estándar abierto desde 2008 y se han abierto 400.000 millones de PDF [4]; Behance suma más de 50 millones de miembros [4]. Los formatos de archivo y la formación crean comunidad, pero no un efecto de red como el de la edición colaborativa de Figma o Canva.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96 % de los ingresos es suscripción [1]; la subida del 16,7 % de Creative Cloud Pro en 2025 [5, 6] convivió con un ARR que crecía un 11,5 % en FY2025 [1]. La sanción de 2026 por dificultar la baja [24] muestra que parte de esa retención se apoyaba en la penalización por cancelación.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Photoshop, Acrobat y PDF son referencia desde 1990-1993 [4]; Firefly se entrena con contenido con licencia o de dominio público y Adobe ofrece indemnización por propiedad intelectual a empresas [1]; el 87 % de la Fortune 100 usa Experience Cloud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89 % y de explotación del 36,6 % en FY2025 [1], frente al 21,9 % de Autodesk [9] y el 20,1 % de Salesforce [10]. La inferencia de IA ya pesa en el coste de suscripción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Media (17.650 M USD) multiplica por cuatro el ARR de Canva y por diecisiete los ingresos de Figma [1, 7, 12], pero la IA abre el mercado a empresas con más escala, como Google (650 millones de usuarios en Gemini) [22].</w:t>
            </w:r>
          </w:p>
        </w:tc>
      </w:tr>
    </w:tbl>
    <w:p>
      <w:pPr>
        <w:spacing w:after="160" w:before="0"/>
      </w:pPr>
    </w:p>
    <w:p>
      <w:pPr>
        <w:pStyle w:val="Heading2"/>
      </w:pPr>
      <w:r>
        <w:t xml:space="preserve">Amenazas</w:t>
      </w:r>
    </w:p>
    <w:p>
      <w:pPr>
        <w:spacing w:after="100"/>
      </w:pPr>
      <w:r>
        <w:t xml:space="preserve">La amenaza principal es que la IA generativa convierta en mercancía la parte básica de la creación: Google genera imagen y vídeo dentro de Gemini [36], ChatGPT ya aloja aplicaciones de diseño como la de Canva [22], Canva regala la suite Affinity y cobra solo la IA [37] y Figma crece un 48 % llevando el diseño al código y a los agentes [27]. Eso presiona los precios justo cuando Adobe los ha subido un 16,7 % [20, 21] y cuando la guía de ARR baja al 10,2 % para FY2026 [7]. La segunda es de margen: Adobe paga la inferencia y depende de modelos de terceros que puede perder (Google retira Gemini 2.5 desde el 2-oct-2026) [1, 35]. La tercera, regulatoria: el pacto con el Departamento de Justicia obliga a facilitar las bajas [38].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Crecimiento anual compuesto FY2016-FY2025: ingresos </w:t>
      </w:r>
      <w:r>
        <w:rPr>
          <w:b/>
          <w:bCs/>
        </w:rPr>
        <w:t xml:space="preserve">16,8 %</w:t>
      </w:r>
      <w:r>
        <w:t xml:space="preserve">, EBITDA </w:t>
      </w:r>
      <w:r>
        <w:rPr>
          <w:b/>
          <w:bCs/>
        </w:rPr>
        <w:t xml:space="preserve">20,2 %</w:t>
      </w:r>
      <w:r>
        <w:t xml:space="preserve">, BPA </w:t>
      </w:r>
      <w:r>
        <w:rPr>
          <w:b/>
          <w:bCs/>
        </w:rPr>
        <w:t xml:space="preserve">24,5 %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5.854 M USD en FY2016 a 23.769 M en FY2025, una tasa compuesta del 16,9 % [5], con dos escalones de compras: Magento y Marketo en FY2018 y Workfront y Frame.io en FY2021 [3, 4]. Desde FY2022 el crecimiento es casi todo orgánico y se ha estabilizado en el 10-12 % anual (FY2025: +10,5 %; 9M FY2026: +12,5 %, con Semrush desde el 28-abr-2026) [1, 6].</w:t>
      </w:r>
    </w:p>
    <w:p>
      <w:pPr>
        <w:spacing w:after="100"/>
      </w:pPr>
      <w:r>
        <w:t xml:space="preserve">El margen EBIT pasó del 25,5 % (FY2016) al 36,6 % (FY2025). El margen bruto se mantiene en el 89 % [1] y la mejora viene del apalancamiento de los gastos de I+D, ventas y administración. FY2024 (31,3 %) no es comparable: incluye la indemnización de 1.000 M USD por la ruptura de la compra de Figma y 78 M de deterioros de activos por derechos de uso de oficinas [1]. FY2020 lleva un beneficio fiscal no recurrente de 1.350 M por el traspaso de propiedad intelectual a Irlanda, que llevó el beneficio neto a 5.260 M y el BPA a 10,83 USD [3]. Los pagos en acciones (1.942 M en FY2025, el 8,2 % de las ventas) están dentro del EBIT y del EBITDA, como exige US GAAP [5].</w:t>
      </w:r>
    </w:p>
    <w:p>
      <w:pPr>
        <w:pStyle w:val="Heading2"/>
      </w:pPr>
      <w:r>
        <w:t xml:space="preserve">Ajustes y partidas no recurrentes</w:t>
      </w:r>
    </w:p>
    <w:p>
      <w:pPr>
        <w:spacing w:after="100"/>
      </w:pPr>
      <w:r>
        <w:t xml:space="preserve">Se usan cifras US GAAP. La empresa publica cifras no GAAP que excluyen los pagos en acciones y la remuneración diferida, la amortización de intangibles adquiridos, las ganancias y pérdidas de inversiones, partidas no recurrentes y ajustes fiscales, con un tipo impositivo fijo del 18 % para FY2026-FY2028 [7]. En FY2025 el BPA no GAAP fue de 20,94 USD frente a 16,70 GAAP [10]; en el 3T26, 6,13 frente a 4,62 [7]. Partidas no recurrentes dentro del EBITDA: en FY2024, la indemnización a Figma (1.000 M) y los deterioros de oficinas (78 M) [1]; en el LTM a ago-26, la contingencia por litigios, que incluye el acuerdo con el Departamento de Justicia de EE. UU. por las prácticas de cancelación de suscripciones (62 M en el 1T26 y 30 M en el 2T26), y un deterioro del fondo de comercio de Publishing &amp; Advertising de 70 M (2T26) [6, 8, 9]. Los gastos de adquisición (25 M en 9M26) se dejan como recurrentes.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(11-jun-2026) la dirección anunció un giro estratégico: llevar más tráfico a las versiones gratuitas (freemium) de Firefly, Express y Acrobat para captar usuarios y aplazar las subidas de precio de Creative Cloud previstas para el segundo semestre [17]. Reconoció que eso reduce el crecimiento del ARR de suscriptores individuales en la segunda mitad: la mitad del efecto viene del aplazamiento de precios y la otra mitad del empuje freemium [17]. Mantuvo el objetivo de crecimiento del ARR total del 10,2 % para FY2026, pero ahora incluye a Semrush (unos 480 M de ARR) [8, 17]. Los usuarios activos mensuales freemium de creatividad pasaron de 50 a 90 millones en un año [17].</w:t>
      </w:r>
    </w:p>
    <w:p>
      <w:pPr>
        <w:spacing w:after="100"/>
      </w:pPr>
      <w:r>
        <w:t xml:space="preserve">En la del 3T26 (10-sep-2026), la primera con Anil Chakravarthy como consejero delegado designado, el discurso pasó a los agentes de IA (software agéntico) y a los más de 1.000 millones de usuarios mensuales [16]. Las preguntas se repitieron sobre tres puntos: el RPO, que creció solo un 8 % interanual (cRPO +9 %), según un analista el primer crecimiento de un dígito desde principios de FY2023; la caída de en torno al 36-37 % del ARR neto nuevo, según un analista; y cuándo volverán las subidas de precio [16]. El director financiero interino atribuyó el RPO a la estrategia freemium y a la estacionalidad; Narayen se alegró de no haber subido precios, y nadie dio fecha para retomarlos ni cuantificó cada efecto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(FY2018: Marketo (4.730 M USD, oct-2018) y Magento (1.640 M USD, jun-2018): el fondo de comercio pasa de 5.822 a 10.581 M y la deuda de 1.881 a 4.125 M; Marketo solo aporta un trimestre a la cuenta.; FY2021: Workfront (1.520 M USD, 1T FY2021) y Frame.io (1.180 M USD, 4T FY2021, casi sin aportar a la cuenta del año).).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Adobe opera con circulante negativo: los ingresos diferidos (7.094 M a corto plazo en ago-26 frente a 3.378 M en FY2019) financian el negocio porque las suscripciones se cobran por adelantado [5, 6]. La deuda bruta subió de 1.892 M en FY2016 a 4.125 M en FY2018 por Marketo, se mantuvo en torno a 4.100 M hasta FY2022 y pasó a 6.210 M en FY2025 tras emitir 2.000 M en abril de 2024 y otros 2.000 M en enero de 2025, a la vez que la caja bajó de 7.886 M (FY2024) a 6.595 M (FY2025) [1, 5]. Las emisiones financian en parte recompras superiores al flujo libre: el patrimonio neto cayó de 16.518 M (FY2023) a 11.623 M (FY2025) con 48.847 M de autocartera acumulada [1]. A 28-ago-2026 la deuda neta de caja e inversiones a corto plazo era de unos 724 M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56.773</w:t>
      </w:r>
      <w:r>
        <w:t xml:space="preserve">, conversión </w:t>
      </w:r>
      <w:r>
        <w:rPr>
          <w:b/>
          <w:bCs/>
        </w:rPr>
        <w:t xml:space="preserve">137 %</w:t>
      </w:r>
      <w:r>
        <w:t xml:space="preserve"> del beneficio neto; adquisiciones 9.748, dividendos 0, recompras 45.706.</w:t>
      </w:r>
    </w:p>
    <w:p>
      <w:pPr>
        <w:spacing w:after="100"/>
      </w:pPr>
      <w:r>
        <w:t xml:space="preserve">La conversión de beneficio en caja es alta y estable: el flujo operativo supera al beneficio neto todos los años salvo FY2020 (por el beneficio fiscal no monetario de 1.350 M) [3, 5]. La caja la impulsan el cobro anticipado de las suscripciones (los ingresos diferidos sumaron 771 M al flujo de FY2025) y los pagos en acciones, que no consumen caja (1.942 M en FY2025) [1]. FY2024 es anómalo: los 1.000 M pagados a Figma restaron caja y el flujo operativo fue de 8.056 M frente a 10.031 M en FY2025 [1]. El capex es pequeño (179 M en FY2025, el 0,8 % de las ventas, frente a 442 M en FY2022 cuando se construían oficinas en San José) y la empresa no separa mantenimiento y crecimiento; el gasto en centros de datos de terceros va en la cuenta como coste de ventas [1, 5]. Los intereses pagados (246 M en FY2025) van en el flujo operativo [1]. Además de las recompras, Adobe paga los impuestos de la liquidación neta de acciones de los empleados (475 M en FY2025, 677 M en FY2024), que el cuadro no recoge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(Santa Clara, California)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a Adobe desde 1983 y su opinión sobre las cuentas y el control interno de FY2025 es favorable; la cuestión clave de auditoría es la suficiencia de la evidencia sobre los ingresos por suscripciones vendidas en la tienda en línea, por el número de sistemas implicados [1]. El reconocimiento de ingresos es sencillo: el 96 % son suscripciones que se reconocen linealmente [1]. Los pagos en acciones son la mayor diferencia entre el beneficio contable y el que presenta la dirección: 1.942 M en FY2025, el 27 % del beneficio neto, y 1.614 M en 9M FY2026 [5, 6]. No se capitaliza I+D. La amortización de intangibles adquiridos baja (310 M en FY2025) y el deterioro de 70 M del fondo de comercio de Publishing &amp; Advertising (2T26) es el primero del periodo [5, 6]. El tipo impositivo de FY2020 (−26 %) refleja el beneficio de 1.350 M por el traspaso de propiedad intelectual a Irlanda [3]. Desde el 1T FY2026 Adobe informa como un solo segmento, lo que reduce la información por negocio [6].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1.942 M USD en FY2025 (8,2 % de las ventas y 27 % del beneficio neto); el BPA no GAAP los excluye y la diferencia con el GAAP es de 4,24 USD por acción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detalle por segmentos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1T FY2026 hay un solo segmento y Digital Media ARR se sustituye por el ARR total de Adobe; ya no se publican los márgenes brutos de Digital Media y Digital Experience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por encima del flujo libre financiadas con deuda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FY2024-FY2025 se recompraron 20.781 M frente a 17.725 M de flujo operativo menos capex; la deuda bruta pasó de 3.634 a 6.210 M y el patrimonio neto de 16.518 a 11.623 M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Indemnización a Figma de 1.000 M (FY2024), deterioros de oficinas de 78 M (FY2024), contingencias legales de 92 M y deterioro del fondo de comercio de 70 M (9M FY2026)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colectiva de accionistas y demandas derivadas por las declaraciones sobre Figma, sin estimación de pérdida; el caso del Departamento de Justicia sobre las cancelaciones se cerró con acuerdo en marzo de 2026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84,3 % · </w:t>
      </w:r>
      <w:r>
        <w:rPr>
          <w:b/>
          <w:bCs/>
        </w:rPr>
        <w:t xml:space="preserve">WACC</w:t>
      </w:r>
      <w:r>
        <w:t xml:space="preserve">: 11,6 %.</w:t>
      </w:r>
    </w:p>
    <w:p>
      <w:pPr>
        <w:spacing w:after="100"/>
      </w:pPr>
      <w:r>
        <w:rPr>
          <w:b/>
        </w:rPr>
        <w:t xml:space="preserve">Adobe crea mucho valor, y cada vez más.</w:t>
      </w:r>
      <w:r>
        <w:t xml:space="preserve"> El ROIC después de impuestos ha subido del 26,7 % de FY2016 al 61,6 % de FY2025, cinco veces el WACC del 11,6 %. Lo explican un margen EBIT que pasó del 25,5 % al 36,6 % y un capital invertido que no crece: las recompras (45.706 M en la década) han reducido el patrimonio a 11.623 M [1, 5]. Las compras pesan poco (9.748 M en la década) y la mayor, la de Figma, se anuló con un coste de 1.000 M en FY2024 [1]. Microsoft tiene más margen (58,5 % de EBITDA), pero el resto del software de los comparables queda entre el 13 % y el 31 % [73, 74, 75, 76, 77, 78].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28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28-ago-2026: efectivo de 4.359 M USD e inversiones a corto plazo de 1.280 M (5.639 M en total), más una línea de crédito revolving no dispuesta de 1.500 M (ampliable a 2.000 M, firmada en junio de 2022 a cinco años) y un programa de pagarés de hasta 3.000 M, del que había 250 M en circulación al 3,77 % [6]. Deuda bruta de 6.363 M (bonos de 6.150 M a la par y 250 M de pagarés) [6].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bonos no tienen covenants financieros; los de febrero de 2020 llevan recompra al 101 % por cambio de control y límites a garantías y a ventas con arrendamiento posterior [6]. Swaps de tipo de interés sobre 2.700 M de nocional que pasan a variable (SOFR OIS) parte de los bonos [6]. Arrendamientos operativos: pasivo de 399 M a 28-ago-2026 (438 M al cierre de FY2025); en US GAAP su gasto ya está dentro del EBITDA, por eso no se suman a la deuda [1, 6]. Impuestos a pagar a largo plazo de 567 M [6]. No hay pensiones de prestación definida relevantes. Litigios abiertos: demanda colectiva de accionistas por las declaraciones sobre la competencia de Figma (periodo de jul-2021 a sep-2022) y demandas derivadas, sin estimación posible de pérdida; el caso del Departamento de Justicia sobre la cancelación de suscripciones se cerró con un acuerdo el 12-mar-2026 [6].</w:t>
      </w:r>
    </w:p>
    <w:p>
      <w:pPr>
        <w:pStyle w:val="Heading1"/>
      </w:pPr>
      <w:r>
        <w:t xml:space="preserve">12. Asignación de capital</w:t>
      </w:r>
    </w:p>
    <w:p>
      <w:pPr>
        <w:pStyle w:val="Confianza"/>
        <w:spacing w:after="100"/>
      </w:pPr>
      <w:r>
        <w:t xml:space="preserve">Confianza: Alta</w:t>
      </w:r>
    </w:p>
    <w:p>
      <w:pPr>
        <w:spacing w:after="100"/>
      </w:pPr>
      <w:r>
        <w:t xml:space="preserve">Adobe no paga dividendo y devuelve la caja con recompras. En marzo de 2024 el consejo aprobó un programa de 25.000 M USD, agotado en 9M FY2026, y en abril de 2026 otro de 25.000 M hasta el 30-abr-2030, del que quedaban 24.550 M a 28-ago-2026 [6]. Recompra sobre todo con acuerdos estructurados con bancos [6]. Las compras van en segundo lugar: la última grande fue Semrush (1.874 M, abr-2026) [6]. Las acciones diluidas pasaron de 504,3 M en FY2016 a 427,0 M en FY2025 y a 395 M en el 3T26 [5,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TubeMogul (publicidad en vídeo, Digital Experience)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Advertising Cloud, que después pasó a Publishing and Advertising; ese negocio sufrió en FY2026 un deterioro del fondo de comercio de 70 M [3,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Magento (comercio electrónico)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Adobe Commerce dentro de Digital Experience; sin deterioros del fondo de comercio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Marketo (automatización de marketing)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un préstamo a plazo de 2.250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Digital Experience (Marketo Engage); los ingresos del segmento pasaron de 2.795 M en FY2019 a 5.864 M en FY2025 con márgenes brutos del 62 % al 72 %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Workfront (gestión del trabajo)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Digital Experience; base de la oferta GenStudio [3,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Frame.io (colaboración en vídeo)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Digital Media (Creative Cloud)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Figma (compra abandonada)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(anunciada por unos 20.000 M, mitad en efectivo y mitad en acciones) se abandonó por la oposición de los reguladores; Adobe pagó una indemnización de 1.000 M el 20-dic-2023 (FY2024)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Semrush (visibilidad en buscadores y en motores de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pagarés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28-abr-2026; fondo de comercio de 1.251 M e intangibles de 582 M; aporta unos 480 M de ARR [6, 8].</w:t>
            </w:r>
          </w:p>
        </w:tc>
      </w:tr>
    </w:tbl>
    <w:p>
      <w:pPr>
        <w:spacing w:after="160" w:before="0"/>
      </w:pPr>
    </w:p>
    <w:p>
      <w:pPr>
        <w:spacing w:after="100"/>
      </w:pPr>
      <w:r>
        <w:rPr>
          <w:b/>
        </w:rPr>
        <w:t xml:space="preserve">Asignación de capital de manual, con una gran excepción.</w:t>
      </w:r>
      <w:r>
        <w:t xml:space="preserve"> De FY2016 a FY2025 Adobe generó 56.773 M de flujo libre y recompró acciones por 45.706 M, sin dividendo; en FY2024-FY2025 recompró 20.781 M, más que su flujo libre, y subió la deuda de 3.634 a 6.210 M [1]. La excepción fue Figma: 20.000 M ofrecidos en 2022, anulados en 2023 con 1.000 M de indemnización [1, 58]. Semrush (1.874 M en 2026) es la mayor compra desde entonces [6]. Las recompras se han hecho a precios mucho más altos que el de hoy; el programa pendiente (24.550 M hasta 2030) compraría un 26 % del capital al precio actual (estimación propia).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Shantanu Narayen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 (pasa a presidente ejecutivo el 1-dic-2026)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Adobe desde 1998; presidente y director de operaciones desde 2005, consejero delegado desde diciembre de 2007 y presidente del consejo desde enero de 2017 [40][1]. Con él al frente, los ingresos pasaron de 15.790 M USD en FY2021 a 23.770 M USD en FY2025 y el ARR total cerró FY2025 en 25.200 M USD [55][10]. El 9-mar-2026 comunicó que dejaría el cargo de consejero delegado [46]. Su fideicomiso familiar tenía 430.352 acciones en febrero de 2026 y 238.724 tras las ventas de septiembre de 2026 [40][49].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Anil Chakravarthy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negocio Customer Experience Orchestration; consejero delegado y consejero desde el 1-dic-2026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Informatica de agosto de 2015 a enero de 2020; antes, directivo en Symantec, VeriSign y McKinsey [15][1]. Entró en Adobe en enero de 2020 para dirigir Digital Experience y las operaciones comerciales mundiales [15]. Los ingresos de Digital Experience pasaron de 3.870 M USD en FY2021 a 5.860 M USD en FY2025, y los de suscripción de 3.380 a 5.410 M USD [55][10]. Impulsó las compras de Workfront y Semrush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Day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interino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Adobe desde 2006; director financiero del negocio Customer Experience Orchestration y de finanzas corporativas desde 2023, y responsable interino de relaciones con inversores de octubre de 2024 a junio de 2025 [45]. Nombrado director financiero interino el 11-jun-2026, tras la dimisión de Daniel Durn con efecto 15-jun-2026 [45]. En los resultados del 3T FY26 elevó la guía de ingresos y BPA del año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Wadhwani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negocio Creativity &amp; Productivity (hasta el 27-sep-2026)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AppDynamics de 2015 a 2019 y antes directivo de Adobe; volvió en junio de 2021 para dirigir Digital Media [1]. Los ingresos de Digital Media pasaron de 11.520 M USD en FY2021 a 17.650 M USD en FY2025 [55][10]. Comunicó el 2-sep-2026 que dejaba el cargo con efecto 27-sep-2026 y sigue como asesor durante la transición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Durn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EVP de Finanzas, Tecnología, Seguridad y Operaciones (hasta el 15-jun-2026)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Applied Materials (2017-2021) y de NXP (2015-2017) antes de entrar en Adobe en octubre de 2021 [1]. Dimitió el 8-jun-2026 con efecto 15-jun-2026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Louise Pentland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jurídica y EVP de Asuntos Legales y Relaciones Institucionales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directora jurídica en Roku (2024-2025), Disney Experiences and Products (2023-2024) y PayPal [1]. Entró en mayo de 2025 con una prima de fichaje de 2,0 M USD [40]. El 14-jul-2026 el comité de retribuciones le concedió una carta de retención con indemnización temporal ligada al cambio de consejero delegado [44].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~15.150 M USD; nuevo ARR de Digital Media ~1.750 M USD; BPA no GAAP ~11,20 USD (dic-2020)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15.790 M USD; nuevo ARR de Digital Media 1.980 M USD; BPA no GAAP 12,48 USD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~17.900 M USD; nuevo ARR de Digital Media ~1.900 M USD; BPA no GAAP ~13,70 USD (dic-2021)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17.610 M USD (crecimiento del 12 %, 15 % ajustado); nuevo ARR de Digital Media 1.910 M USD; BPA no GAAP 13,71 USD [56]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19.100-19.300 M USD; nuevo ARR de Digital Media ~1.650 M USD; BPA no GAAP 15,15-15,45 USD (dic-2022)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19.410 M USD; nuevo ARR de Digital Media 1.910 M USD; BPA no GAAP 16,07 USD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21.300-21.500 M USD; nuevo ARR de Digital Media ~1.900 M USD; BPA no GAAP 17,60-18,00 USD (dic-2023) [57]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21.510 M USD; nuevo ARR de Digital Media 2.000 M USD; BPA no GAAP 18,42 USD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23.300-23.550 M USD; crecimiento del ARR final de Digital Media 11,0 %; BPA no GAAP 20,20-20,50 USD (dic-2024)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23.770 M USD; ARR de Digital Media +11,5 % (19.200 M USD); BPA no GAAP 20,94 USD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Adobe ha cumplido o superado su guía anual de ingresos y BPA no GAAP en cuatro de los cinco últimos ejercicios; en FY2022 se quedó en 17.610 M USD frente a ~17.900 M USD de ingresos, aunque cumplió en ARR y BPA [54][55][56][57][14][10]. Para FY2026 la guía de diciembre (25.900-26.100 M USD de ingresos y 23,30-23,50 USD de BPA no GAAP) se elevó en septiembre a 26.576-26.626 M USD y 24,45-24,50 USD [10][7]. La cúpula está en plena rotación: el director financiero dimitió en junio de 2026 y hay uno interino [45]; el presidente de Creativity &amp; Productivity se fue en septiembre [18]; y el consejero delegado desde 2007 cede el puesto a Anil Chakravarthy el 1-dic-2026 y sigue como presidente ejecutivo [18][15]. La sucesión fue interna, tras una búsqueda anunciada en marzo de 2026 y dirigida por un comité especial del consejero coordinador [15][46].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Shantanu Narayen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Calderoni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Cristiano Amon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Banse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Melanie Boulden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Desmond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Neumann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Kathleen Oberg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Dheeraj Pandey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Ricks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Daniel Rosensweig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y Sostenibilidad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49,2 %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1,95 / ventas 50,78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(13G, a 30-jun-2026)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9,31 % a 31-dic-2023 según el proxy; 9,4 % a 30-jun-2026 [40][50]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(13G, a 31-mar-2026)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Vanguard Group declaraba el 10,17 % a 30-ene-2026 y el 0 % a 13-mar-2026, al pasar las posiciones a entidades separadas de Vanguard; Vanguard Capital Management declara el 7,61 % [40][52][53]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(13G, a 30-jun-2026)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declaración por encima del 5 % en ago-2026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(18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 (a 17-feb-2026)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803.767 acciones; después, el fideicomiso de Narayen vendió 200.000 acciones [40][49]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en tesorería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210 M acciones en tesorería a 28-ago-2026 (188 M al cierre de FY2025), frente a 391 M en circulación (413 M) [6]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Shantanu Narayen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Jillian Forusz (directora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Ricks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Jillian Forusz (directora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Shantanu Narayen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Durn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Durn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Jillian Forusz (directora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45,38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la junta del 15-abr-2026 el voto consultivo sobre la retribución de FY2025 salió adelante con solo el 50,5 % a favor y el 49,2 % en contra del capital presente, frente al 79,2 % a favor en 2025 y el 84,6 % en 2024 [41][42][43]. El consejero delegado cobró 51,17 M USD en FY2025: 1,50 M de fijo, 3,12 M de variable anual y 45,38 M en acciones; 217 veces el empleado mediano [40]. El variable anual exige el 95 % de los objetivos de ingresos y BPA, admite un ajuste discrecional de ±25 puntos y se limita al 155 % [47]. Las acciones por objetivos (70 % del paquete en acciones del consejero delegado) dependen al 50 % del TSR relativo frente al NASDAQ-100 a tres años y al 50 % del crecimiento del ARR [40][47]. El plan de 2023 pagó el 45 % en TSR (percentil 28) [40]. Hay cláusulas de recuperación y, desde enero de 2026, un tope de indemnización en efectivo de 2,99 veces sin aprobación de la junta [40][47].</w:t>
      </w:r>
    </w:p>
    <w:p>
      <w:pPr>
        <w:pStyle w:val="Heading2"/>
      </w:pPr>
      <w:r>
        <w:t xml:space="preserve">Operaciones vinculadas, estructura de control y defensas</w:t>
      </w:r>
    </w:p>
    <w:p>
      <w:pPr>
        <w:spacing w:after="100"/>
      </w:pPr>
      <w:r>
        <w:t xml:space="preserve">Adobe no tiene accionista de control: los mayores son gestoras indexadas (BlackRock 9,4 %, Vanguard Capital Management 7,61 %, State Street 5,2 %) y consejo y directivos suman el 0,20 % [40][50][51][52]. Hay una sola clase de acciones con igual voto, todos los consejeros se eligen cada año por mayoría con política de dimisión, la junta puede convocarse a instancia de los accionistas, hay acceso de los accionistas a la candidatura del proxy y las reformas de estatutos requieren mayoría simple [40]. Diez de once consejeros son independientes, igual que todos los miembros de las comisiones [40]. No hubo operaciones vinculadas por encima de 120.000 USD desde el inicio de FY2025 [40]. En abril de 2025 los estatutos se adaptaron a la regla de proxy universal y fijaron plazos de preaviso para candidaturas de accionistas [42]. La propuesta de votar las indemnizaciones por cambio de control obtuvo el 47,0 % a favor en 2025 y el 8,1 % en 2026, tras adoptar el consejo un tope propio [41][42][47].</w:t>
      </w:r>
    </w:p>
    <w:p>
      <w:pPr>
        <w:pStyle w:val="Heading2"/>
      </w:pPr>
      <w:r>
        <w:t xml:space="preserve">Señales de alerta</w:t>
      </w:r>
    </w:p>
    <w:p>
      <w:pPr>
        <w:pStyle w:val="ListParagraph"/>
        <w:numPr>
          <w:ilvl w:val="0"/>
          <w:numId w:val="2"/>
        </w:numPr>
        <w:spacing w:after="60"/>
      </w:pPr>
      <w:r>
        <w:t xml:space="preserve">Voto consultivo de retribución de 2026: 50,5 % a favor y 49,2 % en contra del capital presente (148,8 M frente a 145,0 M votos) [41].</w:t>
      </w:r>
    </w:p>
    <w:p>
      <w:pPr>
        <w:pStyle w:val="ListParagraph"/>
        <w:numPr>
          <w:ilvl w:val="0"/>
          <w:numId w:val="2"/>
        </w:numPr>
        <w:spacing w:after="60"/>
      </w:pPr>
      <w:r>
        <w:t xml:space="preserve">Daniel Rosensweig, consejero desde 2009, recibió un 30,8 % de votos en contra en 2026 (5,6 % en 2025); Amy Banse, presidenta de Retribuciones, un 14,5 % [41][42].</w:t>
      </w:r>
    </w:p>
    <w:p>
      <w:pPr>
        <w:pStyle w:val="ListParagraph"/>
        <w:numPr>
          <w:ilvl w:val="0"/>
          <w:numId w:val="2"/>
        </w:numPr>
        <w:spacing w:after="60"/>
      </w:pPr>
      <w:r>
        <w:t xml:space="preserve">Rotación simultánea en la cúpula: dimisión del director financiero en junio de 2026 (sustituto interino), salida del presidente de Creativity &amp; Productivity en septiembre y relevo del consejero delegado el 1-dic-2026 [18][45][46].</w:t>
      </w:r>
    </w:p>
    <w:p>
      <w:pPr>
        <w:pStyle w:val="ListParagraph"/>
        <w:numPr>
          <w:ilvl w:val="0"/>
          <w:numId w:val="2"/>
        </w:numPr>
        <w:spacing w:after="60"/>
      </w:pPr>
      <w:r>
        <w:t xml:space="preserve">El presidente y consejero delegado vendió 200.000 acciones por 49,6 M USD en abril y septiembre de 2026, fuera de un plan 10b5-1 y, según el Form 4, por planificación fiscal y patrimonial; las de septiembre, dos semanas después de anunciarse su relevo [49].</w:t>
      </w:r>
    </w:p>
    <w:p>
      <w:pPr>
        <w:pStyle w:val="ListParagraph"/>
        <w:numPr>
          <w:ilvl w:val="0"/>
          <w:numId w:val="2"/>
        </w:numPr>
        <w:spacing w:after="60"/>
      </w:pPr>
      <w:r>
        <w:t xml:space="preserve">La demanda del Departamento de Justicia por las prácticas de suscripción y cancelación (ROSCA) se cerró con un acuerdo el 12-mar-2026; en los nueve meses a ago-2026 Adobe registró 92 M USD de contingencias legales [6].</w:t>
      </w:r>
    </w:p>
    <w:p>
      <w:pPr>
        <w:pStyle w:val="ListParagraph"/>
        <w:numPr>
          <w:ilvl w:val="0"/>
          <w:numId w:val="2"/>
        </w:numPr>
        <w:spacing w:after="60"/>
      </w:pPr>
      <w:r>
        <w:t xml:space="preserve">Sigue abierta en apelación la demanda colectiva de valores por las declaraciones sobre Figma (desestimada en 2025), además de varias demandas derivadas contra consejeros [6].</w:t>
      </w:r>
    </w:p>
    <w:p>
      <w:pPr>
        <w:pStyle w:val="ListParagraph"/>
        <w:numPr>
          <w:ilvl w:val="0"/>
          <w:numId w:val="2"/>
        </w:numPr>
        <w:spacing w:after="60"/>
      </w:pPr>
      <w:r>
        <w:t xml:space="preserve">Cuatro consejeros independientes superan los 13 años en el cargo, incluido el consejero coordinador (desde 2012); la antigüedad media es de 10,1 años [40].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10-sep-2026, con los resultados del 3T, Adobe subió sus objetivos del ejercicio 2026: ingresos de 26.576-26.626 M USD, BPA GAAP de 18,12-18,17 USD y no GAAP de 24,45-24,50 USD, crecimiento del ARR total al cierre del 10,2 %, margen operativo no GAAP de ~45 % (35,0 % GAAP) y ~400 M de acciones diluidas [7]. Para el 4T26 espera ingresos de 6.800-6.850 M USD, BPA GAAP de 4,65-4,70 USD y no GAAP de 6,30-6,35 USD, con margen operativo no GAAP de ~44 % [7]. El ARR total al cierre del 3T26 era de 27.500 M USD y las obligaciones de desempeño pendientes (RPO), de 22.160 M USD [7]. La empresa no publica objetivos a medio plazo en la nota de resultados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10-oct-2026 (39 analistas en el consenso de recomendaciones)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10-oct-2026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10-oct-2026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23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195,00 – 373,00</w:t>
            </w:r>
          </w:p>
        </w:tc>
      </w:tr>
    </w:tbl>
    <w:p>
      <w:pPr>
        <w:spacing w:after="160" w:before="0"/>
      </w:pPr>
    </w:p>
    <w:p>
      <w:pPr>
        <w:pStyle w:val="Heading2"/>
      </w:pPr>
      <w:r>
        <w:t xml:space="preserve">Revisiones de estimaciones</w:t>
      </w:r>
    </w:p>
    <w:p>
      <w:pPr>
        <w:spacing w:after="100"/>
      </w:pPr>
      <w:r>
        <w:t xml:space="preserve">No hay serie gratuita de revisiones del BPA o del EBITDA a 3 y 12 meses: MarketScreener solo muestra el gráfico de revisiones sin cifras [60]. Las recomendaciones apenas han cambiado en tres meses: en julio de 2026 había 40 analistas con 12 de compra, 23 de mantener y 5 de venta, y en octubre 39 con 11, 23 y 5 [61]. La subida de los objetivos de ingresos y BPA del ejercicio el 10-sep-2026 [7] no sostuvo la cotización: la acción cayó de 291,52 USD el 28-ago a 248,83 USD el día de los resultados [62]. El precio objetivo medio de 275,06 USD (mediana 265,50) coincide en MarketScreener y Stock Analysis [60, 61]; el BPA de MarketScreener es GAAP (18,24 USD en FY2026e) y el de Stock Analysis, no GAAP (24,48 USD) [59, 61].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bl>
    <w:p>
      <w:pPr>
        <w:spacing w:after="160" w:before="0"/>
      </w:pPr>
    </w:p>
    <w:p>
      <w:pPr>
        <w:spacing w:after="100"/>
      </w:pPr>
      <w:r>
        <w:t xml:space="preserve">Adobe pierde un 30,8 % en 2026 frente a una subida del 14,1 % del S&amp;P 500 y del 6,6 % del ETF de software IGV; en tres años cae un 23,1 % anual mientras el índice sube un 21,5 % anual [62]. Es su tercer año seguido por debajo del índice: −25,5 % en 2024 y −21,3 % en 2025 [62]. La caída máxima desde el máximo de noviembre de 2021 llega al 71,9 % en junio de 2026 [62]. Las cinco mayores caídas diarias de los últimos 12 meses (entre −6,6 % y −7,6 %) caen en febrero, marzo, abril, junio y septiembre de 2026 [62]; la de septiembre (−6,7 % el 4-sep) llegó al día siguiente del anuncio de la sucesión: Anil Chakravarthy será consejero delegado desde el 1-dic-2026, Shantanu Narayen pasa a presidente ejecutivo y David Wadhwani deja la presidencia del negocio de Creatividad y Productividad el 27-sep-2026 [18]. Tras los resultados del 10-sep la acción siguió bajando pese a subir los objetivos del año [7, 62].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Adobe cotiza a 9,4 veces el EBITDA de los últimos 12 meses y 13,5 veces el beneficio, los mínimos de su década: la media fue de 36,6 y 46,5 veces, y el mínimo anterior de 14,3 veces el EBITDA [62]. La compresión es de múltiplo, no de beneficio: el BPA ha crecido al 24,5 % anual desde FY2016 [5]. El mercado ha pasado de pagar a Adobe como un monopolio del software creativo a pagarle como un negocio que la IA generativa puede convertir en una herramienta barata. El cambio de tipos explica una parte: el Tesoro a 10 años está en el 5,22 % [63].</w:t>
      </w:r>
    </w:p>
    <w:p>
      <w:pPr>
        <w:pStyle w:val="Heading1"/>
      </w:pPr>
      <w:r>
        <w:t xml:space="preserve">18. Comparables cotizados</w:t>
      </w:r>
    </w:p>
    <w:p>
      <w:pPr>
        <w:pStyle w:val="Confianza"/>
        <w:spacing w:after="100"/>
      </w:pPr>
      <w:r>
        <w:t xml:space="preserve">Confianza: Media</w:t>
      </w:r>
    </w:p>
    <w:p>
      <w:pPr>
        <w:spacing w:after="100"/>
      </w:pPr>
      <w:r>
        <w:t xml:space="preserve">Siete empresas de software de EE. UU. por suscripción con las que Adobe compite o comparte cliente y modelo: Microsoft (ofimática, Copilot y Designer), Salesforce (marketing y experiencia de cliente, frente a Digital Experience), Autodesk (diseño profesional por suscripción), Intuit (software para pymes y consumidores con IA), ServiceNow y Workday (software empresarial de gran margen bruto) y Figma (diseño de interfaces, competidor directo). Canva es privada. Dassault Systèmes y Wix se descartan porque no publican trimestres en XBRL de la SEC y no se pueden poner en la misma base de EBITDA.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3.973.187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Figma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16,0x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 / 21,0x / 31,4x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 / 25,4x / 29,6x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25.970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 / 6,2x / 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1,6 + 1,26 × crecimiento; R² = 0,44. Para el crecimiento esperado de la empresa (9,4 %), el múltiplo ajustado es 13,5x y el valor por acción, 388,22.</w:t>
      </w:r>
    </w:p>
    <w:p>
      <w:pPr>
        <w:spacing w:after="100"/>
      </w:pPr>
      <w:r>
        <w:t xml:space="preserve">Adobe cotiza a 8,5 veces el EBITDA de los próximos 12 meses y 11,5 veces el beneficio, con un descuento de casi la mitad sobre la mediana del software (16,0 y 25,4 veces), pese a tener más margen (39,3 % frente al 28,8 %) y un crecimiento algo menor (9,4 % frente al 12,4 %) [66, 67, 68, 69, 70, 71, 72, 73, 74, 75, 76, 77, 78, 79]. Solo Intuit, que sufre el mismo debate de la IA, cotiza parecido (9,9 veces). La mediana daría 460,68 USD por EV/EBITDA y 533,45 USD por PER, pero exagera: ServiceNow y Workday excluyen más partidas de su EBITDA y el mercado no aplica a Adobe el múltiplo de quien no tiene su riesgo de sustitución. Pesan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20.000 M USD, mitad en efectivo y mitad en acciones, por una empresa privada que preveía superar 400 M USD de ARR al cierre de 2022 con una retención neta superior al 150 % [80]; el múltiplo es sobre ARR, no sobre ventas. La compra no se cerró: Adobe pagó a Figma una indemnización de 1.000 M USD en el ejercicio 2024 [1]. Se excluye por atípica.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en efectivo, unos 28.000 M USD de valor de las acciones [82]. Estimación propia del valor empresa: más 3.103 M de convertibles y menos 2.449 M de caja e inversiones a 31-jul-2023, sobre 3.843 M USD de ventas de los 12 meses anteriores [85]. EBITDA GAAP de solo 70 M USD: múltiplo no significativo.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USD en efectivo más 0,3450 acciones de Synopsys por acción (390,19 USD implícitos), valor empresa de unos 35.000 M USD y prima del 29 % sobre el cierre del 21-dic-2023 [81]. Múltiplos (estimación propia) sobre ventas de 2.159 M USD y EBITDA GAAP de 681 M USD de los 12 meses a 30-sep-2023 [86].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Smartsheet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Vista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56,50 USD por acción en efectivo, operación valorada en unos 8.400 M USD; prima del 41 % sobre el precio medio ponderado de 90 sesiones hasta el 17-jul-2024, no sobre el último cierre [83]. Estimación propia del valor empresa: 8.400 M menos 706 M de caja e inversiones a 31-jul-2024, sin deuda, sobre 1.042 M USD de ventas de los 12 meses anteriores [87]. EBITDA GAAP negativo.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USD por acción en efectivo, valor de las acciones de unos 8.000 M USD neto de la participación que ya tenía Salesforce [84]. Estimación propia del valor empresa: más 1.805 M de deuda y menos 1.252 M de caja e inversiones a 31-mar-2025, sobre 1.655 M USD de ventas de los 12 meses anteriores [88].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452,50 – 640,66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Cuatro compras de software con múltiplo de ventas (mediana de 7,42 veces, prima del 35 %): Splunk, Ansys, Smartsheet e Informatica [81, 82, 83, 84, 85, 86, 87, 88]; Figma (unas 50 veces el ARR) se excluye por extrema. Darían 492,03 USD por acción, el doble del precio, pero no se usan en el valor objetivo: son compras con prima de control a empresas sin el riesgo de la IA que hoy pesa sobre Adobe, y con 94.000 M de capitalización una opa no es realista. Sirven de recordatorio de lo barato que cotiza frente a lo que se paga por el software empresarial.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+12,0 % (fijo): tres trimestres publicados y guía elevada el 10-sep a 26.576-26.626 M, con Semrush desde abril [7]. FY2027e +8,5 % (consenso +9,2 %, con medio año más de Semrush) [59]. Luego baja un punto al año hasta el 3 % de FY2033e. El ARR total crece un 11,2 % y la empresa guía un 10,2 % para FY2026, con Semrush [6, 7]. La media del caso base (5,9 % en FY2027-FY2033) está muy por debajo del 16,8 % anual de la década.</w:t>
      </w:r>
    </w:p>
    <w:p>
      <w:pPr>
        <w:keepNext/>
        <w:spacing w:after="100"/>
      </w:pPr>
      <w:r>
        <w:rPr>
          <w:b/>
          <w:bCs/>
        </w:rPr>
        <w:t xml:space="preserve">Márgenes.</w:t>
      </w:r>
    </w:p>
    <w:p>
      <w:pPr>
        <w:spacing w:after="100"/>
      </w:pPr>
      <w:r>
        <w:t xml:space="preserve">Margen EBITDA GAAP del 39,5 % en FY2026e (el consenso no GAAP de 12.722 M menos un 8,3 % de pagos en acciones) y del 40,5 % desde FY2028e, en línea con el 40,1-40,3 % de FY2024-FY2025 y por debajo del 41,7 % de FY2021 [1, 59]. No suponemos ni la mejora de margen que daría el apalancamiento de la IA ni la caída que traería una guerra de precios con Canva.</w:t>
      </w:r>
    </w:p>
    <w:p>
      <w:pPr>
        <w:keepNext/>
        <w:spacing w:after="100"/>
      </w:pPr>
      <w:r>
        <w:rPr>
          <w:b/>
          <w:bCs/>
        </w:rPr>
        <w:t xml:space="preserve">Inversión y circulante.</w:t>
      </w:r>
    </w:p>
    <w:p>
      <w:pPr>
        <w:spacing w:after="100"/>
      </w:pPr>
      <w:r>
        <w:t xml:space="preserve">Capex del 1,0 % de las ventas en FY2026e que sube al 2,0 %: Adobe invierte poco (0,8 % en FY2025) porque su software se aloja en la nube de terceros [1]. La amortización (3,6 %) incluye la de intangibles comprados (Semrush) y converge al capex. Circulante del 8,0 % de las ventas, el de FY2025; tipo impositivo del 21 %, cerca del 22,5 % de FY2025.</w:t>
      </w:r>
    </w:p>
    <w:p>
      <w:pPr>
        <w:keepNext/>
        <w:spacing w:after="100"/>
      </w:pPr>
      <w:r>
        <w:rPr>
          <w:b/>
          <w:bCs/>
        </w:rPr>
        <w:t xml:space="preserve">Coste del capital.</w:t>
      </w:r>
    </w:p>
    <w:p>
      <w:pPr>
        <w:spacing w:after="100"/>
      </w:pPr>
      <w:r>
        <w:t xml:space="preserve">Tasa libre del 5,22 %, el Tesoro de EE. UU. a 10 años del 8-oct-2026 [63]. Beta de 1,26: la ajustada (Blume) sobre la mensual a 5 años frente al S&amp;P 500 [62]. Prima de mercado del 5,5 %, sin prima adicional; coste de la deuda del 5,0 % (bonos al 2,7-5,4 %) y un 6,3 % de deuda a valor de mercado. WACC del 11,63 %, alto por la beta; con la prima implícita del mercado (4,20 %), el 10,10 % [64].</w:t>
      </w:r>
    </w:p>
    <w:p>
      <w:pPr>
        <w:keepNext/>
        <w:spacing w:after="100"/>
      </w:pPr>
      <w:r>
        <w:rPr>
          <w:b/>
          <w:bCs/>
        </w:rPr>
        <w:t xml:space="preserve">Valor terminal.</w:t>
      </w:r>
    </w:p>
    <w:p>
      <w:pPr>
        <w:spacing w:after="100"/>
      </w:pPr>
      <w:r>
        <w:t xml:space="preserve">Crecimiento a perpetuidad del 3,0 %: inflación en dólares de unos 2,5 % y algo de crecimiento real, por debajo de la tasa libre menos medio punto (4,72 %). El múltiplo de salida implícito es de 8,9 veces el EBITDA, por debajo del 9,4 de hoy y de cualquier año de la década.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282,62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343,63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 M (-2 % del NOPAT)</w:t>
            </w:r>
          </w:p>
        </w:tc>
      </w:tr>
    </w:tbl>
    <w:p>
      <w:pPr>
        <w:spacing w:after="160" w:before="0"/>
      </w:pPr>
    </w:p>
    <w:p>
      <w:pPr>
        <w:spacing w:after="100"/>
      </w:pPr>
      <w:r>
        <w:t xml:space="preserve">La proyección apenas necesita inversión neta de la amortización (reinversión acumulada de -1.322 M, con un capex bruto medio del 1,6 % de las ventas). En un negocio de activos ligeros, el crecimiento medio del 6,7 %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Pro sube de 59,99 a 69,99 USD (+16,7 %) desde jun-ago 2025; más usuarios (1.000 millones al mes) y Semrush desde abril (≈2,5 puntos, estimación propia) [7, 20,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año más de Semrush y productos de IA (ARR +150 %); subidas de precio aplazadas en 2026 [7,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Usuarios y precio como en FY2023-FY2025 (crecimiento del 10-11 % anual) [1].</w:t>
            </w:r>
          </w:p>
        </w:tc>
      </w:tr>
    </w:tbl>
    <w:p>
      <w:pPr>
        <w:spacing w:after="160" w:before="0"/>
      </w:pPr>
    </w:p>
    <w:p>
      <w:pPr>
        <w:spacing w:after="100"/>
      </w:pPr>
      <w:r>
        <w:t xml:space="preserve">Sí para nuestro caso base, que es modesto: un 5,9 % anual frente al 10-12 % que hoy crecen los ingresos y el ARR, sin necesitar capital (capex del 1-2 %) [1, 6]. El poder de precios está demostrado: subió Creative Cloud un 16,7 % en 2025 y el ARR siguió creciendo un 11 % [20, 21]. El foso (formatos estándar como PDF y PSD, flujos de trabajo de empresa) se estrecha por la IA, pero no ha desaparecido: los usuarios activos mensuales superan los 1.000 millones [16]. La duda no es si Adobe puede crecer al 6 %, sino si tendrá que bajar precios para conseguirlo.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(base: 5,9 %)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33,6 % (base: 40,5 %)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 (WACC: 11,6 %)</w:t>
            </w:r>
          </w:p>
        </w:tc>
      </w:tr>
    </w:tbl>
    <w:p>
      <w:pPr>
        <w:spacing w:after="160" w:before="0"/>
      </w:pPr>
    </w:p>
    <w:p>
      <w:pPr>
        <w:spacing w:after="100"/>
      </w:pPr>
      <w:r>
        <w:t xml:space="preserve">El DCF da 295,24 USD por acción, un 21,9 % por encima del precio, con un 56 % del valor en el terminal y un WACC exigente (11,6 %). </w:t>
      </w:r>
      <w:r>
        <w:rPr>
          <w:b/>
        </w:rPr>
        <w:t xml:space="preserve">El precio descuenta que Adobe casi deja de crecer.</w:t>
      </w:r>
      <w:r>
        <w:t xml:space="preserve"> El DCF inverso dice que, con nuestros márgenes, los 242,27 USD de hoy suponen un crecimiento de los ingresos del 2,0 % anual de FY2027e a FY2033e, frente al 5,9 % de nuestro caso base, al +12 % de FY2026 y al 11,2 % del ARR; o, con nuestro crecimiento, un margen EBITDA del 33,6 % en vez del 40,5 %. Comprar a este precio rinde un 13,5 % anual si se cumple el caso base, casi dos puntos por encima de su coste de capital. Ese escenario no tiene precedente en Adobe, que nunca ha crecido menos de un 10 % en la década; lo que el precio teme es que la IA generativa haga con el software creativo lo que los móviles hicieron con las cámaras compactas.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convierte la edición creativa en una función gratuita de Canva, Google y OpenAI: Adobe deja de crecer y defiende la base bajando precios, como hizo al aplazar las subidas de Creative Cloud en 2026 [16]. Ingresos planos durante siete años, margen EBITDA del 34,5 % y crecimiento a perpetuidad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crece al 10 % en FY2026 y se frena después, con la IA cobrada dentro de los planes: ingresos +5,9 % de media en FY2027-FY2033 y margen EBITDA del 40,5 %, el de FY2024-FY2025.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Firefly y los agentes se cobran (el ARR de productos de IA ya crece más del 150 %) y Adobe mantiene el 9-10 % de crecimiento varios años más: crecimiento medio del 7,9 % y margen del 41,5 %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4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265,33 USD (+9,5 %).</w:t>
      </w:r>
    </w:p>
    <w:p>
      <w:pPr>
        <w:spacing w:after="100"/>
      </w:pPr>
      <w:r>
        <w:t xml:space="preserve">La asimetría es justa con nuestro coste de capital: el alcista vale 335,05 USD (+38,3 %) y el bajista 169,00 (−30,2 %), 1,27 veces. El bajista no es cosmético: deja los ingresos planos siete años y quita seis puntos de margen, algo que Adobe no ha vivido nunca pero que el mercado ya descuenta en buena parte (el DCF inverso pide un 2,0 % anual). Por eso le damos un 30 % de probabilidad. Con la prima de riesgo que hoy pide el mercado (4,20 %), la asimetría sube a 3,7 veces y el bajista queda en 197,24 USD (−18,6 %). El valor ponderado por probabilidad es de 265,33 USD.</w:t>
      </w:r>
    </w:p>
    <w:p>
      <w:pPr>
        <w:pStyle w:val="Heading1"/>
      </w:pPr>
      <w:r>
        <w:t xml:space="preserve">22. Suma de partes</w:t>
      </w:r>
    </w:p>
    <w:p>
      <w:pPr>
        <w:pStyle w:val="Confianza"/>
        <w:spacing w:after="100"/>
      </w:pPr>
      <w:r>
        <w:t xml:space="preserve">Confianza: Media</w:t>
      </w:r>
    </w:p>
    <w:p>
      <w:pPr>
        <w:spacing w:after="100"/>
      </w:pPr>
      <w:r>
        <w:t xml:space="preserve">No aplica: desde FY2026 Adobe reporta un único segmento con dos grupos de clientes, y los dos negocios (creativo y de documentos, y marketing para empresas) no tienen comparables puros con cifras separadas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4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306,45 USD (+26,5 % sobre 242,27).</w:t>
      </w:r>
    </w:p>
    <w:p>
      <w:pPr>
        <w:spacing w:after="100"/>
      </w:pPr>
      <w:r>
        <w:t xml:space="preserve">Pesos: DCF 60 %, escenarios 30 %, comparables 10 %, transacciones y suma de partes 0 %. El DCF manda porque la caja de Adobe es muy predecible (conversión del 137 % del beneficio en la década) y porque es el único método que recoge su riesgo con un WACC alto; los escenarios pesan un 30 % porque el riesgo de la IA es asimétrico y conviene ponerlo en precio. Los comparables (497,07 USD) y las transacciones (492,03 USD) darían el doble del precio, pero suponen que Adobe no tiene un riesgo de sustitución que los demás no tienen: pesan un 10 % y 0 %. El valor objetivo es de 306,45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(11.3x) × 1.1 (tope: la mediana de 5 años, 47.6x,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+74,2 %</w:t>
            </w:r>
          </w:p>
        </w:tc>
      </w:tr>
    </w:tbl>
    <w:p>
      <w:pPr>
        <w:spacing w:after="160" w:before="0"/>
      </w:pPr>
    </w:p>
    <w:p>
      <w:pPr>
        <w:spacing w:after="100"/>
      </w:pPr>
      <w:r>
        <w:rPr>
          <w:b/>
          <w:bCs/>
        </w:rPr>
        <w:t xml:space="preserve">Objetivo a 12 meses (ponderado):</w:t>
      </w:r>
      <w:r>
        <w:t xml:space="preserve"> 282,99 USD · rentabilidad +16,8 % (base +20,7 %) · señal Comprar.</w:t>
      </w:r>
    </w:p>
    <w:p>
      <w:pPr>
        <w:spacing w:after="100"/>
      </w:pPr>
      <w:r>
        <w:t xml:space="preserve">Para comparar, con la regla v2 (historia al cierre, mismo precio): 9,6x / 11,3x / 14,7x, 6,4 % Mantener; con el tope anterior del base (×1,3, 14-oct mediodía): 38,4 % Comprar. Decide la regla vigente (v3 con tope ×1,1; METODO-VIGENTE.md).</w:t>
      </w:r>
    </w:p>
    <w:p>
      <w:pPr>
        <w:keepNext/>
        <w:spacing w:after="100"/>
      </w:pPr>
      <w:r>
        <w:rPr>
          <w:b/>
          <w:bCs/>
        </w:rPr>
        <w:t xml:space="preserve">Frente al consenso (solo contraste).</w:t>
      </w:r>
    </w:p>
    <w:p>
      <w:pPr>
        <w:spacing w:after="100"/>
      </w:pPr>
      <w:r>
        <w:t xml:space="preserve">Nuestro BPA base de FY2028e (23,58) se separa un -3,4 % del consenso (24,40) y nuestro precio base (266,45) un -3,1 % del objetivo medio de los analistas (275,06).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306,45 (+26,5 %) frente al objetivo a 12 meses ponderado 257,88 (+6,4 % con dividendo; base +10,0 %).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Anil Chakravarthy, consejero delegado (Narayen, presidente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plan del nuevo equipo; posible director financiero definitivo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dic-2026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ARR sin Semrush y política de precios de Creative Cloud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(24.550 M pendientes hasta 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precio actual retirarían un 26 %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voto de la remuneración tras el 49,23 % en contra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para cambiar el variable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modelos de vídeo e imagen de Google y OpenAI, y precios de Canva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del riesgo que descuenta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de la demanda colectiva por Figma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Pasivo contingente sin importe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abarata la creación de contenidos y desplaza a Creative Cloud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169,00 USD, −43 %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Firefly integra modelos de terceros; 1.000 millones de usuarios al mes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por debajo del 8 % sin compras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poder de precios frente a Canva (Affinity gratis) y planes freemium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≈14,5 USD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Estándares de formato y flujos de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rebajas o aplazamientos de precio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 la cúpula: nuevo consejero delegado, director financiero interino y salida del responsable del negocio creativo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Retrasa la ejecución del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Chakravarthy dirigía Digital Experience; Narayen sigue de presidente ejecutivo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salidas de directivos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beta de 1,26 y Tesoro al 5,22 %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del 12,6 %: el DCF baja a 264,74 USD (+9 %)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casi nula y flujo libre del 11 % de la capitalización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litigios: suscripciones (acuerdo de 150 M con el DOJ) y la demanda por Figma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del 1 % del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ya hechos en las cancelaciones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demandas de consumidores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con deuda a precios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La deuda subió de 3.634 a 6.210 M en FY2024-FY2025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de 0,1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por encima de 1 vez el EBITDA</w:t>
            </w:r>
          </w:p>
        </w:tc>
      </w:tr>
    </w:tbl>
    <w:p>
      <w:pPr>
        <w:spacing w:after="160" w:before="0"/>
      </w:pPr>
    </w:p>
    <w:p>
      <w:pPr>
        <w:pStyle w:val="Heading2"/>
      </w:pPr>
      <w:r>
        <w:t xml:space="preserve">Pre-mortem</w:t>
      </w:r>
    </w:p>
    <w:p>
      <w:pPr>
        <w:spacing w:after="100"/>
      </w:pPr>
      <w:r>
        <w:t xml:space="preserve">Octubre de 2029: la acción ha caído un 40 %, a unos 145 USD. La historia más probable empieza con el plan de Chakravarthy en 2027: para frenar la fuga de usuarios hacia Canva y los generadores de Google y OpenAI, Adobe incluye la IA en planes más baratos y renuncia a subir precios. El ARR se frena al 6 % en FY2027 y al 3 % en FY2028, mientras el coste de cálculo de la IA quita tres puntos de margen. El mercado deja de ver a Adobe como un estándar y la valora como un negocio en declive, a 6-7 veces el EBITDA. Las recompras, hechas con deuda a precios más altos, no lo evitan. El indicador que lo habría anticipado: el aplazamiento de las subidas de precio en 2026 y el RPO creciendo solo un 8 %.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Protección del consumidor en las suscripciones</w:t>
      </w:r>
      <w:r>
        <w:t xml:space="preserve">: el 13-mar-2026 Adobe pactó con el Departamento de Justicia 75 M USD de multa y 75 M USD en servicios gratuitos, y deberá explicar la penalización por baja anticipada y facilitar la cancelación [38]; con un 96 % de ingresos por suscripción [1], cualquier aumento de bajas afecta al ARR. </w:t>
      </w:r>
      <w:r>
        <w:rPr>
          <w:b/>
        </w:rPr>
        <w:t xml:space="preserve">Propiedad intelectual y confianza en la IA</w:t>
      </w:r>
      <w:r>
        <w:t xml:space="preserve">: Firefly se entrena con contenido con licencia o de dominio público, cada imagen lleva Content Credentials y las empresas pueden obtener indemnización [1]; la Ley de IA de la UE se aplica por fases hasta 2030 [1]. </w:t>
      </w:r>
      <w:r>
        <w:rPr>
          <w:b/>
        </w:rPr>
        <w:t xml:space="preserve">Energía de la IA</w:t>
      </w:r>
      <w:r>
        <w:t xml:space="preserve">: Adobe se fija un 100 % de electricidad renovable en 2025, −42 % de emisiones de alcance 1 y 2 en FY2030 frente a FY2022 y cero neto en 2050, y dice haber cumplido ya los objetivos de 2025 de alcance 1 y 2 [39].</w:t>
      </w:r>
    </w:p>
    <w:p>
      <w:pPr>
        <w:pStyle w:val="Heading2"/>
      </w:pPr>
      <w:r>
        <w:t xml:space="preserve">Controversias</w:t>
      </w:r>
    </w:p>
    <w:p>
      <w:pPr>
        <w:spacing w:after="100"/>
      </w:pPr>
      <w:r>
        <w:t xml:space="preserve">Demanda del Departamento de Justicia (junio de 2024) por ocultar la penalización de baja y dificultar la cancelación, resuelta el 13-mar-2026 con 150 M USD (75 de multa y 75 en servicios) [6, 38]. Demanda colectiva de accionistas (octubre de 2023) por declaraciones sobre la competencia de Figma: desestimada en marzo de 2025, con recurso del demandante; las demandas derivadas están suspendidas [6]. En diciembre de 2023 abandonó la compra de Figma y pagó 1.000 M USD de indemnización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del ARR de FY2026 vino de la subida de Creative Cloud Pro y por qué se aplazaron las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 la acción descuenta que el poder de precios se ha agotado.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los productos nativos de IA (su ARR crece más de un 150 %) una vez pagado el cálculo y los modelos de terceros?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suma o resta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Usuarios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usuarios de pago ha ganado o perdido Creative Cloud en FY2026, sin contar los freemium?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que separa el caso base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cambiará Chakravarthy en la estrategia y quién será el director financiero?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relevos en la cúpula en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las recompras con deuda si el flujo libre se frena?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FY2024-FY2025 recompró más que su flujo libre.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cambiará en la remuneración tras el 49,23 % en contra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casi un rechazo y la venta de 49,6 M de Narayen llegó dos semanas después de su relevo.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en la televisión financiera)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opiniones del 15-jul al 6-oct-2026: una de compra, dos «no comprar», una de venta, un comentario sin recomendación y dos antiguas favoritas que la mantienen; los críticos citan la competencia gratuita (Canva), la IA y la sucesión, y los favorables, las recompras y los múltiplos en mínimos [90].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Parameter (crónica del mercado, comentarios cerrados)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elección de Anil Chakravarthy como consejero delegado, que no esperaba el mercado, y la salida de David Wadhwani costaron un 6,4 % en la sesión del anuncio; Jefferies espera más salidas y JPMorgan cree que despeja la incertidumbre [91].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la competencia gratuita (Canva, modelos de imagen y vídeo)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gran debate; el analista lo contrasta con el crecimiento del ARR de Digital Media y con los ingresos de IA que publica la empresa.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Chakravarthy en lugar de Narayen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 confirmado por la empresa (8-K de septiembre de 2026); el nuevo consejero delegado empieza el 1-dic-2026.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favorables citan múltiplos mínimos y la reducción de acciones; se contrasta con los múltiplos históricos y el flujo de caja del informe.</w:t>
            </w:r>
          </w:p>
        </w:tc>
      </w:tr>
    </w:tbl>
    <w:p>
      <w:pPr>
        <w:spacing w:after="160" w:before="0"/>
      </w:pPr>
    </w:p>
    <w:p>
      <w:pPr>
        <w:spacing w:after="100"/>
      </w:pPr>
      <w:r>
        <w:t xml:space="preserve">Los comentarios que se pueden leer son más negativos que los números: de siete opiniones de gestores en julio-octubre, solo una es de compra y tres desaconsejan la acción, por la competencia gratuita (Canva) y la sucesión [1]. El nombramiento de Chakravarthy, que no esperaba el mercado, y la salida del responsable del negocio creativo costaron un 6,4 % en un día [2]. Ese pesimismo es la tesis: el precio descuenta crecer un 2 % anual mientras la empresa crece un 11-12 % y sube la guía.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1 explicados. Fuentes: 91 (70 primarias); citas distintas en el texto: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8,1 % real: genera una variación de circulante de 203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(54,0x → 34,8x), Workday (34,7x → 21,5x): el salto implica un crecimiento del EBITDA que no cuadra con el de las ventas. ¿EBITDA de proveedores distintos, o un cambio de perímetro? Explicación: ServiceNow y Workday excluyen de su EBITDA ajustado más partidas que los pagos en acciones y su amortización en XBRL parece baja; los comparables pesan solo un 10 % y el texto avisa de que la mediana está inflada.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6,4 %: para comprar o ampliar hace falta motivo de negocio propio; para mantener basta la vigente.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fuentes (70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Adobe (no publican consenso); 2) 10-Q (no lo recogen); 3) se compara con la guía de la propia empresa en trimestres.extra; el consenso previo de cada trimestre no está en fuentes primarias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(sin mención a las agencias); 2) 10-Q 3T26 (sin mención); 3) folleto de las emisiones de 2024-2025 en EDGAR : no se llegaron a revisar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de Adobe: no publica cuota; 2) informes de mercado de Global Industry Analysts y Lucintel: su tamaño (9.800 M USD) es menor que los ingresos de Digital Media, cuota sin sentido; 3) suma de ingresos de los principales proveedores: Canva y Midjourney no publican ingresos auditados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mercado (resúmenes públicos sin cuotas); 2) 10-K de Adobe y competidores; 3) prensa sobre Canva y Midjourney sin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Global Industry Analysts: solo 2024 y 2030; 2) Lucintel: solo previsión 2025-2031; 3) búsqueda de otras series históricas del mercado creativo sin resultado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 Canva ingresos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Canva no cotiza ni presenta cuentas públicas; 2) TechCrunch (feb-2026): solo ARR de 4.000 M USD; 3) prensa de agosto de 2026 sobre la actualización a inversores del 2T26 sin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Sustainalytics de Adobe (carga por JavaScript, sin puntuación); 2) KnowESG (403); 3) página de sostenibilidad de Adobe (sin calificaciones ni puntuación CDP)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equipo[Steven Day].participacion_pct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de propiedad (no figura: no era directivo); 2) 8-K del 11-jun-2026 (sin participación); 3) form4.mjs desde 2025-10-10 (sin operaciones suyas)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3T26 y 10-Q: sin fecha del 4T; 2) lista de presentaciones de EDGAR: ningún aviso de fecha; 3) búsqueda web de calendarios de resultados: solo «diciembre de 2026» sin día confirmado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a 3 y 12 meses del BPA y del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gráfico sin cifras; 2) Stock Analysis, previsiones: FY2027-FY2028 de pago; 3) recomendaciones de julio y octubre de Stock Analysis como sustituto parcial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de los próximos ejercicios; 2) Stock Analysis: múltiplos históricos con datos pasados, no previstos; 3) sin serie gratuita de consenso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Altium por Renesas (valor empresa y 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en Business Wire: error 403; 2) Altium no presenta en la SEC (cotizaba en la ASX); 3) solo resúmenes de buscador, que no valen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(r/stocks, r/ValueInvesting): bloqueado para la lectura automática; 2) Stocktwits y Seeking Alpha: contenido con JavaScript o de pago; 3) búsqueda de comentarios de 2026: solo crónicas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Form 10-K, ejercicio fiscal 2025 (cerrado el 28-nov-2025)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https://www.sec.gov/Archives/edgar/data/796343/000079634326000003/adbe-20251128.htm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Form 10-K, ejercicio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https://www.sec.gov/Archives/edgar/data/796343/000079634324000006/adbe-20231201.htm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10-K, ejercicio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https://www.sec.gov/Archives/edgar/data/796343/000079634322000032/adbe-20211203.htm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10-K, ejercicio fiscal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https://www.sec.gov/Archives/edgar/data/796343/000079634320000013/adbe10kfy19.htm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XBRL Company Facts (series anuales de los 10-K FY2016-FY2025)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https://data.sec.gov/api/xbrl/companyfacts/CIK0000796343.json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10-Q, tercer trimestre FY2026 (cerrado el 28-ago-2026)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https://www.sec.gov/Archives/edgar/data/796343/000079634326000156/adbe-20260828.htm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Reports Record Q3 Results (FY2026),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https://www.sec.gov/Archives/edgar/data/796343/000079634326000147/adbeex991q326.htm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FY2026,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https://www.sec.gov/Archives/edgar/data/796343/000079634326000109/adbeex991q226.htm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FY2026,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https://www.sec.gov/Archives/edgar/data/796343/000079634326000048/adbeex991q126.htm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https://www.sec.gov/Archives/edgar/data/796343/000079634325000135/adbeex991q425.htm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https://www.sec.gov/Archives/edgar/data/796343/000079634325000102/adbeex991q325.htm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https://www.sec.gov/Archives/edgar/data/796343/000079634325000064/adbeex991q225.htm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https://www.sec.gov/Archives/edgar/data/796343/000079634325000052/adbeex991q125.htm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FY2024,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https://www.sec.gov/Archives/edgar/data/796343/000079634324000250/adbeex991q424.htm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Announces Anil Chakravarthy to Become President and CEO,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https://www.sec.gov/Archives/edgar/data/796343/000079634326000144/adbeex9918-k9826.htm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Q3 FY2026 Earnings Call, transcripción corregida (FactSet CallStreet)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https://www.adobe.com/cc-shared/assets/investor-relations/pdfs/adbe-q3fy26-transcript.pdf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Q2 FY2026 Earnings Call, transcripción corregida (FactSet CallStreet)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https://www.adobe.com/cc-shared/assets/investor-relations/pdfs/adbe-q2fy26-transcript.pdf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8-K (Item 5.02): nombramiento de Anil Chakravarthy como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https://www.sec.gov/Archives/edgar/data/796343/000079634326000144/adbe-20260902.htm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Fast Facts (historia, productos y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https://www.adobe.com/about-adobe/fast-facts.html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Meet Creative Cloud Pro: new tools and expansive creative controls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https://blog.adobe.com/en/publish/2025/05/15/meet-creative-cloud-pro-new-tools-expansive-creative-controls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turns subscription screw again, telling users to pay up or downgrade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https://www.theregister.com/2025/05/20/adobe_price_hikes/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Canva gets to $4B in revenue as LLM referral traffic rises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TechCrunch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https://techcrunch.com/2026/02/18/canva-gets-to-4b-in-revenue-as-llm-referral-traffic-rises/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Form 10-K, ejercicio fiscal 2026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https://www.sec.gov/Archives/edgar/data/769397/000076939726000015/adsk-20260131.htm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fiscal 2026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https://www.sec.gov/Archives/edgar/data/1108524/000110852426000060/crm-20260131.htm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ejercicio fiscal 2026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https://www.sec.gov/Archives/edgar/data/1579878/000162828026009228/fig-20251231.htm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Announces Second Quarter 2026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https://www.sec.gov/Archives/edgar/data/1579878/000162828026053331/q226pressrelease.htm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Wix.com Ltd. Form 20-F,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https://www.sec.gov/Archives/edgar/data/1576789/000162828026015222/wix-20251231.htm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https://www.sec.gov/Archives/edgar/data/1549346/000154934626000008/sstk-20251231.htm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Holdings,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https://www.sec.gov/Archives/edgar/data/1898496/000162828026018160/gety-20251231.htm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Form 8-K (Item 1.02): terminación del acuerdo de fusión con Getty Images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https://www.sec.gov/Archives/edgar/data/1549346/000114036126028035/ef20077612_8k.htm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Form 8-K (Items 3.01 y 8.01): proceso de exclusión de cotización en la NYSE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https://www.sec.gov/Archives/edgar/data/1898496/000121390026105790/ea0307245-8k_getty.htm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Creative Software: Global Market (resumen del informe)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Industry Analysts / Global Information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https://www.giikorea.co.kr/report/go1786340-creative-software.html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PDF Software Market Report: Trends, Forecast and Competitive Analysis to 2031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Lucintel / Global Information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https://www.giikorea.co.kr/report/luci1679702-pdf-software-market-report-trends-forecast.html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 models in Adobe products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Help Center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https://helpx.adobe.com/firefly/get-set-up/learn-the-basics/non-adobe-models-in-adobe-products.html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2025 earnings call: remarks from our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 Google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https://blog.google/inside-google/message-ceo/alphabet-earnings-q3-2025/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Affinity new version is free forever for everyone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ProVideo Coalition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https://www.provideocoalition.com/affinity-new-version-is-free-forever-for-everyone/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Agrees to $150 Million Settlement and Injunction to Resolve Alleged Violations of the Restore Online Shoppers' Confidence 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https://www.justice.gov/opa/pr/adobe-agrees-150-million-settlement-and-injunction-resolve-alleged-violations-restore-online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Sustainability at scale (objetivos climáticos)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https://www.adobe.com/de/about-adobe/corporate-responsibility/sustainability-at-scale.html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https://www.sec.gov/Archives/edgar/data/796343/000079634326000043/adbe-20260227.htm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(Items 5.02, 5.07 y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https://www.sec.gov/Archives/edgar/data/796343/000079634326000101/adbe-20260415.htm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(Items 5.02,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https://www.sec.gov/Archives/edgar/data/796343/000162828025019665/adbe-20250422.htm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2024 (Items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https://www.sec.gov/Archives/edgar/data/796343/000079634324000086/adbe-20240417.htm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carta de retención de Louise Pentland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https://www.sec.gov/Archives/edgar/data/796343/000079634326000120/adbe-20260714.htm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del 2T FY26, dimisión del director financiero y nombramiento interino (Items 2.02 y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https://www.sec.gov/Archives/edgar/data/796343/000079634326000109/adbe-20260608.htm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del 1T FY26 y anuncio de la salida de Narayen como consejero delegado (Items 2.02 y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https://www.sec.gov/Archives/edgar/data/796343/000079634326000048/adbe-20260309.htm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programa de acciones por objetivos 2026, plan de variable anual 2026 y política de indemnizaciones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https://www.sec.gov/Archives/edgar/data/796343/000079634326000019/adbe-20260126.htm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Scott Belsky y programa de acciones por objetivos 2025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https://www.sec.gov/Archives/edgar/data/796343/000079634325000036/adbe-20250124.htm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Adobe, 10-oct-2025 a 9-oct-2026 (70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https://www.sec.gov/cgi-bin/browse-edgar?action=getcompany&amp;CIK=0000796343&amp;type=4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BlackRock, Inc.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https://www.sec.gov/Archives/edgar/data/796343/000201238326002160/xslSCHEDULE_13G_X02/primary_doc.xml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State Street Corporation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https://www.sec.gov/Archives/edgar/data/796343/000009375126000403/xslSCHEDULE_13G_X02/primary_doc.xml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https://www.sec.gov/Archives/edgar/data/796343/000210011926000106/xslSCHEDULE_13G_X02/primary_doc.xml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https://www.sec.gov/Archives/edgar/data/796343/000010290926000382/xslSCHEDULE_13G_X02/primary_doc.xml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FY2020 y objetivos de FY2021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https://www.sec.gov/Archives/edgar/data/796343/000079634320000248/adbeex991q420.htm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FY2021 y objetivos de FY2022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https://www.sec.gov/Archives/edgar/data/796343/000079634321000247/adbeex991q421.htm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FY2022 y objetivos de FY2023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https://www.sec.gov/Archives/edgar/data/796343/000079634322000225/adbeex991q422.htm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FY2023 y objetivos de FY2024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https://www.sec.gov/Archives/edgar/data/796343/000079634323000252/adbeex991q423.htm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y Figma acuerdan terminar el acuerdo de fusión (nota de prensa,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https://www.sec.gov/Archives/edgar/data/796343/000079634323000254/adbedecember182023pressrel.htm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estimaciones anuales (finanzas)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https://stockanalysis.com/stocks/adbe/forecast/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ADBE, ^GSPC, IGV y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https://finance.yahoo.com/quote/ADBE/history/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https://stockanalysis.com/stocks/adbe/statistics/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https://www.marketscreener.com/quote/stock/AUTODESK-INC-40246776/finances/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https://www.marketscreener.com/quote/stock/SERVICENOW-INC-10912979/finances/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https://www.marketscreener.com/quote/stock/WORKDAY-INC-37866670/finances/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https://www.marketscreener.com/quote/stock/FIGMA-INC-192764947/finances/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https://data.sec.gov/api/xbrl/companyfacts/CIK0000789019.json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https://data.sec.gov/api/xbrl/companyfacts/CIK0001108524.json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https://data.sec.gov/api/xbrl/companyfacts/CIK0000896878.json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https://data.sec.gov/api/xbrl/companyfacts/CIK0001373715.json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https://data.sec.gov/api/xbrl/companyfacts/CIK0001327811.json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https://data.sec.gov/api/xbrl/companyfacts/CIK0001579878.json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to Acquire Figma: presentación y nota a inversores (Form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https://www.sec.gov/Archives/edgar/data/796343/000114036122033504/ny20005310x4_425.htm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Creating a Leader in Silicon to Systems Design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https://news.synopsys.com/2024-01-16-Synopsys-to-Acquire-Ansys,-Creating-a-Leader-in-Silicon-to-Systems-Design-Solutions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to acquire Splunk (nota conjunta, Exhibit 99.1 del 8-K de Splunk)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Splunk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https://www.sec.gov/Archives/edgar/data/1353283/000110465923102594/tm2326347d1_ex99-1.htm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Smartsheet to be Acquired by Blackstone and Vista Equity Partners for $8.4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Smartsheet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https://www.smartsheet.com/content-center/news/smartsheet-be-acquired-blackstone-and-vista-equity-partners-84-billion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Form 10-Q del trimestre cerrado el 31-jul-2025 (nota sobre Informatica)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https://www.sec.gov/Archives/edgar/data/1108524/000110852425000088/crm-20250731.htm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Splunk: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https://data.sec.gov/api/xbrl/companyfacts/CIK0001353283.json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https://data.sec.gov/api/xbrl/companyfacts/CIK0001013462.json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Smartsheet: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https://data.sec.gov/api/xbrl/companyfacts/CIK0001366561.json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Informatica: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https://data.sec.gov/api/xbrl/companyfacts/CIK0001868778.json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lista de presentaciones en EDGAR (8-K del 10-dic-2025 y del 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https://data.sec.gov/submissions/CIK0000796343.json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(ADBE-Q):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https://stockchase.com/ADBE-Q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 shares plunge 6% following unexpected CEO succession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https://parameter.io/adobe-adbe-shares-plunge-6-following-unexpected-ceo-succession-announcement/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90,3 %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del NASDAQ (ADBE), en dólares. El precio es el cierre del viernes 9-oct-2026 (242,27 USD); el corte cae en sábado [62]. Las acciones (389,2 M) son las de la portada del 10-Q del 3T26, del 18-sep-2026; el puente es del 28-ago-2026 y resta unos 475 M de recompras posteriores (estimación) [6]. El ejercicio es de 52/53 semanas y cierra a finales de noviembre (FY2025: 28-nov-2025). EBITDA en US GAAP, con los pagos en acciones como gasto (8,2 % de las ventas en FY2025); el consenso de MarketScreener los excluye y el motor resta un 8,3 % de las ventas para comparar [1, 59]. Los arrendamientos operativos (399 M) no van al puente (US GAAP). Desde FY2026 la empresa reporta un único segmento: los tres segmentos anteriores (Digital Media, Digital Experience y Publishing and Advertising) se dan con su historia reexpresada hasta FY2025, solo con ingresos, y el ARR de Digital Media se sustituye por el ARR total [1, 6]. Sin rating gratuito ni fecha confirmada de los resultados del 4T26.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Adobe Inc. (ADBE)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242,27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Hoja1!$B$2:$B$9</c:f>
              <c:numCache>
                <c:formatCode>#,##0</c:formatCode>
                <c:ptCount val="8"/>
                <c:pt idx="0">
                  <c:v>190.12</c:v>
                </c:pt>
                <c:pt idx="1">
                  <c:v>195</c:v>
                </c:pt>
                <c:pt idx="2">
                  <c:v>406.33</c:v>
                </c:pt>
                <c:pt idx="3">
                  <c:v>492.49</c:v>
                </c:pt>
                <c:pt idx="4">
                  <c:v>270.47</c:v>
                </c:pt>
                <c:pt idx="5">
                  <c:v>169</c:v>
                </c:pt>
                <c:pt idx="6">
                  <c:v>335.34</c:v>
                </c:pt>
                <c:pt idx="7">
                  <c:v>241.06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Hoja1!$C$2:$C$9</c:f>
              <c:numCache>
                <c:formatCode>#,##0</c:formatCode>
                <c:ptCount val="8"/>
                <c:pt idx="0">
                  <c:v>173.57999999999998</c:v>
                </c:pt>
                <c:pt idx="1">
                  <c:v>178</c:v>
                </c:pt>
                <c:pt idx="2">
                  <c:v>178.26000000000005</c:v>
                </c:pt>
                <c:pt idx="3">
                  <c:v>129.15999999999997</c:v>
                </c:pt>
                <c:pt idx="4">
                  <c:v>55.85999999999996</c:v>
                </c:pt>
                <c:pt idx="5">
                  <c:v>166.05</c:v>
                </c:pt>
                <c:pt idx="6">
                  <c:v>50.81</c:v>
                </c:pt>
                <c:pt idx="7">
                  <c:v>2.4199999999999875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Digital Media</c:v>
                </c:pt>
              </c:strCache>
            </c:strRef>
          </c:tx>
          <c:spPr>
            <a:solidFill>
              <a:srgbClr val="2A78D6"/>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7707</c:v>
                </c:pt>
                <c:pt idx="1">
                  <c:v>9233</c:v>
                </c:pt>
                <c:pt idx="2">
                  <c:v>11520</c:v>
                </c:pt>
                <c:pt idx="3">
                  <c:v>12842</c:v>
                </c:pt>
                <c:pt idx="4">
                  <c:v>14216</c:v>
                </c:pt>
                <c:pt idx="5">
                  <c:v>15864</c:v>
                </c:pt>
                <c:pt idx="6">
                  <c:v>17649</c:v>
                </c:pt>
              </c:numCache>
            </c:numRef>
          </c:val>
        </c:ser>
        <c:ser>
          <c:idx val="1"/>
          <c:order val="1"/>
          <c:tx>
            <c:strRef>
              <c:f>Hoja1!$C$1</c:f>
              <c:strCache>
                <c:ptCount val="1"/>
                <c:pt idx="0">
                  <c:v>Digital Experience</c:v>
                </c:pt>
              </c:strCache>
            </c:strRef>
          </c:tx>
          <c:spPr>
            <a:solidFill>
              <a:srgbClr val="EB6834"/>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2795</c:v>
                </c:pt>
                <c:pt idx="1">
                  <c:v>3125</c:v>
                </c:pt>
                <c:pt idx="2">
                  <c:v>3867</c:v>
                </c:pt>
                <c:pt idx="3">
                  <c:v>4422</c:v>
                </c:pt>
                <c:pt idx="4">
                  <c:v>4893</c:v>
                </c:pt>
                <c:pt idx="5">
                  <c:v>5366</c:v>
                </c:pt>
                <c:pt idx="6">
                  <c:v>5864</c:v>
                </c:pt>
              </c:numCache>
            </c:numRef>
          </c:val>
        </c:ser>
        <c:ser>
          <c:idx val="2"/>
          <c:order val="2"/>
          <c:tx>
            <c:strRef>
              <c:f>Hoja1!$D$1</c:f>
              <c:strCache>
                <c:ptCount val="1"/>
                <c:pt idx="0">
                  <c:v>Publishing and Advertising</c:v>
                </c:pt>
              </c:strCache>
            </c:strRef>
          </c:tx>
          <c:spPr>
            <a:solidFill>
              <a:srgbClr val="1BAF7A"/>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669</c:v>
                </c:pt>
                <c:pt idx="1">
                  <c:v>510</c:v>
                </c:pt>
                <c:pt idx="2">
                  <c:v>398</c:v>
                </c:pt>
                <c:pt idx="3">
                  <c:v>342</c:v>
                </c:pt>
                <c:pt idx="4">
                  <c:v>300</c:v>
                </c:pt>
                <c:pt idx="5">
                  <c:v>275</c:v>
                </c:pt>
                <c:pt idx="6">
                  <c:v>256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Digital Media</c:v>
                </c:pt>
                <c:pt idx="1">
                  <c:v>Digital Experience</c:v>
                </c:pt>
                <c:pt idx="2">
                  <c:v>Publishing and Advertising</c:v>
                </c:pt>
              </c:strCache>
            </c:strRef>
          </c:cat>
          <c:val>
            <c:numRef>
              <c:f>Hoja1!$B$2:$B$4</c:f>
              <c:numCache>
                <c:formatCode>General</c:formatCode>
                <c:ptCount val="3"/>
                <c:pt idx="0">
                  <c:v>74.3</c:v>
                </c:pt>
                <c:pt idx="1">
                  <c:v>24.7</c:v>
                </c:pt>
                <c:pt idx="2">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c:v>
                </c:pt>
                <c:pt idx="1">
                  <c:v>EMEA</c:v>
                </c:pt>
                <c:pt idx="2">
                  <c:v>Asia-Pacífico</c:v>
                </c:pt>
              </c:strCache>
            </c:strRef>
          </c:cat>
          <c:val>
            <c:numRef>
              <c:f>Hoja1!$B$2:$B$4</c:f>
              <c:numCache>
                <c:formatCode>0"%"</c:formatCode>
                <c:ptCount val="3"/>
                <c:pt idx="0">
                  <c:v>59.4</c:v>
                </c:pt>
                <c:pt idx="1">
                  <c:v>26.5</c:v>
                </c:pt>
                <c:pt idx="2">
                  <c:v>14.1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(software creativo mundial, Global Industry Analysts; 2025e-2029e interpolados))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2024</c:v>
                </c:pt>
                <c:pt idx="1">
                  <c:v>2025e</c:v>
                </c:pt>
                <c:pt idx="2">
                  <c:v>2026e</c:v>
                </c:pt>
                <c:pt idx="3">
                  <c:v>2027e</c:v>
                </c:pt>
                <c:pt idx="4">
                  <c:v>2028e</c:v>
                </c:pt>
                <c:pt idx="5">
                  <c:v>2029e</c:v>
                </c:pt>
                <c:pt idx="6">
                  <c:v>2030e</c:v>
                </c:pt>
              </c:strCache>
            </c:strRef>
          </c:cat>
          <c:val>
            <c:numRef>
              <c:f>Hoja1!$B$2:$B$8</c:f>
              <c:numCache>
                <c:formatCode>#,##0</c:formatCode>
                <c:ptCount val="7"/>
                <c:pt idx="0">
                  <c:v>9800</c:v>
                </c:pt>
                <c:pt idx="1">
                  <c:v>10413</c:v>
                </c:pt>
                <c:pt idx="2">
                  <c:v>11063</c:v>
                </c:pt>
                <c:pt idx="3">
                  <c:v>11755</c:v>
                </c:pt>
                <c:pt idx="4">
                  <c:v>12490</c:v>
                </c:pt>
                <c:pt idx="5">
                  <c:v>13271</c:v>
                </c:pt>
                <c:pt idx="6">
                  <c:v>14100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3</c:v>
                </c:pt>
                <c:pt idx="3">
                  <c:v>4</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Adobe</c:v>
                </c:pt>
                <c:pt idx="1">
                  <c:v>Canva</c:v>
                </c:pt>
                <c:pt idx="2">
                  <c:v>Figma</c:v>
                </c:pt>
                <c:pt idx="3">
                  <c:v>Microsoft</c:v>
                </c:pt>
                <c:pt idx="4">
                  <c:v>Salesforce</c:v>
                </c:pt>
                <c:pt idx="5">
                  <c:v>Autodesk</c:v>
                </c:pt>
                <c:pt idx="6">
                  <c:v>Wix</c:v>
                </c:pt>
                <c:pt idx="7">
                  <c:v>Shutterstock</c:v>
                </c:pt>
                <c:pt idx="8">
                  <c:v>Getty Images</c:v>
                </c:pt>
              </c:strCache>
            </c:strRef>
          </c:cat>
          <c:val>
            <c:numRef>
              <c:f>Hoja1!$B$2:$B$10</c:f>
              <c:numCache>
                <c:formatCode>0.0"%"</c:formatCode>
                <c:ptCount val="9"/>
                <c:pt idx="0">
                  <c:v>36.6</c:v>
                </c:pt>
                <c:pt idx="2">
                  <c:v>-122.2</c:v>
                </c:pt>
                <c:pt idx="3">
                  <c:v>46.8</c:v>
                </c:pt>
                <c:pt idx="4">
                  <c:v>20.1</c:v>
                </c:pt>
                <c:pt idx="5">
                  <c:v>21.9</c:v>
                </c:pt>
                <c:pt idx="6">
                  <c:v>0.1</c:v>
                </c:pt>
                <c:pt idx="7">
                  <c:v>7.6</c:v>
                </c:pt>
                <c:pt idx="8">
                  <c:v>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strCache>
            </c:strRef>
          </c:cat>
          <c:val>
            <c:numRef>
              <c:f>Hoja1!$B$2:$B$19</c:f>
              <c:numCache>
                <c:formatCode>#,##0</c:formatCode>
                <c:ptCount val="18"/>
                <c:pt idx="0">
                  <c:v>5854.4</c:v>
                </c:pt>
                <c:pt idx="1">
                  <c:v>7301.5</c:v>
                </c:pt>
                <c:pt idx="2">
                  <c:v>9030</c:v>
                </c:pt>
                <c:pt idx="3">
                  <c:v>11171</c:v>
                </c:pt>
                <c:pt idx="4">
                  <c:v>12868</c:v>
                </c:pt>
                <c:pt idx="5">
                  <c:v>15785</c:v>
                </c:pt>
                <c:pt idx="6">
                  <c:v>17606</c:v>
                </c:pt>
                <c:pt idx="7">
                  <c:v>19409</c:v>
                </c:pt>
                <c:pt idx="8">
                  <c:v>21505</c:v>
                </c:pt>
                <c:pt idx="9">
                  <c:v>23769</c:v>
                </c:pt>
                <c:pt idx="10">
                  <c:v>26621</c:v>
                </c:pt>
                <c:pt idx="11">
                  <c:v>28884</c:v>
                </c:pt>
                <c:pt idx="12">
                  <c:v>31195</c:v>
                </c:pt>
                <c:pt idx="13">
                  <c:v>33378</c:v>
                </c:pt>
                <c:pt idx="14">
                  <c:v>35381</c:v>
                </c:pt>
                <c:pt idx="15">
                  <c:v>37150</c:v>
                </c:pt>
                <c:pt idx="16">
                  <c:v>38636</c:v>
                </c:pt>
                <c:pt idx="17">
                  <c:v>39795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strCache>
            </c:strRef>
          </c:cat>
          <c:val>
            <c:numRef>
              <c:f>Hoja1!$C$2:$C$19</c:f>
              <c:numCache>
                <c:formatCode>#,##0</c:formatCode>
                <c:ptCount val="18"/>
                <c:pt idx="0">
                  <c:v>1825.1</c:v>
                </c:pt>
                <c:pt idx="1">
                  <c:v>2494.1</c:v>
                </c:pt>
                <c:pt idx="2">
                  <c:v>3186</c:v>
                </c:pt>
                <c:pt idx="3">
                  <c:v>4025</c:v>
                </c:pt>
                <c:pt idx="4">
                  <c:v>4994</c:v>
                </c:pt>
                <c:pt idx="5">
                  <c:v>6590</c:v>
                </c:pt>
                <c:pt idx="6">
                  <c:v>6954</c:v>
                </c:pt>
                <c:pt idx="7">
                  <c:v>7522</c:v>
                </c:pt>
                <c:pt idx="8">
                  <c:v>8676</c:v>
                </c:pt>
                <c:pt idx="9">
                  <c:v>9524</c:v>
                </c:pt>
                <c:pt idx="10">
                  <c:v>10515</c:v>
                </c:pt>
                <c:pt idx="11">
                  <c:v>11554</c:v>
                </c:pt>
                <c:pt idx="12">
                  <c:v>12634</c:v>
                </c:pt>
                <c:pt idx="13">
                  <c:v>13518</c:v>
                </c:pt>
                <c:pt idx="14">
                  <c:v>14329</c:v>
                </c:pt>
                <c:pt idx="15">
                  <c:v>15046</c:v>
                </c:pt>
                <c:pt idx="16">
                  <c:v>15648</c:v>
                </c:pt>
                <c:pt idx="17">
                  <c:v>16117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86</c:v>
                </c:pt>
                <c:pt idx="1">
                  <c:v>86.2</c:v>
                </c:pt>
                <c:pt idx="2">
                  <c:v>86.8</c:v>
                </c:pt>
                <c:pt idx="3">
                  <c:v>85</c:v>
                </c:pt>
                <c:pt idx="4">
                  <c:v>86.6</c:v>
                </c:pt>
                <c:pt idx="5">
                  <c:v>88.2</c:v>
                </c:pt>
                <c:pt idx="6">
                  <c:v>87.7</c:v>
                </c:pt>
                <c:pt idx="7">
                  <c:v>87.9</c:v>
                </c:pt>
                <c:pt idx="8">
                  <c:v>89</c:v>
                </c:pt>
                <c:pt idx="9">
                  <c:v>89.3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31.2</c:v>
                </c:pt>
                <c:pt idx="1">
                  <c:v>34.2</c:v>
                </c:pt>
                <c:pt idx="2">
                  <c:v>35.3</c:v>
                </c:pt>
                <c:pt idx="3">
                  <c:v>36</c:v>
                </c:pt>
                <c:pt idx="4">
                  <c:v>38.8</c:v>
                </c:pt>
                <c:pt idx="5">
                  <c:v>41.7</c:v>
                </c:pt>
                <c:pt idx="6">
                  <c:v>39.5</c:v>
                </c:pt>
                <c:pt idx="7">
                  <c:v>38.8</c:v>
                </c:pt>
                <c:pt idx="8">
                  <c:v>40.3</c:v>
                </c:pt>
                <c:pt idx="9">
                  <c:v>40.1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25.5</c:v>
                </c:pt>
                <c:pt idx="1">
                  <c:v>29.7</c:v>
                </c:pt>
                <c:pt idx="2">
                  <c:v>31.5</c:v>
                </c:pt>
                <c:pt idx="3">
                  <c:v>29.3</c:v>
                </c:pt>
                <c:pt idx="4">
                  <c:v>32.9</c:v>
                </c:pt>
                <c:pt idx="5">
                  <c:v>36.8</c:v>
                </c:pt>
                <c:pt idx="6">
                  <c:v>34.6</c:v>
                </c:pt>
                <c:pt idx="7">
                  <c:v>34.3</c:v>
                </c:pt>
                <c:pt idx="8">
                  <c:v>36.4</c:v>
                </c:pt>
                <c:pt idx="9">
                  <c:v>36.6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20</c:v>
                </c:pt>
                <c:pt idx="1">
                  <c:v>23.2</c:v>
                </c:pt>
                <c:pt idx="2">
                  <c:v>28.7</c:v>
                </c:pt>
                <c:pt idx="3">
                  <c:v>26.4</c:v>
                </c:pt>
                <c:pt idx="4">
                  <c:v>40.9</c:v>
                </c:pt>
                <c:pt idx="5">
                  <c:v>30.5</c:v>
                </c:pt>
                <c:pt idx="6">
                  <c:v>27</c:v>
                </c:pt>
                <c:pt idx="7">
                  <c:v>28</c:v>
                </c:pt>
                <c:pt idx="8">
                  <c:v>25.9</c:v>
                </c:pt>
                <c:pt idx="9">
                  <c:v>30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11.1</c:v>
                </c:pt>
                <c:pt idx="1">
                  <c:v>10.3</c:v>
                </c:pt>
                <c:pt idx="2">
                  <c:v>10.6</c:v>
                </c:pt>
                <c:pt idx="3">
                  <c:v>10.7</c:v>
                </c:pt>
                <c:pt idx="4">
                  <c:v>10.5</c:v>
                </c:pt>
                <c:pt idx="5">
                  <c:v>12</c:v>
                </c:pt>
                <c:pt idx="6">
                  <c:v>12.7</c:v>
                </c:pt>
                <c:pt idx="7">
                  <c:v>12.9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52</c:v>
                </c:pt>
                <c:pt idx="1">
                  <c:v>61</c:v>
                </c:pt>
                <c:pt idx="2">
                  <c:v>53</c:v>
                </c:pt>
                <c:pt idx="3">
                  <c:v>50</c:v>
                </c:pt>
                <c:pt idx="4">
                  <c:v>40</c:v>
                </c:pt>
                <c:pt idx="5">
                  <c:v>43</c:v>
                </c:pt>
                <c:pt idx="6">
                  <c:v>43</c:v>
                </c:pt>
                <c:pt idx="7">
                  <c:v>42</c:v>
                </c:pt>
                <c:pt idx="8">
                  <c:v>35</c:v>
                </c:pt>
                <c:pt idx="9">
                  <c:v>36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39</c:v>
                </c:pt>
                <c:pt idx="1">
                  <c:v>41</c:v>
                </c:pt>
                <c:pt idx="2">
                  <c:v>57</c:v>
                </c:pt>
                <c:pt idx="3">
                  <c:v>46</c:v>
                </c:pt>
                <c:pt idx="4">
                  <c:v>65</c:v>
                </c:pt>
                <c:pt idx="5">
                  <c:v>61</c:v>
                </c:pt>
                <c:pt idx="6">
                  <c:v>64</c:v>
                </c:pt>
                <c:pt idx="7">
                  <c:v>49</c:v>
                </c:pt>
                <c:pt idx="8">
                  <c:v>56</c:v>
                </c:pt>
                <c:pt idx="9">
                  <c:v>60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1995.8999999999999</c:v>
                </c:pt>
                <c:pt idx="1">
                  <c:v>2734.8</c:v>
                </c:pt>
                <c:pt idx="2">
                  <c:v>3762</c:v>
                </c:pt>
                <c:pt idx="3">
                  <c:v>4027</c:v>
                </c:pt>
                <c:pt idx="4">
                  <c:v>5308</c:v>
                </c:pt>
                <c:pt idx="5">
                  <c:v>6882</c:v>
                </c:pt>
                <c:pt idx="6">
                  <c:v>7396</c:v>
                </c:pt>
                <c:pt idx="7">
                  <c:v>6942</c:v>
                </c:pt>
                <c:pt idx="8">
                  <c:v>7873</c:v>
                </c:pt>
                <c:pt idx="9">
                  <c:v>9852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1168.8</c:v>
                </c:pt>
                <c:pt idx="1">
                  <c:v>1694</c:v>
                </c:pt>
                <c:pt idx="2">
                  <c:v>2591</c:v>
                </c:pt>
                <c:pt idx="3">
                  <c:v>2951</c:v>
                </c:pt>
                <c:pt idx="4">
                  <c:v>5260</c:v>
                </c:pt>
                <c:pt idx="5">
                  <c:v>4822</c:v>
                </c:pt>
                <c:pt idx="6">
                  <c:v>4756</c:v>
                </c:pt>
                <c:pt idx="7">
                  <c:v>5428</c:v>
                </c:pt>
                <c:pt idx="8">
                  <c:v>5560</c:v>
                </c:pt>
                <c:pt idx="9">
                  <c:v>7130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26.7</c:v>
                </c:pt>
                <c:pt idx="1">
                  <c:v>37.9</c:v>
                </c:pt>
                <c:pt idx="2">
                  <c:v>35.6</c:v>
                </c:pt>
                <c:pt idx="3">
                  <c:v>29</c:v>
                </c:pt>
                <c:pt idx="4">
                  <c:v>38.7</c:v>
                </c:pt>
                <c:pt idx="5">
                  <c:v>40</c:v>
                </c:pt>
                <c:pt idx="6">
                  <c:v>38.3</c:v>
                </c:pt>
                <c:pt idx="7">
                  <c:v>43.5</c:v>
                </c:pt>
                <c:pt idx="8">
                  <c:v>51.9</c:v>
                </c:pt>
                <c:pt idx="9">
                  <c:v>61.6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11.6</c:v>
                </c:pt>
                <c:pt idx="1">
                  <c:v>11.6</c:v>
                </c:pt>
                <c:pt idx="2">
                  <c:v>11.6</c:v>
                </c:pt>
                <c:pt idx="3">
                  <c:v>11.6</c:v>
                </c:pt>
                <c:pt idx="4">
                  <c:v>11.6</c:v>
                </c:pt>
                <c:pt idx="5">
                  <c:v>11.6</c:v>
                </c:pt>
                <c:pt idx="6">
                  <c:v>11.6</c:v>
                </c:pt>
                <c:pt idx="7">
                  <c:v>11.6</c:v>
                </c:pt>
                <c:pt idx="8">
                  <c:v>11.6</c:v>
                </c:pt>
                <c:pt idx="9">
                  <c:v>11.6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15.7</c:v>
                </c:pt>
                <c:pt idx="1">
                  <c:v>21.3</c:v>
                </c:pt>
                <c:pt idx="2">
                  <c:v>29.1</c:v>
                </c:pt>
                <c:pt idx="3">
                  <c:v>29.7</c:v>
                </c:pt>
                <c:pt idx="4">
                  <c:v>44.2</c:v>
                </c:pt>
                <c:pt idx="5">
                  <c:v>34.4</c:v>
                </c:pt>
                <c:pt idx="6">
                  <c:v>33</c:v>
                </c:pt>
                <c:pt idx="7">
                  <c:v>35.5</c:v>
                </c:pt>
                <c:pt idx="8">
                  <c:v>36.3</c:v>
                </c:pt>
                <c:pt idx="9">
                  <c:v>55.4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-1.57</c:v>
                </c:pt>
                <c:pt idx="1">
                  <c:v>-1.58</c:v>
                </c:pt>
                <c:pt idx="2">
                  <c:v>0.28</c:v>
                </c:pt>
                <c:pt idx="3">
                  <c:v>-0.01</c:v>
                </c:pt>
                <c:pt idx="4">
                  <c:v>-0.38</c:v>
                </c:pt>
                <c:pt idx="5">
                  <c:v>-0.25</c:v>
                </c:pt>
                <c:pt idx="6">
                  <c:v>-0.28</c:v>
                </c:pt>
                <c:pt idx="7">
                  <c:v>-0.56</c:v>
                </c:pt>
                <c:pt idx="8">
                  <c:v>-0.26</c:v>
                </c:pt>
                <c:pt idx="9">
                  <c:v>-0.04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FY2027</c:v>
                </c:pt>
                <c:pt idx="1">
                  <c:v>FY2028</c:v>
                </c:pt>
                <c:pt idx="2">
                  <c:v>FY2029</c:v>
                </c:pt>
                <c:pt idx="3">
                  <c:v>FY2030</c:v>
                </c:pt>
                <c:pt idx="4">
                  <c:v>FY2031+</c:v>
                </c:pt>
              </c:strCache>
            </c:strRef>
          </c:cat>
          <c:val>
            <c:numRef>
              <c:f>Hoja1!$B$2:$B$6</c:f>
              <c:numCache>
                <c:formatCode>#,##0</c:formatCode>
                <c:ptCount val="5"/>
                <c:pt idx="0">
                  <c:v>1600</c:v>
                </c:pt>
                <c:pt idx="1">
                  <c:v>800</c:v>
                </c:pt>
                <c:pt idx="2">
                  <c:v>750</c:v>
                </c:pt>
                <c:pt idx="3">
                  <c:v>2000</c:v>
                </c:pt>
                <c:pt idx="4">
                  <c:v>1250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48.4</c:v>
                </c:pt>
                <c:pt idx="1">
                  <c:v>459.6</c:v>
                </c:pt>
                <c:pt idx="2">
                  <c:v>6314</c:v>
                </c:pt>
                <c:pt idx="3">
                  <c:v>101</c:v>
                </c:pt>
                <c:pt idx="4">
                  <c:v>0</c:v>
                </c:pt>
                <c:pt idx="5">
                  <c:v>2682</c:v>
                </c:pt>
                <c:pt idx="6">
                  <c:v>126</c:v>
                </c:pt>
                <c:pt idx="7">
                  <c:v>0</c:v>
                </c:pt>
                <c:pt idx="8">
                  <c:v>0</c:v>
                </c:pt>
                <c:pt idx="9">
                  <c:v>17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1075</c:v>
                </c:pt>
                <c:pt idx="1">
                  <c:v>1100</c:v>
                </c:pt>
                <c:pt idx="2">
                  <c:v>2050</c:v>
                </c:pt>
                <c:pt idx="3">
                  <c:v>2750</c:v>
                </c:pt>
                <c:pt idx="4">
                  <c:v>3050</c:v>
                </c:pt>
                <c:pt idx="5">
                  <c:v>3950</c:v>
                </c:pt>
                <c:pt idx="6">
                  <c:v>6550</c:v>
                </c:pt>
                <c:pt idx="7">
                  <c:v>4400</c:v>
                </c:pt>
                <c:pt idx="8">
                  <c:v>9500</c:v>
                </c:pt>
                <c:pt idx="9">
                  <c:v>11281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Vanguard Capital Management</c:v>
                </c:pt>
                <c:pt idx="2">
                  <c:v>State Street Corporation</c:v>
                </c:pt>
                <c:pt idx="3">
                  <c:v>Consejeros y directivos (18 personas)</c:v>
                </c:pt>
                <c:pt idx="4">
                  <c:v>Autocartera</c:v>
                </c:pt>
              </c:strCache>
            </c:strRef>
          </c:cat>
          <c:val>
            <c:numRef>
              <c:f>Hoja1!$B$2:$B$6</c:f>
              <c:numCache>
                <c:formatCode>0.0"%"</c:formatCode>
                <c:ptCount val="5"/>
                <c:pt idx="0">
                  <c:v>9.4</c:v>
                </c:pt>
                <c:pt idx="1">
                  <c:v>7.61</c:v>
                </c:pt>
                <c:pt idx="2">
                  <c:v>5.2</c:v>
                </c:pt>
                <c:pt idx="3">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9.6</c:v>
                </c:pt>
                <c:pt idx="1">
                  <c:v>70.2</c:v>
                </c:pt>
                <c:pt idx="2">
                  <c:v>29.1</c:v>
                </c:pt>
                <c:pt idx="3">
                  <c:v>45.8</c:v>
                </c:pt>
                <c:pt idx="4">
                  <c:v>51.6</c:v>
                </c:pt>
                <c:pt idx="5">
                  <c:v>13.4</c:v>
                </c:pt>
                <c:pt idx="6">
                  <c:v>-40.7</c:v>
                </c:pt>
                <c:pt idx="7">
                  <c:v>77.3</c:v>
                </c:pt>
                <c:pt idx="8">
                  <c:v>-25.5</c:v>
                </c:pt>
                <c:pt idx="9">
                  <c:v>-21.3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27.3</c:v>
                </c:pt>
                <c:pt idx="1">
                  <c:v>35.7</c:v>
                </c:pt>
                <c:pt idx="2">
                  <c:v>39.2</c:v>
                </c:pt>
                <c:pt idx="3">
                  <c:v>37.7</c:v>
                </c:pt>
                <c:pt idx="4">
                  <c:v>46</c:v>
                </c:pt>
                <c:pt idx="5">
                  <c:v>48.1</c:v>
                </c:pt>
                <c:pt idx="6">
                  <c:v>22</c:v>
                </c:pt>
                <c:pt idx="7">
                  <c:v>37.5</c:v>
                </c:pt>
                <c:pt idx="8">
                  <c:v>26.4</c:v>
                </c:pt>
                <c:pt idx="9">
                  <c:v>14.3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36.6</c:v>
                </c:pt>
                <c:pt idx="1">
                  <c:v>36.6</c:v>
                </c:pt>
                <c:pt idx="2">
                  <c:v>36.6</c:v>
                </c:pt>
                <c:pt idx="3">
                  <c:v>36.6</c:v>
                </c:pt>
                <c:pt idx="4">
                  <c:v>36.6</c:v>
                </c:pt>
                <c:pt idx="5">
                  <c:v>36.6</c:v>
                </c:pt>
                <c:pt idx="6">
                  <c:v>36.6</c:v>
                </c:pt>
                <c:pt idx="7">
                  <c:v>36.6</c:v>
                </c:pt>
                <c:pt idx="8">
                  <c:v>36.6</c:v>
                </c:pt>
                <c:pt idx="9">
                  <c:v>36.6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Adobe</c:v>
                </c:pt>
                <c:pt idx="1">
                  <c:v>Microsoft</c:v>
                </c:pt>
                <c:pt idx="2">
                  <c:v>Salesforce</c:v>
                </c:pt>
                <c:pt idx="3">
                  <c:v>Autodesk</c:v>
                </c:pt>
                <c:pt idx="4">
                  <c:v>Intuit</c:v>
                </c:pt>
                <c:pt idx="5">
                  <c:v>ServiceNow</c:v>
                </c:pt>
                <c:pt idx="6">
                  <c:v>Workday</c:v>
                </c:pt>
                <c:pt idx="7">
                  <c:v>Figma</c:v>
                </c:pt>
              </c:strCache>
            </c:strRef>
          </c:cat>
          <c:val>
            <c:numRef>
              <c:f>Hoja1!$B$2:$B$9</c:f>
              <c:numCache>
                <c:formatCode>0.0"x"</c:formatCode>
                <c:ptCount val="8"/>
                <c:pt idx="0">
                  <c:v>8.5</c:v>
                </c:pt>
                <c:pt idx="1">
                  <c:v>15.4</c:v>
                </c:pt>
                <c:pt idx="2">
                  <c:v>13.7</c:v>
                </c:pt>
                <c:pt idx="3">
                  <c:v>16.6</c:v>
                </c:pt>
                <c:pt idx="4">
                  <c:v>9.9</c:v>
                </c:pt>
                <c:pt idx="5">
                  <c:v>34.8</c:v>
                </c:pt>
                <c:pt idx="6">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Adobe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9.4</c:v>
                </c:pt>
              </c:numCache>
            </c:numRef>
          </c:xVal>
          <c:yVal>
            <c:numRef>
              <c:f>Hoja1!$C$2</c:f>
              <c:numCache>
                <c:formatCode>0.0"x"</c:formatCode>
                <c:ptCount val="1"/>
                <c:pt idx="0">
                  <c:v>8.5</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18.6</c:v>
                </c:pt>
              </c:numCache>
            </c:numRef>
          </c:xVal>
          <c:yVal>
            <c:numRef>
              <c:f>Hoja1!$C$3</c:f>
              <c:numCache>
                <c:formatCode>0.0"x"</c:formatCode>
                <c:ptCount val="1"/>
                <c:pt idx="0">
                  <c:v>15.4</c:v>
                </c:pt>
              </c:numCache>
            </c:numRef>
          </c:yVal>
          <c:smooth val="0"/>
        </c:ser>
        <c:ser>
          <c:idx val="2"/>
          <c:order val="2"/>
          <c:tx>
            <c:strRef>
              <c:f>Hoja1!$A$4</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10.3</c:v>
                </c:pt>
              </c:numCache>
            </c:numRef>
          </c:xVal>
          <c:yVal>
            <c:numRef>
              <c:f>Hoja1!$C$4</c:f>
              <c:numCache>
                <c:formatCode>0.0"x"</c:formatCode>
                <c:ptCount val="1"/>
                <c:pt idx="0">
                  <c:v>13.7</c:v>
                </c:pt>
              </c:numCache>
            </c:numRef>
          </c:yVal>
          <c:smooth val="0"/>
        </c:ser>
        <c:ser>
          <c:idx val="3"/>
          <c:order val="3"/>
          <c:tx>
            <c:strRef>
              <c:f>Hoja1!$A$5</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12.4</c:v>
                </c:pt>
              </c:numCache>
            </c:numRef>
          </c:xVal>
          <c:yVal>
            <c:numRef>
              <c:f>Hoja1!$C$5</c:f>
              <c:numCache>
                <c:formatCode>0.0"x"</c:formatCode>
                <c:ptCount val="1"/>
                <c:pt idx="0">
                  <c:v>16.6</c:v>
                </c:pt>
              </c:numCache>
            </c:numRef>
          </c:yVal>
          <c:smooth val="0"/>
        </c:ser>
        <c:ser>
          <c:idx val="4"/>
          <c:order val="4"/>
          <c:tx>
            <c:strRef>
              <c:f>Hoja1!$A$6</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9.2</c:v>
                </c:pt>
              </c:numCache>
            </c:numRef>
          </c:xVal>
          <c:yVal>
            <c:numRef>
              <c:f>Hoja1!$C$6</c:f>
              <c:numCache>
                <c:formatCode>0.0"x"</c:formatCode>
                <c:ptCount val="1"/>
                <c:pt idx="0">
                  <c:v>9.9</c:v>
                </c:pt>
              </c:numCache>
            </c:numRef>
          </c:yVal>
          <c:smooth val="0"/>
        </c:ser>
        <c:ser>
          <c:idx val="5"/>
          <c:order val="5"/>
          <c:tx>
            <c:strRef>
              <c:f>Hoja1!$A$7</c:f>
              <c:strCache>
                <c:ptCount val="1"/>
                <c:pt idx="0">
                  <c:v>ServiceNow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19.9</c:v>
                </c:pt>
              </c:numCache>
            </c:numRef>
          </c:xVal>
          <c:yVal>
            <c:numRef>
              <c:f>Hoja1!$C$7</c:f>
              <c:numCache>
                <c:formatCode>0.0"x"</c:formatCode>
                <c:ptCount val="1"/>
                <c:pt idx="0">
                  <c:v>34.8</c:v>
                </c:pt>
              </c:numCache>
            </c:numRef>
          </c:yVal>
          <c:smooth val="0"/>
        </c:ser>
        <c:ser>
          <c:idx val="6"/>
          <c:order val="6"/>
          <c:tx>
            <c:strRef>
              <c:f>Hoja1!$A$8</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10.5</c:v>
                </c:pt>
              </c:numCache>
            </c:numRef>
          </c:xVal>
          <c:yVal>
            <c:numRef>
              <c:f>Hoja1!$C$8</c:f>
              <c:numCache>
                <c:formatCode>0.0"x"</c:formatCode>
                <c:ptCount val="1"/>
                <c:pt idx="0">
                  <c:v>21.5</c:v>
                </c:pt>
              </c:numCache>
            </c:numRef>
          </c:yVal>
          <c:smooth val="0"/>
        </c:ser>
        <c:axId val="10"/>
        <c:axId val="20"/>
      </c:scatterChart>
      <c:valAx>
        <c:axId val="10"/>
        <c:scaling>
          <c:orientation val="minMax"/>
          <c:max val="23"/>
          <c:min val="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Figma</c:v>
                </c:pt>
                <c:pt idx="1">
                  <c:v>Splunk</c:v>
                </c:pt>
                <c:pt idx="2">
                  <c:v>Ansys</c:v>
                </c:pt>
                <c:pt idx="3">
                  <c:v>Smartsheet</c:v>
                </c:pt>
                <c:pt idx="4">
                  <c:v>Informatica</c:v>
                </c:pt>
              </c:strCache>
            </c:strRef>
          </c:cat>
          <c:val>
            <c:numRef>
              <c:f>Hoja1!$B$2:$B$6</c:f>
              <c:numCache>
                <c:formatCode>0.0"x"</c:formatCode>
                <c:ptCount val="5"/>
                <c:pt idx="2">
                  <c:v>51.4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FY2026e</c:v>
                </c:pt>
                <c:pt idx="1">
                  <c:v>FY2027e</c:v>
                </c:pt>
                <c:pt idx="2">
                  <c:v>FY2028e</c:v>
                </c:pt>
                <c:pt idx="3">
                  <c:v>FY2029e</c:v>
                </c:pt>
                <c:pt idx="4">
                  <c:v>FY2030e</c:v>
                </c:pt>
                <c:pt idx="5">
                  <c:v>FY2031e</c:v>
                </c:pt>
                <c:pt idx="6">
                  <c:v>FY2032e</c:v>
                </c:pt>
                <c:pt idx="7">
                  <c:v>FY2033e</c:v>
                </c:pt>
              </c:strCache>
            </c:strRef>
          </c:cat>
          <c:val>
            <c:numRef>
              <c:f>Hoja1!$B$2:$B$9</c:f>
              <c:numCache>
                <c:formatCode>#,##0</c:formatCode>
                <c:ptCount val="8"/>
                <c:pt idx="0">
                  <c:v>8040</c:v>
                </c:pt>
                <c:pt idx="1">
                  <c:v>8806</c:v>
                </c:pt>
                <c:pt idx="2">
                  <c:v>9562</c:v>
                </c:pt>
                <c:pt idx="3">
                  <c:v>10167</c:v>
                </c:pt>
                <c:pt idx="4">
                  <c:v>10709</c:v>
                </c:pt>
                <c:pt idx="5">
                  <c:v>11173</c:v>
                </c:pt>
                <c:pt idx="6">
                  <c:v>11632</c:v>
                </c:pt>
                <c:pt idx="7">
                  <c:v>12011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50799</c:v>
                </c:pt>
                <c:pt idx="1">
                  <c:v>65309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242,27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169</c:v>
                </c:pt>
                <c:pt idx="1">
                  <c:v>295.24</c:v>
                </c:pt>
                <c:pt idx="2">
                  <c:v>335.05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242,27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Hoja1!$B$2:$B$9</c:f>
              <c:numCache>
                <c:formatCode>#,##0</c:formatCode>
                <c:ptCount val="8"/>
                <c:pt idx="0">
                  <c:v>190.12</c:v>
                </c:pt>
                <c:pt idx="1">
                  <c:v>195</c:v>
                </c:pt>
                <c:pt idx="2">
                  <c:v>406.33</c:v>
                </c:pt>
                <c:pt idx="3">
                  <c:v>492.49</c:v>
                </c:pt>
                <c:pt idx="4">
                  <c:v>270.47</c:v>
                </c:pt>
                <c:pt idx="5">
                  <c:v>169</c:v>
                </c:pt>
                <c:pt idx="6">
                  <c:v>335.34</c:v>
                </c:pt>
                <c:pt idx="7">
                  <c:v>241.06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Hoja1!$C$2:$C$9</c:f>
              <c:numCache>
                <c:formatCode>#,##0</c:formatCode>
                <c:ptCount val="8"/>
                <c:pt idx="0">
                  <c:v>173.57999999999998</c:v>
                </c:pt>
                <c:pt idx="1">
                  <c:v>178</c:v>
                </c:pt>
                <c:pt idx="2">
                  <c:v>178.26000000000005</c:v>
                </c:pt>
                <c:pt idx="3">
                  <c:v>129.15999999999997</c:v>
                </c:pt>
                <c:pt idx="4">
                  <c:v>55.85999999999996</c:v>
                </c:pt>
                <c:pt idx="5">
                  <c:v>166.05</c:v>
                </c:pt>
                <c:pt idx="6">
                  <c:v>50.81</c:v>
                </c:pt>
                <c:pt idx="7">
                  <c:v>2.4199999999999875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