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Alphabet Inc.</w:t>
      </w:r>
    </w:p>
    <w:p>
      <w:pPr>
        <w:spacing w:after="60"/>
        <w:rPr>
          <w:color w:val="52514E"/>
          <w:sz w:val="22"/>
          <w:szCs w:val="22"/>
        </w:rPr>
      </w:pPr>
      <w:r>
        <w:rPr>
          <w:color w:val="52514E"/>
          <w:sz w:val="22"/>
          <w:szCs w:val="22"/>
        </w:rPr>
        <w:t xml:space="preserve">GOOGL · Nasdaq Global Select Market · ISIN US02079K3059 · Servicios de comunicación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350,50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341,58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-2,3 % (base +7,3 %)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252,74 USD · mercado 281,33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4.336.386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16,7x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Alphabet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GOOGL / US02079K3059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Servicios de comunicación / Medios interactivos y servicios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Mountain View, California (EE. UU.) · 1998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198.933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abc.xyz/investor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350,50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235,84 – 408,61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12.372,0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4.336.386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4.131.882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27,0 M acciones/día, ≈ 9.326 M USD/día en GOOGL (3 meses), más ≈ 17,9 M acciones/día y 6.129 M USD/día en GOOG [69, 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Objetivo a 12 meses </w:t>
      </w:r>
      <w:r>
        <w:rPr>
          <w:b/>
          <w:bCs/>
        </w:rPr>
        <w:t xml:space="preserve">341,58 USD</w:t>
      </w:r>
      <w:r>
        <w:t xml:space="preserve"> frente a 350,50 · Rentabilidad a 12 meses </w:t>
      </w:r>
      <w:r>
        <w:rPr>
          <w:b/>
          <w:bCs/>
        </w:rPr>
        <w:t xml:space="preserve">-2,3 % (base +7,3 %)</w:t>
      </w:r>
      <w:r>
        <w:t xml:space="preserve"> · Valor intrínseco 252,74 USD · con la prima implícita del mercado: 281,33 (-19,7 %) · Alcista / bajista +5,7 % / -61,5 %</w:t>
      </w:r>
    </w:p>
    <w:p>
      <w:pPr>
        <w:spacing w:after="100"/>
      </w:pPr>
      <w:r>
        <w:rPr>
          <w:b/>
        </w:rPr>
        <w:t xml:space="preserve">La recomendación y por qué.</w:t>
      </w:r>
      <w:r>
        <w:t xml:space="preserve"> Vender, con convicción baja. El valor objetivo es de 252,74 USD, un 27,9 % por debajo del precio de 350,50, y la rentabilidad total esperada a 12 meses es del −27,6 %. Con la prima implícita del mercado (4,2 %), 281,33 USD y −19,5 %: las dos reglas dan Vender. La asimetría es mala: el alcista gana un 5,7 % y el bajista pierde un 61,5 %. La razón: el precio paga ya el éxito de un capex que aún no ha dado caja.</w:t>
      </w:r>
    </w:p>
    <w:p>
      <w:pPr>
        <w:spacing w:after="100"/>
      </w:pPr>
      <w:r>
        <w:rPr>
          <w:b/>
        </w:rPr>
        <w:t xml:space="preserve">El negocio.</w:t>
      </w:r>
      <w:r>
        <w:t xml:space="preserve"> Alphabet es el mejor negocio publicitario del mundo y el que más rápido crece en la nube. Search creció un 17 % en el 2T26 pese a ChatGPT, con los clics de pago al +13 %, y Cloud un 82 %, con margen operativo del 35,6 % y una cartera de 514.000 M [3, 35]. El ROIC fue del 37,7 % en 2025, frente a un WACC del 10,74 %. La amenaza de la IA no se ve en los ingresos, pero sí en la cuota de búsqueda en EE. UU., que bajó del 88,0 % al 85,2 % en dos años [15]. La calidad sí sostiene el crecimiento que proyectamos: la reinversión neta prevista, el 49 % del NOPAT, financiaría al ROIC actual un 18,6 % anual frente al 13,1 % del caso base, que solo pide al capital nuevo un 20,2 %, la mitad de lo que ha rendido; la duda no es si Alphabet puede crecer, sino cuánto rendirá la inversión en IA, y eso es lo que el precio ya paga.</w:t>
      </w:r>
    </w:p>
    <w:p>
      <w:pPr>
        <w:spacing w:after="100"/>
      </w:pPr>
      <w:r>
        <w:rPr>
          <w:b/>
        </w:rPr>
        <w:t xml:space="preserve">Finanzas.</w:t>
      </w:r>
      <w:r>
        <w:t xml:space="preserve"> El cambio está en la caja. El capex pasó de 52.535 M en 2024 a una guía de 195.000-205.000 M en 2026, y el FCF de los últimos 12 meses cayó a 53.273 M, un 1,2 % de la capitalización; en el 2T26 fue negativo [3, 35]. Para financiarlo, Alphabet dejó de recomprar y captó 49.600 M en acciones y preferentes y 25.000 M en bonos [2, 79]. El beneficio neto está inflado por 135.946 M de ganancias en SpaceX y Anthropic en el 1S26, que no son caja [2].</w:t>
      </w:r>
    </w:p>
    <w:p>
      <w:pPr>
        <w:spacing w:after="100"/>
      </w:pPr>
      <w:r>
        <w:rPr>
          <w:b/>
        </w:rPr>
        <w:t xml:space="preserve">Equipo y gobierno.</w:t>
      </w:r>
      <w:r>
        <w:t xml:space="preserve"> Resta algo. Page y Brin controlan el 52,7 % del voto con al menos un 9 % del capital; descontando su voto, el rechazo a la remuneración de 2026 sería de un 47,7 % del capital libre [42, 43]. El consejo es independiente en un 70 % y el presidente no es ejecutivo.</w:t>
      </w:r>
    </w:p>
    <w:p>
      <w:pPr>
        <w:spacing w:after="100"/>
      </w:pPr>
      <w:r>
        <w:rPr>
          <w:b/>
        </w:rPr>
        <w:t xml:space="preserve">Valoración.</w:t>
      </w:r>
      <w:r>
        <w:t xml:space="preserve"> El DCF da 236,76 USD; los comparables, 302,83; la suma de partes, 274,65; los escenarios, 238,06. Todos quedan por debajo del precio. El DCF inverso dice que el precio descuenta un crecimiento medio del 16,6 % anual en 2027-2035, frente al 11,9 % de nuestro caso base, o una rentabilidad del 8,7 % anual, por debajo del WACC (10,74 %) y de lo que pide el mercado (9,86 %). Nuestros ingresos quedan un 5,6 % por debajo del consenso en 2028, y nuestro capex también; la diferencia está sobre todo en la tasa de descuento y en el crecimiento después de 2028. Por eso la convicción es baja, un escalón por debajo de la media que dan los criterios: el precio pide 4,7 puntos más de crecimiento que nuestro base, pero el Vender depende del WACC y de un capex cuyo rendimiento aún no se ve en la caja, con 57 de 62 analistas en comprar [75]. La subiría que el margen operativo de Cloud baje del 35 % al entrar la capacidad nueva; la bajaría que el flujo libre vuelva a crecer en el 3T26 y el 4T26 con el capex dentro de la guía.</w:t>
      </w:r>
    </w:p>
    <w:p>
      <w:pPr>
        <w:spacing w:after="100"/>
      </w:pPr>
      <w:r>
        <w:rPr>
          <w:b/>
        </w:rPr>
        <w:t xml:space="preserve">Riesgos y catalizadores.</w:t>
      </w:r>
      <w:r>
        <w:t xml:space="preserve"> El mayor riesgo para la tesis vendedora es que la IA amplíe el mercado como cree el consenso, con 57 de 62 analistas en comprar [75]; el alcista exige ese 17 % anual durante diez años. Para el negocio, que los asistentes erosionen Search (bajista, −61,5 %) y que el capex no rinda: un punto menos de crecimiento anual resta un 8,2 % al DCF. Medio punto más de WACC, otro 8,0 %. Catalizadores: resultados del 3T26 el 28-oct, la guía de capex de 2027 en febrero y el recurso de los remedios de búsqueda en 2027 [19, 73].</w:t>
      </w:r>
    </w:p>
    <w:p>
      <w:pPr>
        <w:spacing w:after="100"/>
      </w:pPr>
      <w:r>
        <w:rPr>
          <w:b/>
        </w:rPr>
        <w:t xml:space="preserve">Qué cambiaría la decisión.</w:t>
      </w:r>
      <w:r>
        <w:t xml:space="preserve"> Compraríamos por debajo de 241,37 USD y mantendríamos entre 241,37 y 313,65. Pasaríamos a Mantener si el margen operativo de Cloud se sostiene por encima del 35 % con la capacidad alquilada, si la guía de capex de 2027 queda por debajo de 250.000 M o si Search acelera por encima del 18 %.</w:t>
      </w:r>
    </w:p>
    <w:p>
      <w:r>
        <w:br w:type="page"/>
      </w:r>
    </w:p>
    <w:p>
      <w:pPr>
        <w:pStyle w:val="Heading1"/>
      </w:pPr>
      <w:r>
        <w:t xml:space="preserve">Resumen ejecutivo</w:t>
      </w:r>
    </w:p>
    <w:p>
      <w:pPr>
        <w:spacing w:after="100"/>
      </w:pPr>
      <w:r>
        <w:rPr>
          <w:b/>
          <w:bCs/>
        </w:rPr>
        <w:t xml:space="preserve">Recomendación: Vender</w:t>
      </w:r>
      <w:r>
        <w:t xml:space="preserve"> · Convicción: Baja · Horizonte: 12 meses · Objetivo a 12 meses: </w:t>
      </w:r>
      <w:r>
        <w:rPr>
          <w:b/>
          <w:bCs/>
        </w:rPr>
        <w:t xml:space="preserve">341,58 USD</w:t>
      </w:r>
      <w:r>
        <w:t xml:space="preserve"> (rentabilidad -2,3 % (base +7,3 %)) · Valor intrínseco: 252,74 USD (-27,9 % sobre 350,50) · con la prima implícita del mercado: 281,33 (-19,7 %)</w:t>
      </w:r>
    </w:p>
    <w:p>
      <w:pPr>
        <w:spacing w:after="100"/>
      </w:pPr>
      <w:r>
        <w:t xml:space="preserve">Alphabet es el dueño de la puerta de entrada a internet: el 89,9 % de las búsquedas del mundo, 445.866 M de ingresos en los últimos 12 meses y un margen operativo del 33 % [2, 15]. Sobre esa base ha construido la tercera nube del mundo, que crece un 82 % con margen del 35,6 % y 514.000 M contratados, y uno de los dos o tres mejores modelos de IA, con chips propios [3, 35]. El ROIC del 37,7 % y un balance con rating Aa2/AA+ lo hacen un negocio excepcional [97].</w:t>
      </w:r>
    </w:p>
    <w:p>
      <w:pPr>
        <w:spacing w:after="100"/>
      </w:pPr>
      <w:r>
        <w:t xml:space="preserve">El precio, 350,50 USD, descuenta que la inversión en IA rinda tanto como el negocio de hoy: un crecimiento medio del 16,6 % anual durante nueve años, o una rentabilidad anual del 8,7 % si se cumple nuestro caso base. Cotiza a 23,2 veces el EBITDA de los últimos 12 meses, un 33 % por encima de su mediana histórica, con un FCF del 1,2 % de la capitalización.</w:t>
      </w:r>
    </w:p>
    <w:p>
      <w:pPr>
        <w:spacing w:after="100"/>
      </w:pPr>
      <w:r>
        <w:t xml:space="preserve">El mercado acierta en la calidad del negocio y puede equivocarse en el capital que exige. El capex de 2026 será de unos 200.000 M y el de 2027 mayor; el FCF será negativo hasta 2028 en nuestro caso base, y la empresa ha pasado de recomprar 62.222 M en 2024 a emitir acciones [2, 75]. Para invertir hay que creer que Cloud convertirá su cartera con márgenes de más del 30 % y que la IA hará crecer Search, no lo sustituirá. Es posible; no es lo que paga un precio razonable.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341,58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 × 12,80 = 194,56 · 24,2x × 15,50 = 375,10 · 24,2x × 17,90 = 433,18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 / 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429,47 (nuestro base -12,7 %)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252,74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 / -61,5 %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 frente a 10,7 % y 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281,33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 frente a 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(13,1 % anual proyectado; financiable al ROIC actual: 18,6 %)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el precio pide 4,7 puntos más de crecimiento que el caso base (&lt; 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252,74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252,74 y 380,49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380,49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241,37 USD, pasaríamos a Comprar.</w:t>
      </w:r>
    </w:p>
    <w:p>
      <w:pPr>
        <w:pStyle w:val="ListParagraph"/>
        <w:numPr>
          <w:ilvl w:val="0"/>
          <w:numId w:val="2"/>
        </w:numPr>
        <w:spacing w:after="60"/>
      </w:pPr>
      <w:r>
        <w:t xml:space="preserve">Si el margen operativo de Google Cloud se mantiene por encima del 35 % en el 3T26 y el 4T26 con capacidad alquilada, pasaríamos a Mantener.</w:t>
      </w:r>
    </w:p>
    <w:p>
      <w:pPr>
        <w:pStyle w:val="ListParagraph"/>
        <w:numPr>
          <w:ilvl w:val="0"/>
          <w:numId w:val="2"/>
        </w:numPr>
        <w:spacing w:after="60"/>
      </w:pPr>
      <w:r>
        <w:t xml:space="preserve">Si la guía de capex de 2027 queda por debajo de 250.000 M con ingresos creciendo más del 20 %, pasaríamos a Mantener.</w:t>
      </w:r>
    </w:p>
    <w:p>
      <w:pPr>
        <w:pStyle w:val="ListParagraph"/>
        <w:numPr>
          <w:ilvl w:val="0"/>
          <w:numId w:val="2"/>
        </w:numPr>
        <w:spacing w:after="60"/>
      </w:pPr>
      <w:r>
        <w:t xml:space="preserve">Si Search &amp; other acelera por encima del +18 % durante dos trimestres, revisaríamos al alza el crecimiento.</w:t>
      </w:r>
    </w:p>
    <w:p>
      <w:pPr>
        <w:pStyle w:val="ListParagraph"/>
        <w:numPr>
          <w:ilvl w:val="0"/>
          <w:numId w:val="2"/>
        </w:numPr>
        <w:spacing w:after="60"/>
      </w:pPr>
      <w:r>
        <w:t xml:space="preserve">Si el Circuito de D.C. prohíbe los pagos por defecto a Apple, revisaríamos a la baja el escenario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acelera a Alphabet durante una década: el consenso espera ingresos de 733.425 M en 2028 (+22 % anual desde 2025) con un margen EBITDA del 45,8 % y un capex que sigue subiendo hasta 339.078 M [75]. El precio implica, con nuestros márgenes, un crecimiento medio del 16,6 % hasta 2035. 57 de 62 analistas recomiendan comprar, con un precio objetivo medio de 429,47 USD [75].</w:t>
      </w:r>
    </w:p>
    <w:p>
      <w:pPr>
        <w:keepNext/>
        <w:spacing w:after="100"/>
      </w:pPr>
      <w:r>
        <w:rPr>
          <w:b/>
          <w:bCs/>
        </w:rPr>
        <w:t xml:space="preserve">Lo que creemos nosotros.</w:t>
      </w:r>
    </w:p>
    <w:p>
      <w:pPr>
        <w:spacing w:after="100"/>
      </w:pPr>
      <w:r>
        <w:t xml:space="preserve">Vemos el mismo negocio con un crecimiento algo menor hasta 2028 (23,5 %, 20 % y 16 %) y una desaceleración hacia el 7 % en 2035, un margen EBITDA del 46 % y un capex que baja del 47 % al 15 % de las ventas. Con un WACC del 10,74 %, eso vale 236,76 USD por acción. La diferencia con el mercado no es de calidad, sino de cuánto rinde el capital invertido en IA y a qué tasa se descuenta.</w:t>
      </w:r>
    </w:p>
    <w:p>
      <w:pPr>
        <w:keepNext/>
        <w:spacing w:after="100"/>
      </w:pPr>
      <w:r>
        <w:rPr>
          <w:b/>
          <w:bCs/>
        </w:rPr>
        <w:t xml:space="preserve">Por qué podemos tener razón.</w:t>
      </w:r>
    </w:p>
    <w:p>
      <w:pPr>
        <w:spacing w:after="100"/>
      </w:pPr>
      <w:r>
        <w:t xml:space="preserve">En dos años, el capex ha pasado del 15 % al 40 % de las ventas y los compromisos de compra de 149.000 M a 811.000 M [2]: la empresa se ha vuelto intensiva en capital y el múltiplo de un negocio de publicidad no le corresponde. Con el bono al 5,27 %, el 8,7 % de rentabilidad implícita apenas paga 3,4 puntos de prima. La señal de que nos equivocamos sería un margen de Cloud estable por encima del 35 % mientras crece por encima del 50 %.</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50,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Search resiste a la IA</w:t>
      </w:r>
      <w:r>
        <w:t xml:space="preserve">: creció un 17 % en el 2T26, con los clics de pago al +13 % y AI Mode por encima de 1.000 M de usuarios.</w:t>
      </w:r>
    </w:p>
    <w:p>
      <w:pPr>
        <w:pStyle w:val="ListParagraph"/>
        <w:numPr>
          <w:ilvl w:val="0"/>
          <w:numId w:val="2"/>
        </w:numPr>
        <w:spacing w:after="60"/>
      </w:pPr>
      <w:r>
        <w:rPr>
          <w:b/>
        </w:rPr>
        <w:t xml:space="preserve">Cloud acelera</w:t>
      </w:r>
      <w:r>
        <w:t xml:space="preserve">: +82 % en el 2T26, margen operativo del 35,6 % y cartera de 514.000 M.</w:t>
      </w:r>
    </w:p>
    <w:p>
      <w:pPr>
        <w:pStyle w:val="ListParagraph"/>
        <w:numPr>
          <w:ilvl w:val="0"/>
          <w:numId w:val="2"/>
        </w:numPr>
        <w:spacing w:after="60"/>
      </w:pPr>
      <w:r>
        <w:rPr>
          <w:b/>
        </w:rPr>
        <w:t xml:space="preserve">Rentabilidad muy alta</w:t>
      </w:r>
      <w:r>
        <w:t xml:space="preserve">: ROIC del 37,7 %, 27 puntos por encima del WACC.</w:t>
      </w:r>
    </w:p>
    <w:p>
      <w:pPr>
        <w:pStyle w:val="ListParagraph"/>
        <w:numPr>
          <w:ilvl w:val="0"/>
          <w:numId w:val="2"/>
        </w:numPr>
        <w:spacing w:after="60"/>
      </w:pPr>
      <w:r>
        <w:rPr>
          <w:b/>
        </w:rPr>
        <w:t xml:space="preserve">Cartera de participaciones</w:t>
      </w:r>
      <w:r>
        <w:t xml:space="preserve">: SpaceX, Anthropic y otras suman 15,81 USD por acción, netas de impuestos.</w:t>
      </w:r>
    </w:p>
    <w:p>
      <w:pPr>
        <w:pStyle w:val="ListParagraph"/>
        <w:numPr>
          <w:ilvl w:val="0"/>
          <w:numId w:val="2"/>
        </w:numPr>
        <w:spacing w:after="60"/>
      </w:pPr>
      <w:r>
        <w:rPr>
          <w:b/>
        </w:rPr>
        <w:t xml:space="preserve">Balance sólido</w:t>
      </w:r>
      <w:r>
        <w:t xml:space="preserve">: deuda neta ajustada negativa (−16.051 M) y rating Aa2/AA+.</w:t>
      </w:r>
    </w:p>
    <w:p>
      <w:pPr>
        <w:pStyle w:val="Heading2"/>
      </w:pPr>
      <w:r>
        <w:t xml:space="preserve">En contra</w:t>
      </w:r>
    </w:p>
    <w:p>
      <w:pPr>
        <w:pStyle w:val="ListParagraph"/>
        <w:numPr>
          <w:ilvl w:val="0"/>
          <w:numId w:val="2"/>
        </w:numPr>
        <w:spacing w:after="60"/>
      </w:pPr>
      <w:r>
        <w:rPr>
          <w:b/>
        </w:rPr>
        <w:t xml:space="preserve">El precio pide mucho</w:t>
      </w:r>
      <w:r>
        <w:t xml:space="preserve">: descuenta un crecimiento del 16,6 % anual durante nueve años.</w:t>
      </w:r>
    </w:p>
    <w:p>
      <w:pPr>
        <w:pStyle w:val="ListParagraph"/>
        <w:numPr>
          <w:ilvl w:val="0"/>
          <w:numId w:val="2"/>
        </w:numPr>
        <w:spacing w:after="60"/>
      </w:pPr>
      <w:r>
        <w:rPr>
          <w:b/>
        </w:rPr>
        <w:t xml:space="preserve">Capex sin precedentes</w:t>
      </w:r>
      <w:r>
        <w:t xml:space="preserve">: unos 200.000 M en 2026 (40 % de las ventas) y más en 2027.</w:t>
      </w:r>
    </w:p>
    <w:p>
      <w:pPr>
        <w:pStyle w:val="ListParagraph"/>
        <w:numPr>
          <w:ilvl w:val="0"/>
          <w:numId w:val="2"/>
        </w:numPr>
        <w:spacing w:after="60"/>
      </w:pPr>
      <w:r>
        <w:rPr>
          <w:b/>
        </w:rPr>
        <w:t xml:space="preserve">Caja en mínimos</w:t>
      </w:r>
      <w:r>
        <w:t xml:space="preserve">: FCF del 1,2 % de la capitalización y negativo en el 2T26.</w:t>
      </w:r>
    </w:p>
    <w:p>
      <w:pPr>
        <w:pStyle w:val="ListParagraph"/>
        <w:numPr>
          <w:ilvl w:val="0"/>
          <w:numId w:val="2"/>
        </w:numPr>
        <w:spacing w:after="60"/>
      </w:pPr>
      <w:r>
        <w:rPr>
          <w:b/>
        </w:rPr>
        <w:t xml:space="preserve">De recomprar a emitir</w:t>
      </w:r>
      <w:r>
        <w:t xml:space="preserve">: 49.600 M en acciones y preferentes y un ATM de 40.000 M en 2026.</w:t>
      </w:r>
    </w:p>
    <w:p>
      <w:pPr>
        <w:pStyle w:val="ListParagraph"/>
        <w:numPr>
          <w:ilvl w:val="0"/>
          <w:numId w:val="2"/>
        </w:numPr>
        <w:spacing w:after="60"/>
      </w:pPr>
      <w:r>
        <w:rPr>
          <w:b/>
        </w:rPr>
        <w:t xml:space="preserve">Asimetría mala</w:t>
      </w:r>
      <w:r>
        <w:t xml:space="preserve">: el bajista resta un 61,5 % y el alcista suma un 5,7 %.</w:t>
      </w:r>
    </w:p>
    <w:p>
      <w:pPr>
        <w:pStyle w:val="Heading2"/>
      </w:pPr>
      <w:r>
        <w:t xml:space="preserve">Qué tiene que pasar para que la tesis funcione</w:t>
      </w:r>
    </w:p>
    <w:p>
      <w:pPr>
        <w:spacing w:after="100"/>
      </w:pPr>
      <w:r>
        <w:t xml:space="preserve">La tesis depende de que el capex de 2026-2028 no rinda lo que paga el precio. La señal de que nos equivocamos sería que Cloud mantenga un margen operativo por encima del 35 % creciendo más del 50 % mientras alquila capacidad de terceros, y que la cartera se reconozca más deprisa que la mitad en 24 meses. La señal de que acertamos, que la guía de capex de 2027 supere los 300.000 M sin aceleración de los ingresos.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Search &amp; other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que la IA sustituye al buscador.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de Google Cloud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capex rinde.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Google Cloud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514.000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Dos trimestres sin crecer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Asegura el crecimiento de 2027-2028.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195.000-205.000 M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300.000 M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FCF y 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búsqueda en EE. UU. (StatCounter)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85,2 % (sep-26)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debajo del 83 %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Erosión de la base del negocio.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23,2x / 16,7x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17,6x / 24,5x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Larry Page y Sergey Brin, dos doctorandos de Stanford, constituyeron Google en septiembre de 1998 [39] con la misión de organizar la información del mundo [1]. Salió a bolsa en agosto de 2004 a 85 USD por acción, con una capitalización de algo más de 23.000 M USD [39]. Tres compras le dieron el perímetro actual de la publicidad: YouTube en 2006 por 1.650 M USD en acciones [38], DoubleClick, acordada en 2007 por 3.100 M [39], y Android, que con Chrome (2008) [39] aseguró la distribución de la búsqueda en móviles y navegadores. En 2015 se reorganizó como Alphabet, un holding con Google como filial principal y Sundar Pichai como consejero delegado de Google [36], que desde diciembre de 2019 dirige también Alphabet [37]. Desde 2020 la historia la marcan los pleitos de competencia [2], el primer dividendo (2024) [7] y, en 2026, la compra de Wiz y la primera ampliación de capital para financiar la infraestructura de IA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Page y Brin constituyen Google Inc. el 4 de septiembre [39].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el 19 de agosto: 19,6 millones de acciones a 85 USD, 1.670 M USD captados [39].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para comprar YouTube por 1.650 M USD en acciones [38]: hoy factura 40.367 M USD en publicidad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para comprar DoubleClick por 3.100 M USD [39], base del negocio de ad tech que juzgaron Brinkema y Bruselas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Chrome [39], hoy uno de los productos afectados por la sentencia de búsqueda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Alphabet como holding; Sundar Pichai, consejero delegado de Google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Multa de la Comisión Europea de 4.300 M EUR por Android, firme en julio de 2026 y pagada (5.200 M USD con intereses)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Pichai pasa a dirigir también Alphabet [37].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DOJ y varios estados demandan a Google por la búsqueda; condena en agosto de 2024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dividendo trimestral, pagado desde junio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la compra de Wiz por 29.500 M USD y de Intersect por 5.900 M USD (marzo)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gran ampliación: 20.500 M USD en bolsa, 10.000 M de Berkshire Hathaway y 19.000 M en preferentes convertibles obligatorias, para infraestructura de IA (junio) [2].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Alphabet es un conjunto de negocios cuyo núcleo es Google, que reporta en dos segmentos, Google Services y Google Cloud, más Other Bets (Waymo, Verily, X, Isomorphic, Wing) y una partida de actividades de grupo donde se cargan Google DeepMind y el desarrollo de los modelos Gemini [1]. Google Services agrupa Search, YouTube, Android, Chrome, Gmail, Maps, Photos, Play, la app Gemini y los dispositivos Pixel; según la empresa, sus 15 productos con más de 500 millones de usuarios, siete de ellos con más de 2.000 millones, usan ya modelos Gemini [1]. Google Cloud vende infraestructura (incluidos sus chips propios TPU y GPU de terceros), la plataforma Vertex AI, ciberseguridad, datos y analítica, Gemini Enterprise y Workspace [1]. En 2025 facturó 402.836 M USD: 294.691 M de publicidad (73 %), 48.030 M de suscripciones, plataformas y dispositivos, 58.705 M de Cloud y 1.537 M de Other Bets [1]. Tenía 190.820 empleados a cierre de 2025 [1].</w:t>
      </w:r>
    </w:p>
    <w:p>
      <w:pPr>
        <w:pStyle w:val="Heading2"/>
      </w:pPr>
      <w:r>
        <w:t xml:space="preserve">Cómo gana dinero</w:t>
      </w:r>
    </w:p>
    <w:p>
      <w:pPr>
        <w:spacing w:after="100"/>
      </w:pPr>
      <w:r>
        <w:t xml:space="preserve">El grueso del beneficio sale de vender anuncios contra la intención de búsqueda: Google Search &amp; other facturó 224.532 M USD en 2025 (56 % del grupo), con clics pagados +6 % y coste por clic +7 % [1]. El modelo es de subasta: el precio lo fija la puja de millones de anunciantes, sin contratos plurianuales, así que el ingreso es recurrente por comportamiento y no por contrato, y se mueve con el gasto publicitario. El coste variable principal es el TAC (pagos a socios de distribución como Apple, Samsung u operadores, y a los editores de Google Network): 59.926 M USD en 2025, un 20,3 % de los ingresos publicitarios frente al 20,7 % de 2024, por la mezcla hacia Search, que tiene menos reparto que Network [1]. El resto del coste es infraestructura (amortización de servidores y centros de datos, energía) y contenido de YouTube, en gran parte fijo: de ahí el apalancamiento operativo. Cloud cobra por consumo y suscripción; su cartera pendiente era de 242.800 M USD a cierre de 2025, algo más de la mitad a reconocer en 24 meses [1], y de 514.000 M USD a junio de 2026 según la empresa [14]. La estacionalidad es publicitaria: el cuarto trimestre es el más fuerte.</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Google Services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342.721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Google Cloud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Other Bets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Alphabet-level activities (incl. coberturas)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13.196,9 %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Google Services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253.528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272.543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304.930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342.721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Google Cloud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43.229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Other Bets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Alphabet-level activities (incl. coberturas)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ni grupo de clientes vinculados superó el 10 % de los ingresos en 2023, 2024 ni 2025 [1]: la base publicitaria son millones de anunciantes, de pymes a grandes marcas, que compran en subasta sin compromiso de volumen. La concentración relevante está del lado de la distribución, no de la demanda: según los documentos del juicio de búsqueda, Google pagó a Apple unos 20.000 M USD en 2022 por ser el buscador por defecto de Safari, con un reparto del 36 % de los ingresos de búsqueda generados allí [20], y la sentencia limita ahora estos acuerdos a un año y prohíbe la exclusividad [19]. En Cloud la relación es contractual y más larga: la cartera pendiente pasó de 242.800 M USD (dic-2025) [1] a 514.000 M USD (jun-2026) [14], y casi el 90 % de las empresas del Fortune 100 usa Gemini Enterprise [14]. El poder de precios se ve en el coste por clic, que subió un 7 % en 2025 con clics pagados +6 % [1], y en el segundo trimestre de 2026 los clics pagados crecieron un 13 % y el coste por clic un 3 % [2]; en Network, en cambio, las impresiones cayeron un 7 % en 2025 [1] y un 12 % en el 2T26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Clics de pago en Search &amp; other (var. interanual)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1S26 también +13 %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por clic (var. interanual)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crecimiento de Search pasa de precio a volumen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Impresiones de Google Network (var. interanual)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por impresión +7 % (2025) y +13 % (2T26); Network cae en ingresos por AdSense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TAC sobre ingresos de publicidad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TAC 16.179 M frente a 14.705 M; tasa anual 20,7 % (2024) y 20,3 % (2025)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(RPO) de Google Cloud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mM USD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513,9 mM USD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x3,3</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RPO total 242,8 mM a dic-25 y 519,5 mM a jun-26; desde 1T26 incluye contratos de un año o menos (cambio de criterio); algo más del 50 % se reconocerá en 24 meses [1, 2,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Suscripciones de pago (YouTube y Google One, entre otras)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&gt;300 M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M (1T26)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 de la dirección en los comunicados [4,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Usuarios activos mensuales de la app Gemini</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&gt;650 M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 de la dirección [3,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187.103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198.933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183.323 a dic-24 y 190.820 a dic-25 [1, 3,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que paga el beneficio de Alphabet es el </w:t>
      </w:r>
      <w:r>
        <w:rPr>
          <w:b/>
        </w:rPr>
        <w:t xml:space="preserve">gasto publicitario mundial</w:t>
      </w:r>
      <w:r>
        <w:t xml:space="preserve">, cada vez más digital: la publicidad fue el 73 % de los ingresos de 2025 y la búsqueda, el 56 % [1]. Usamos como tamaño la serie de WARC (todos los medios, mundial), porque publica el dato cerrado de 2025 y la previsión de 2026 y 2027 [26]; WPP Media da una cifra algo menor para 2025 (1,14 billones de USD, sin publicidad política de EE. UU.) [27], así que la cuota de Alphabet queda entre el 25 % y el 26 % según la fuente. El segundo mercado, que pesa poco en el beneficio pero mucho en el crecimiento, es la </w:t>
      </w:r>
      <w:r>
        <w:rPr>
          <w:b/>
        </w:rPr>
        <w:t xml:space="preserve">nube pública</w:t>
      </w:r>
      <w:r>
        <w:t xml:space="preserve"> (infraestructura y plataforma): 143.000 M USD en el 2T26, +43 % interanual según Synergy [28], y 110.900 M en el 4T25, +29 %, según Omdia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1,19 billones de USD de gasto publicitario mundial en 2025 (+8,9 %) y 1,30 billones previstos en 2026 (+9,1 %) según WARC [26]; WPP Media lo sitúa en 1,14 billones en 2025 (+8,8 %) [27]. Nube pública: ≈ 500.000 M USD en los doce meses a junio de 2026 [28].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gasto publicitario mundial, todos los medios (WARC). 2024 y 2027e son estimación propia a partir de los crecimientos que publica WARC (+8,9 % en 2025 y +7,9 % en 2027))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Búsqueda con IA y asistentes conversacionales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cuota de Google en búsqueda mundial pasó del 90,0 % (sep-2024) al 89,9 % (sep-2026) y en EE. UU. del 88,0 % al 85,2 %, con Bing del 7,0 % al 9,9 % [15]; ChatGPT tenía 900 millones de usuarios semanales en febrero de 2026 [17]. Pero la app Gemini llegó a 950 millones de usuarios mensuales, AI Mode superó los 1.000 millones [14] y los clics pagados de Google crecieron un 13 % en el 2T26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del gasto publicitario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WARC prevé +9,1 % en 2026 y +7,9 % en 2027 [26]. En 2020 la publicidad de Google creció solo un 9,0 % (146.924 M USD frente a 134.811 M) [9] y en 2022 un 7,1 % (224.473 M frente a 209.497 M) [8], frente a +42,6 % en 2021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Medios de minoristas (retail media)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acercan al 14,7 % del gasto publicitario mundial [26]; la publicidad de Amazon creció un 22,1 % en 2025, hasta 68.635 M USD [32], el doble que la de Alphabet (+11,4 %)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cómputo para IA en la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de nube creció un 43 % en el 2T26 y los servicios específicos de IA un 165 % [28]; Google Cloud facturó 58.705 M USD en 2025 (+35,8 %) [1] y creció un 82 % en el 2T26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Vídeo y televisión conectada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YouTube ads facturó 40.367 M USD en 2025 (+11,7 %) [1] y creció un 13 % en el 2T26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Regulación de la distribución por defecto y del ad tech</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contratos por defecto quedan limitados a un año y sin exclusividad, y Google debe compartir índice y datos de interacción con competidores cualificados [19]; el TAC fue de 59.926 M USD en 2025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empresas (Alphabet, Meta y Amazon) se llevan el 56,1 % del gasto publicitario mundial sin China en 2025 y el 58,0 % previsto en 2026 [26]. La rivalidad es por formato y no por precio: Meta creció su publicidad un 22,1 % con un margen EBIT del 41,4 % [30] y Amazon otro 22,1 % [32], frente al 11,4 % de Alphabet [1]; ninguno ha tenido que bajar márgenes.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anunciante supera el 10 % de los ingresos [1] y el precio se fija en subasta: el coste por clic subió un 7 % en 2025 [1]. El anunciante solo tiene poder colectivo, desplazando presupuesto a Meta, Amazon o TikTok.</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proveedor crítico es el distribuidor: Apple cobraba un 36 % de los ingresos de búsqueda de Safari (unos 20.000 M USD en 2022) [20] y el TAC total es el 20,3 % de la publicidad [1]. En la nube, la energía y los chips de IA son escasos y de pocos proveedores, según la propia empresa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barrera de escala es enorme (91.400 M USD de inversión de Alphabet en 2025 [1]), pero OpenAI llegó a 900 millones de usuarios semanales sin cuentas públicas ni red publicitaria comparable [17], y los remedios obligan a Google a sindicar resultados y compartir datos con competidores cualificados durante seis años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asistentes de IA sustituyen consultas informativas: Similarweb da a ChatGPT el 55,5 % del tráfico web de IA generativa en agosto de 2026 y a Gemini el 25,6 % (12,9 % un año antes) [18]. En tráfico enviado a webs, StatCounter da a ChatGPT el 80,5 % y a Gemini el 10,9 % en sep-2026 [16]. Aún no se ve en las cifras de Google: clics pagados +13 % en el 2T26 [2].</w:t>
            </w:r>
          </w:p>
        </w:tc>
      </w:tr>
    </w:tbl>
    <w:p>
      <w:pPr>
        <w:spacing w:after="160" w:before="0"/>
      </w:pPr>
    </w:p>
    <w:p>
      <w:pPr>
        <w:pStyle w:val="Heading2"/>
      </w:pPr>
      <w:r>
        <w:t xml:space="preserve">Ciclo</w:t>
      </w:r>
    </w:p>
    <w:p>
      <w:pPr>
        <w:spacing w:after="100"/>
      </w:pPr>
      <w:r>
        <w:t xml:space="preserve">El gasto publicitario mundial creció un 8,9 % en 2025 y WARC prevé +9,1 % en 2026, por encima del 6,3 % anual que WPP Media espera a cinco años [26, 27]: el ciclo está en la parte alta. La publicidad de Google es cíclica pero no se contrae en recesiones: en 2020 creció un 9,0 % [9] y en 2022, con el recorte de presupuestos tras la subida de tipos, un 7,1 % [8], frente al 42,6 % de 2021 [8]. Una desaceleración del gasto pesaría más en Network y YouTube (marca) que en Search (respuesta directa).</w:t>
      </w:r>
    </w:p>
    <w:p>
      <w:pPr>
        <w:pStyle w:val="Heading2"/>
      </w:pPr>
      <w:r>
        <w:t xml:space="preserve">Regulación</w:t>
      </w:r>
    </w:p>
    <w:p>
      <w:pPr>
        <w:spacing w:after="100"/>
      </w:pPr>
      <w:r>
        <w:rPr>
          <w:b/>
        </w:rPr>
        <w:t xml:space="preserve">EE. UU., búsqueda</w:t>
      </w:r>
      <w:r>
        <w:t xml:space="preserve">: el juez Mehta condenó a Google en agosto de 2024; la sentencia final (diciembre de 2025) prohíbe los contratos exclusivos para Search, Chrome, Assistant y Gemini, limita los acuerdos a un año y obliga a compartir índice y datos y a sindicar resultados y anuncios [2, 19]. No obliga a vender Chrome ni prohíbe los pagos. Las dos partes han recurrido ante el Circuito de D.C. (enero y febrero de 2026) [2]. </w:t>
      </w:r>
      <w:r>
        <w:rPr>
          <w:b/>
        </w:rPr>
        <w:t xml:space="preserve">EE. UU., ad tech</w:t>
      </w:r>
      <w:r>
        <w:t xml:space="preserve">: la jueza Brinkema rechazó el 2 de septiembre de 2026 la venta de AdX y la apertura del código de DFP, e impuso remedios de conducta [21]. </w:t>
      </w:r>
      <w:r>
        <w:rPr>
          <w:b/>
        </w:rPr>
        <w:t xml:space="preserve">Play</w:t>
      </w:r>
      <w:r>
        <w:t xml:space="preserve">: Google cumple desde octubre de 2025 el mandato del caso Epic tras retirar en julio de 2026 la modificación pactada [2]. </w:t>
      </w:r>
      <w:r>
        <w:rPr>
          <w:b/>
        </w:rPr>
        <w:t xml:space="preserve">UE</w:t>
      </w:r>
      <w:r>
        <w:t xml:space="preserve">: multa de 2.950 M EUR por ad tech (septiembre de 2025, recurrida) [2, 26]; 890 M EUR por la DMA (460 M por autopreferencia en Search y 430 M por Play) el 23 de julio de 2026 [22]; Android pagado en julio de 2026 (5.200 M USD) [2]. </w:t>
      </w:r>
      <w:r>
        <w:rPr>
          <w:b/>
        </w:rPr>
        <w:t xml:space="preserve">Reino Unido</w:t>
      </w:r>
      <w:r>
        <w:t xml:space="preserve">: estatus de mercado estratégico desde octubre de 2025 y tres obligaciones de conducta impuestas en junio de 2026 [23]. </w:t>
      </w:r>
      <w:r>
        <w:rPr>
          <w:b/>
        </w:rPr>
        <w:t xml:space="preserve">Japón</w:t>
      </w:r>
      <w:r>
        <w:t xml:space="preserve">: orden de cese de abril de 2025 sobre preinstalación en Android [24].</w:t>
      </w:r>
    </w:p>
    <w:p>
      <w:pPr>
        <w:pStyle w:val="Heading2"/>
      </w:pPr>
      <w:r>
        <w:t xml:space="preserve">Tendencias y disrupción</w:t>
      </w:r>
    </w:p>
    <w:p>
      <w:pPr>
        <w:spacing w:after="100"/>
      </w:pPr>
      <w:r>
        <w:t xml:space="preserve">La búsqueda se está convirtiendo en conversación: Google ha unido AI Overviews y AI Mode en una sola experiencia y dice que AI Mode aumenta las consultas totales [35]; AI Mode superó los 1.000 millones de usuarios mensuales y la app Gemini los 950 millones, con los usuarios diarios triplicados en un año [14]. El rival directo es ChatGPT (900 millones de usuarios semanales en febrero de 2026) [17], pero Gemini ganó tráfico de 12,9 % a 25,6 % en un año [18] y será la base de la nueva Siri de Apple en 2026 [25]: Google gana distribución en el canal que más le amenazaba. En la nube, la IA ha reacelerado el mercado y Google pasó del 13 % al 15 % de cuota entre el 2T25 y el 2T26 [28]. Lo que pierde es el display abierto (Network −7 % de impresiones en 2025)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del mundo en publicidad: 294.691 M USD en 2025 [1], el 24,8 % del gasto publicitario mundial según WARC [26] (estimación propia: 294.691 / 1.190.000). En búsqueda tiene el 89,9 % mundial y el 85,2 % en EE. UU. en sep-2026 [15]. En la nube es 3.º, con el 15 % en el 2T26, tras AWS (28 %) y Microsoft (20 %) [28]. En tráfico web de IA generativa es 2.º, con el 25,6 % frente al 55,5 % de ChatGPT (agosto de 2026) [18].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Meta Platforms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Publicidad de 196.175 M USD (+22,1 %), el doble de crecimiento que Alphabet; margen de Family of Apps del 51,6 % con pérdidas de 19.193 M en Reality Labs [30]. Cuota: estimación propia sobre el mercado de WARC [26]. Compite por el presupuesto de marca y de respuesta directa, no por la intención de búsqueda; Meta AI es su asistente.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AMZN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716.924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Publicidad de 68.635 M USD (+22,1 %), con el dato de compra en su propia tienda: compite con Google en las búsquedas de producto [32]. AWS facturó 128.725 M (+20 %) con un margen operativo del 35,4 % y es el líder de la nube (28 % en el 2T26) [28, 32]. Cuota publicitaria: estimación propia sobre WARC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MSFT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331.839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junio de 2026. Search advertising (Bing, Copilot, Edge) facturó 15.176 M USD (+9 %) [31], el 5,3 % de la búsqueda mundial en sep-2026 [15]. Azure creció un 41 % y Microsoft tiene el 20 % de la nube [28, 31]. Es el socio de OpenAI. Cuota publicitaria: estimación propia sobre WARC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AAPL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416.161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septiembre de 2025 [33]. No compite en publicidad a escala; es el distribuidor del que depende Google en iOS (unos 20.000 M USD pagados en 2022) [20] y el que podría lanzar un buscador o asistente propio. Hoy va en la dirección contraria: su nueva Siri usará modelos Gemini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Trade Desk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TTD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Plataforma independiente de compra programática: 13.395 M USD de gasto bruto de clientes (+11 %) y 2.896 M de ingresos netos (+18 %) [34]. Es el rival de DV360 y AdX en el ad tech abierto, donde los remedios de Brinkema obligan a Google a abrir AdX a servidores rivales y a Prebid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OpenAI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publica cuentas: ingresos y margen no disponibles. 900 millones de usuarios semanales y 50 millones de suscriptores de pago en febrero de 2026 [17]; 55,5 % del tráfico web de IA generativa en agosto de 2026 [18] y 80,5 % del tráfico que los asistentes envían a webs en sep-2026 [16]. Es el sustituto más directo de la búsqueda informativa.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dos lados: más consultas atraen más anunciantes y mejoran la relevancia. Cuota de búsqueda del 89,9 % mundial durante años [4] y clics pagados +13 % en el 2T26 [2], pese a la llegada de los asistentes.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 el usuario, cambiar está «a un clic», como reconoce la propia empresa [1]; por eso paga el defecto (TAC de 59.926 M USD en 2025) [1]. En EE. UU. ha cedido 2,8 puntos de cuota en dos años [4]. En Cloud sí hay costes de cambio: cartera de 514.000 M USD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y, sobre todo, datos de interacción de las consultas; la sentencia de búsqueda obliga a compartir parte de esos datos con competidores cualificados durante seis años [8], lo que recorta este pilar.</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Chips propios (TPU, séptima generación Ironwood) y centros de datos propios [1]; el margen operativo del grupo (32,0 % en 2025) [22] iguala al de Apple con un negocio de publicidad y nube, y el TAC baja del 20,7 % al 20,3 %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índice web completo y una red de anunciantes de millones de cuentas no se replican: Bing, con el respaldo de Microsoft, solo tiene el 5,3 % de la búsqueda mundial [4]. La amenaza viene de un cambio de interfaz (asistentes), no de otro buscador.</w:t>
            </w:r>
          </w:p>
        </w:tc>
      </w:tr>
    </w:tbl>
    <w:p>
      <w:pPr>
        <w:spacing w:after="160" w:before="0"/>
      </w:pPr>
    </w:p>
    <w:p>
      <w:pPr>
        <w:pStyle w:val="Heading2"/>
      </w:pPr>
      <w:r>
        <w:t xml:space="preserve">Amenazas</w:t>
      </w:r>
    </w:p>
    <w:p>
      <w:pPr>
        <w:spacing w:after="100"/>
      </w:pPr>
      <w:r>
        <w:t xml:space="preserve">La amenaza principal es que la intención comercial migre a asistentes que no venden anuncios en subasta: ChatGPT tiene 900 millones de usuarios semanales [17] y la cuota de Google en EE. UU. bajó del 88,0 % al 85,2 % en dos años [15]. Por ahora no se ve en los ingresos (Search &amp; other +17 % en el 2T26 [35]) y Google lidera la respuesta con AI Mode y Gemini [14]. La segunda es regulatoria: contratos de un año y reparto de datos en EE. UU. [19], multas y obligaciones de la DMA [22] y del Reino Unido [23]; si el Circuito de D.C. endurece los remedios (lo piden el DOJ y los estados), podría prohibir los pagos por defecto. Probabilidad de erosión material en cinco años: 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40.269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257.637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282.836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307.394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402.836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153.675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132.539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132.170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Crecimiento anual compuesto 2018-2025: ingresos </w:t>
      </w:r>
      <w:r>
        <w:rPr>
          <w:b/>
          <w:bCs/>
        </w:rPr>
        <w:t xml:space="preserve">16,7 %</w:t>
      </w:r>
      <w:r>
        <w:t xml:space="preserve">, EBITDA </w:t>
      </w:r>
      <w:r>
        <w:rPr>
          <w:b/>
          <w:bCs/>
        </w:rPr>
        <w:t xml:space="preserve">20,5 %</w:t>
      </w:r>
      <w:r>
        <w:t xml:space="preserve">, BPA </w:t>
      </w:r>
      <w:r>
        <w:rPr>
          <w:b/>
          <w:bCs/>
        </w:rPr>
        <w:t xml:space="preserve">25,6 %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pasan de 136.819 M en 2018 a 402.836 M en 2025 (TCAC ~17 %) y a 445.866 M en los doce meses a jun-26, casi todo orgánico: las compras de la década son pequeñas frente al grupo hasta Wiz (29,5 mM, consolidada desde el 11-mar-26) [1, 2]. El crecimiento se acelera: +14 % en 2025 y +22 %/+24 % en 1T26/2T26, con Cloud +63 % y +82 % [3, 4]. El margen operativo sube del 21,1 % (2019) al 32,0 % (2025) y al 33,1 % LTM: Cloud pasa de pérdidas (−1.922 M en 2022) a 13.910 M en 2025 y a un margen del 35,6 % en el 2T26, mientras las actividades centrales de IA (Alphabet-level) cuestan 16.760 M en 2025 frente a 9.186 M en 2023 [1, 3]. La amortización crece más que los ingresos (21.136 M en 2025, +38 %; 13.586 M en el 1S26, +43 %) por el capex de IA [1, 3]. </w:t>
      </w:r>
      <w:r>
        <w:rPr>
          <w:b/>
        </w:rPr>
        <w:t xml:space="preserve">El beneficio neto no mide el negocio</w:t>
      </w:r>
      <w:r>
        <w:t xml:space="preserve">: en el LTM, «Other income» suma 151,6 mM, más que el resultado de explotación (147,6 mM), por la revalorización de SpaceX y de una empresa privada no nombrada [2, 3, 4, 5, 6]. 2021 no es comparable en amortización (cambio de vida útil) y 2018-2022 usan la presentación antigua de amortizaciones (incluye deterioros e intangibles).</w:t>
      </w:r>
    </w:p>
    <w:p>
      <w:pPr>
        <w:pStyle w:val="Heading2"/>
      </w:pPr>
      <w:r>
        <w:t xml:space="preserve">Ajustes y partidas no recurrentes</w:t>
      </w:r>
    </w:p>
    <w:p>
      <w:pPr>
        <w:spacing w:after="100"/>
      </w:pPr>
      <w:r>
        <w:t xml:space="preserve">Las cifras son las publicadas en US GAAP; Alphabet no presenta un resultado ajustado. Las partidas no recurrentes que quedan dentro del resultado de explotación se devuelven al EBITDA: multa de la Comisión Europea por Android (5.071 M en 2018), por AdSense (1.697 M en 2019, anulada en 2024 y recurrida por la Comisión), despidos y cierre de oficinas (unos 4.200 M en 2023 y 1.796 M en 2024) y multa por ad tech (3.500 M en 2025, recurrida y avalada). En los últimos doce meses, esa multa más 1.500 M de daños a PriceRunner suman 5.000 M [1, 2, 5, 6, 8]. No se ajustan, pero pesan, el cargo de 2.100 M por la compensación en Waymo (4T25) y el acuerdo de privacidad de 1.400 M (2025). Fuera del resultado de explotación, las ganancias en participaciones inflan el beneficio: 24.080 M en 2025 y 135.946 M en el 1S26 (6,26 USD del BPA de 9,11 del 2T26) [2, 3]. El BPA de 2018-2019 está dividido entre 20 por el desdoblamiento de 2022.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119.796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1T26 (29-abr-2026) la dirección habló de demanda: la cartera de Cloud casi se duplicó en un trimestre, hasta 462.000 M (en parte porque desde el 1T26 incluye los contratos de un año o menos) [2], y la guía de capex de 2026 subió de 175.000-185.000 M a 180.000-190.000 M; el consejero delegado admitió que estaban «limitados» por capacidad de cálculo [57]. En el 2T26 (22-jul) el discurso pasó a la financiación y a la capacidad: la cartera llegó a 514.000 M, la guía de capex subió a 195.000-205.000 M y la directora financiera anticipó que el capex de 2027 crecerá «de forma significativa», que el flujo libre seguirá presionado y que alquilará capacidad de terceros en el 3T26 como puente, con algo de presión en el margen de Cloud [35]. También avisó de que el buscador empieza a comparar con la aceleración del 3T25. Search creció un 17 %, AI Mode superó los 1.000 millones de usuarios mensuales y la app Gemini los 950 millones [35]. Los analistas preguntaron, sobre todo, por la rentabilidad del capex (Morgan Stanley, Wells Fargo), por si Gemini puede seguir en la frontera frente a otros laboratorios (JP Morgan, Barclays, MoffettNathanson), por el margen de las ventas de TPU y por la estructura de Waymo [35]. La dirección no dio el margen de las TPU ni cifró el capex de 2027, y sobre Waymo se limitó a decir que se centra en ejecutar. La acción cayó un 7,1 % al día siguiente, la mayor caída del año [69].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232.792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177.628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275.909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319.616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359.268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251.635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365.264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256.144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402.392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283.379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450.256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595.281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126.843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415.265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Alphabet ha pasado de tener caja neta y casi nada de deuda a apalancarse para la IA. La deuda en bonos (valor nominal) sube de 12,0 mM a dic-24 a 49,1 mM a dic-25, a 101,1 mM a jun-26, y a ~126 mM tras los 25 mM de agosto [1, 2, 11]. Se ha emitido en seis divisas: dólares, euros, libras, francos suizos, dólares canadienses y yenes, con plazos de hasta 100 años (libras a 2126) [2]. El patrimonio salta de 415 mM a 640 mM en seis meses: el beneficio de 174,8 mM (casi todo revalorización de participaciones) más la ampliación de 30,5 mM en acciones y los 18,0 mM de preferentes [3]. El circulante comercial es negativo (clientes 69 mM contra proveedores, devengos y reparto de ingresos), y las existencias pasan de 2,4 a 10,0 mM en seis meses por la venta de sistemas TPU [3]. La caja más los valores negociables (242,5 mM) incluyen 87,1 mM en acciones, sobre todo de SpaceX, con restricciones de venta [2]. Deuda financiera 2018-2022 = deuda a largo del balance (incluía pasivos por arrendamiento financiero); desde 2023 = bonos + pagarés, con los arrendamientos financieros aparte. Coste de la deuda 2025: estimación propia de 3,8 % (intereses de 736 M + 447 M capitalizados sobre la deuda media).</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40.269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164.713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91.447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71.278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132.170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2018-2025: FCF </w:t>
      </w:r>
      <w:r>
        <w:rPr>
          <w:b/>
          <w:bCs/>
        </w:rPr>
        <w:t xml:space="preserve">435.510</w:t>
      </w:r>
      <w:r>
        <w:t xml:space="preserve">, conversión </w:t>
      </w:r>
      <w:r>
        <w:rPr>
          <w:b/>
          <w:bCs/>
        </w:rPr>
        <w:t xml:space="preserve">80 %</w:t>
      </w:r>
      <w:r>
        <w:t xml:space="preserve"> del beneficio neto; adquisiciones 19.349, dividendos 17.412, recompras 337.625.</w:t>
      </w:r>
    </w:p>
    <w:p>
      <w:pPr>
        <w:spacing w:after="100"/>
      </w:pPr>
      <w:r>
        <w:t xml:space="preserve">El flujo operativo crece de 54,5 mM (2019) a 164,7 mM (2025) y 185,7 mM en el LTM, por encima del beneficio neto si se quitan las ganancias no realizadas [1, 3]. Pero el capex de caja se ha cuadruplicado: de 22-32 mM al año en 2019-2023 a 52,5 mM en 2024, 91,4 mM en 2025 y 132,4 mM en el LTM. Por eso el FCF (flujo operativo − capex) se estanca en 73,3 mM en 2025, cae a 53,3 mM en el LTM y fue negativo en el 2T26 (−5,9 mM) [3]. Con la guía de 195-205 mM para 2026 [12], el FCF de 2026 dependerá de la financiación externa. La empresa no separa mantenimiento y crecimiento. Estimación propia: si el capex igualara la amortización de inmovilizado (21,1 mM en 2025; 25,2 mM en el LTM), el FCF sería 143,6 mM en 2025 y 160,4 mM en el LTM; el capex por encima de la amortización fue de 70,3 mM y 107,2 mM. Otras salidas: 14,2 mM en 2025 por retenciones fiscales de acciones de empleados (financiación, no recompras). En el 1S26 no hubo recompras y entraron 30,5 mM de acciones, 19,1 mM de preferentes, 56,2 mM de deuda y 3,8 mM de minoritarios de Waymo; se pagaron 33,7 mM por adquisiciones (Wiz e Intersect) [3]. Los intereses pagados van en el flujo operativo.</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las cuentas y en el control interno de 2025; cuestión clave de auditoría: contingencias por litigios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EY audita a Google desde 1999 (27 ejercicios a 2025) [1]. Hay cuatro asuntos de calidad. Primero, el resultado no operativo: con el método de la medición alternativa, las participaciones no cotizadas se revalúan cuando hay rondas de inversión observables. Su valor contable pasa de 64,1 mM a 124,3 mM en seis meses, con un coste de 47,6 mM, y el 2T26 reconoce 99,0 mM de ganancias en acciones; es beneficio no realizado, pero paga impuestos diferidos (27,5 mM en el 1S26) [2]. Segundo, la amortización: Alphabet alargó la vida útil de los servidores de 3 a 4 años en 2021 y a 6 en 2023 (−3,4 mM de amortización en 2023) mientras cambia a aceleradores de IA, que podrían quedarse obsoletos antes [8, 9]. Tercero, la remuneración en acciones: 24,95 mM en 2025 (6,2 % de los ingresos), más 14,2 mM de caja para las retenciones fiscales de los empleados [1]. Cuarto, el balance oculto: compromisos de compra de 811 mM y arrendamientos no iniciados de 85,2 mM a jun-26 [2]. En el 1T26 cambió el criterio de la cartera de pedidos (ahora incluye contratos de un año o menos), lo que exagera el salto del 4T25 al 1T26 [2]. Los indicadores del motor (Altman, Piotroski, Beneish) hay que leerlos con cuidado en 2025 y en el LTM: el beneficio y el activo incluyen revalorizaciones de cartera.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inflado por ganancias no realizadas en participaciones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OI&amp;E LTM de 151,6 mM, superior al EBIT; 2T26: 99,0 mM de ganancias (77,1 mM netos, 6,26 USD/acción) por SpaceX y una empresa privada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Vida útil de servidores alargada dos veces (2021 y 2023)</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3 a 6 años; amortización menor en ~3,4 mM en 2023; el ~60 % de la infraestructura técnica son servidores y red [1,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Compromisos fuera de balance que se multiplican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Compromisos de compra de 55,4 mM (dic-24), 149,1 mM (dic-25) y 811,0 mM (jun-26); arrendamientos no iniciados de 85,2 mM [1, 2,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elevada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24,95 mM en 2025 y 14,7 mM en el 1S26; el ATM de 40 mM se destina sobre todo a pagar las retenciones fiscales de esas acciones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Contingencias legales como cuestión clave de auditoría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Remedios del caso de búsqueda y de adtech sin pérdida estimable; 15,6 mM de multas y acuerdos provisionados a dic-25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criterio en la cartera de pedidos (RPO)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Desde el 1T26 incluye contratos de un año o menos [2].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216.143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292.376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37,1 % · </w:t>
      </w:r>
      <w:r>
        <w:rPr>
          <w:b/>
          <w:bCs/>
        </w:rPr>
        <w:t xml:space="preserve">WACC</w:t>
      </w:r>
      <w:r>
        <w:t xml:space="preserve">: 10,7 %.</w:t>
      </w:r>
    </w:p>
    <w:p>
      <w:pPr>
        <w:spacing w:after="100"/>
      </w:pPr>
      <w:r>
        <w:t xml:space="preserve">Alphabet crea valor con holgura: el ROIC fue del 37,7 % en 2025, frente a un WACC del 10,74 %, y no ha bajado del 37 % desde 2018. El motor es el margen, no la rotación: el capital invertido rota 0,77 veces y el margen neto llegó al 32,8 %. El ROIC incremental de 2018-2025 es del 37,1 %, el mismo nivel que el medio, lo que dice que el crecimiento de estos años no ha diluido la rentabilidad. La caída de 2024 a 2025 (del 44,1 % al 37,7 %) es la primera señal del capex de IA: el capital invertido creció un 35 % y el NOPAT un 16 %. Con 200.000 M de capex en 2026 y la guía de más en 2027, el capital invertido se duplicará antes de que la mayor parte de esos activos genere ingresos, así que el ROIC bajará en 2026-2028; la pregunta es dónde se estabiliza. Meta tiene un 25,4 % y Microsoft un 26,2 % de ROIC con el mismo ciclo de inversión, y Amazon un 11,9 % [85].</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-52.657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36.606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-16.051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y equivalentes 55.911 M + valores negociables 186.563 M = 242.474 M; de los valores negociables, 87.063 M son acciones cotizadas (80,0 mM de SpaceX con restricción de venta a corto plazo), así que la caja más renta fija líquida es ~155.411 M (estimación propia: 242.474 − 87.063). Además 14.126 M de acciones de SpaceX con restricción hasta el 3T27 en otros activos no corrientes. Líneas de crédito de 11,7 mM (1,3 mM dispuestos), programa de pagarés de 25 mM sin usar y programa ATM de 40 mM sin usar [2]. En jul-26 pagó 5,2 mM de la multa de Android (ya provisionada) [2] y el 10-ago-26 cobró 25 mM de bonos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Aa2 y S&amp;P AA+, ambas con perspectiva estable (términos de la emisión de bonos de agosto de 2026) [97]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covenants financieros en los bonos (sénior no garantizados) [1, 2]. Multas y litigios: 15.594 M de «multas y acuerdos» provisionados a dic-25 [1]; en jul-26 pagó 5,2 mM por la multa de Android, que ya es firme; la multa de adtech de la CE (3,5 mM) está recurrida y cubierta con avales bancarios; la de AdSense (1,7 mM) fue anulada, pero la CE la ha recurrido; y PriceRunner, con 2,1 mM provisionados en el 2T26, está recurrido [2]. Siguen abiertos los remedios del caso de búsqueda (DOJ) y el juicio de adtech, en el que se piden remedios estructurales, sin pérdida estimable [2]. Fuera del balance: compromisos de compra de 811,0 mM a jun-26 (149,1 mM a dic-25), sobre todo suministro de infraestructura técnica; arrendamientos de centros de datos no iniciados por 85,2 mM; avales de 7,6 mM a terceros para equipos de energía; y licencias de contenido [1, 2]. Los arrendamientos operativos (15.954 M a dic-25) no se suman a la deuda (US GAAP).</w:t>
      </w:r>
    </w:p>
    <w:p>
      <w:pPr>
        <w:pStyle w:val="Heading1"/>
      </w:pPr>
      <w:r>
        <w:t xml:space="preserve">12. Asignación de capital</w:t>
      </w:r>
    </w:p>
    <w:p>
      <w:pPr>
        <w:pStyle w:val="Confianza"/>
        <w:spacing w:after="100"/>
      </w:pPr>
      <w:r>
        <w:t xml:space="preserve">Confianza: Media</w:t>
      </w:r>
    </w:p>
    <w:p>
      <w:pPr>
        <w:spacing w:after="100"/>
      </w:pPr>
      <w:r>
        <w:t xml:space="preserve">Dividendo trimestral desde 2024: 0,20 USD; 0,21 USD desde abr-25; 0,22 USD desde abr-26 (+5 %); 0,60 USD en 2024 y 0,83 USD en 2025 [1, 3, 4]. Recompras de 59-62 mM al año en 2021-2024 y 45,7 mM en 2025; ninguna en el 1S26, aunque quedan 69,5 mM autorizados [1, 2]. Desde 2025, la prioridad declarada es el capex de IA: la empresa ha pasado de devolver caja a captarla, con 49,6 mM en acciones y preferentes (jun-26), un ATM de 40 mM para las retenciones fiscales de las acciones de los empleados y 101 mM de bonos a jun-26, más 25 mM en agosto [2, 3, 11]. Las preferentes pagan el 6,25 % hasta su conversión, en may-29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71.278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12.230,0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Wiz (seguridad en la nube, segmento Google Cloud)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29.467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11-mar-26: 22,7 mM de fondo de comercio y 8,3 mM de intangibles; es pronto para juzgarla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Intersect (energía renovable y centros de datos)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más deuda asumida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10-mar-26; es una entidad de interés variable consolidada para acelerar la capacidad de energía; es pronto para juzgarla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Character.AI (licencia no exclusiva de modelos y contratación de su equipo)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Contabilizada como combinación de negocios: 2,7 mM de fondo de comercio y 413 M de intangibles; sin deterioros a dic-25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Mandiant (ciberseguridad, Google Cloud)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(incluye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Cloud, que pasó de −1,9 mM de EBIT en 2022 a +13,9 mM en 2025; sin deterioro del fondo de comercio de Cloud [1,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Fitbit (wearables, Google Services)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Absorbida en dispositivos; la empresa no publica sus resultados por separado y no se ha visto deterioro del fondo de comercio [9].</w:t>
            </w:r>
          </w:p>
        </w:tc>
      </w:tr>
    </w:tbl>
    <w:p>
      <w:pPr>
        <w:spacing w:after="160" w:before="0"/>
      </w:pPr>
    </w:p>
    <w:p>
      <w:pPr>
        <w:spacing w:after="100"/>
      </w:pPr>
      <w:r>
        <w:t xml:space="preserve">En 2019-2025, Alphabet dedicó 328,5 mM a recompras y 17,4 mM a dividendos (suma de los flujos) y redujo las acciones diluidas de 13.972 M a 12.230 M (−12 %) [1, 10]. Las compras fueron pequeñas hasta Wiz, la mayor de su historia (29,5 mM; no se publicó ningún múltiplo) [2]. Desde 2025 la asignación ha cambiado de signo: el capex (91,4 mM en 2025 y una guía de 195-205 mM para 2026 [12]) desplaza a las recompras, que se detienen en 2026, y la empresa vuelve a emitir acciones y preferentes (49,6 mM en jun-26) [3]. Recompró hasta 2025 y desde 2026 vuelve a emitir, con lo que el número de acciones sube: 12.230 M a jul-26, frente a 12.088 M a dic-25 [1, 2]. Si el capex crea valor depende sobre todo de Cloud, con un margen del 35,6 % en el 2T26 y una cartera de 513,9 mM [2, 3]. Windsurf (2025) no aparece en los 10-K (ver huecos).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Sundar Pichai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Alphabet y Google;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Google en 2004 y dirigió Chrome, Android y las aplicaciones; consejero delegado de Google desde octubre de 2015 y de Alphabet desde diciembre de 2019 [42]. Entre 2023 y 2025 los ingresos pasaron de 307.394 M a 402.836 M USD y el beneficio neto de 73.795 M a 132.170 M [1]. Tiene 3,01 M acciones (227.560 A y 2,79 M C, directas y en dos fideicomisos) [42, 59], ~0,02 % del capital (estimación propia), y vendió 108,8 M USD en doce meses con plan 10b5-1 [58].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Anat Ashkenazi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(SVP, CFO) de Alphabet y Google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desde julio de 2024; antes fue directora financiera de Eli Lilly (2021-2024), donde trabajó desde 2001 [42]. Su primera guía anual de capex (~75.000 M USD para 2025) acabó en 91.447 M tras dos revisiones al alza [1, 53, 54, 55]. Tiene 150.661 acciones C [60].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L. Hennessy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2004, consejero independiente coordinador de 2007 a 2018 y presidente desde enero de 2018 [42]. Presidió la Universidad de Stanford de 2000 a 2016 y tiene el Premio Turing [42]. Declara 20.624 acciones A en un fideicomiso [42]; en 2026 recibió el 14,8 % de votos en contra, el mayor del consejo [43].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Ruth M. Porat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directora de inversiones de Alphabet y Google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 mayo de 2015 a julio de 2024 y antes de Morgan Stanley (2010-2015) [42]. En 2023 prometió un capex «en línea con 2022» y ralentizar la contratación: el capex fue de 32.251 M frente a 31.485 M (+2,4 %) [51, 67]. Tiene ~2,1 M acciones C en directo y en fideicomisos [61], ~0,02 % del capital (estimación propia).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 Schindler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comercial (SVP, Chief Business Officer) de Google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Google desde 2005; dirige ventas y operaciones de Google y YouTube desde agosto de 2015 [42]. Los ingresos de publicidad pasaron de 237.855 M (2023) a 294.691 M USD (2025), un +11 % anual [1]. Tiene 938.488 acciones C [62]; fue el directivo nombrado mejor pagado en 2025 (42,2 M USD)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Thomas Kurian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Google Cloud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Llegó de Oracle, donde trabajó desde 1996, y relevó a Diane Greene a principios de 2019 [68]. Google Cloud pasó de 33.088 M de ingresos y 1.716 M de beneficio operativo en 2023 a 58.705 M y 13.910 M en 2025 [1], y creció un 82 % en el 2T26, hasta 24.800 M USD, con una cartera de 514.000 M [35]. No es directivo nombrado en el proxy, así que su participación no se publica.</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«en general en línea con 2022» (más infraestructura técnica y menos oficinas) y contratación «significativamente» más lenta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32.251 M USD frente a 31.485 M en 2022 (+2,4 %) [67]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«notablemente mayor» que en 2023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52.535 M USD (+63 %)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~75.000 M USD (febrero de 2025) [53], subida a ~85.000 M en julio [54] y a 91.000-93.000 M en octubre [55]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91.447 M USD: dentro de la última guía, un 22 % por encima de la inicial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175.000-185.000 M USD (febrero) [56]; 180.000-190.000 M en abril, al sumar la compra de Intersect [57]; 195.000-205.000 M en julio, por adelantar capacidad [35]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Ejercicio en curso: 80.598 M en el primer semestre, el 40 % del punto medio de la última guía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Alphabet no da guía de ingresos ni de márgenes; su único objetivo numérico es el capex, y la dirección lo ha revisado </w:t>
      </w:r>
      <w:r>
        <w:rPr>
          <w:b/>
        </w:rPr>
        <w:t xml:space="preserve">siempre al alza</w:t>
      </w:r>
      <w:r>
        <w:t xml:space="preserve">: +22 % sobre la guía inicial en 2025 y +11 % en el punto medio de 2026 en cinco meses [35, 53, 54, 55, 56, 57]. Atribuye las subidas a la demanda de Cloud y no a sobrecostes, pero el inversor no sabe cuánto gastará el año siguiente hasta febrero: para 2027 solo ha dicho que el capex subirá «significativamente» [35, 57]. El equipo es estable: Pichai dirige Alphabet desde 2019 y Hennessy preside desde 2018; el único relevo de la cúpula fue el de la dirección financiera en 2024, y Porat sigue en la casa como presidenta [42]. El proxy asigna al consejo y a la comisión de nombramientos el plan de sucesión, pero no da nombres [42].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Larry Page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Ejecutiva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Sergey Brin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Sundar Pichai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Alphabet y Google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L. Hennessy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Frances H. Arnold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 Martin "Marty" Chávez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Riesgos y 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 John Doerr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Desarrollo de Liderazgo, Inclusión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Roger W. Ferguson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Riesgos y Cumplimiento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 Ram Shriram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Desarrollo de Liderazgo, Inclusión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Robin L. Washington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Desarrollo de Liderazgo, Inclusión y Remuneración (presidenta); Auditoría; Riesgos y Cumplimiento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47,7 %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las cuentas y en el control interno de 2025; cuestión clave de auditoría: contingencias por litigios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141,15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Larry Page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pct = % del voto: 389,05 M acciones B (46,5 % de la clase B). En capital, al menos un 3,2 % solo por la clase B; su clase C no se publica (estimación propia)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la clase B entre abril de 2025 y abril de 2026; ningún Form 4 en doce meses [42, 45, 58]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Sergey Brin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pct = % del voto: 358,94 M acciones B (42,9 % de la clase B) y ~359,5 M C, ~5,9 % del capital (estimación propia) [2, 42, 63]</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Clase B de 362,77 M a 358,94 M entre abril de 2025 y abril de 2026; donó 5,78 M acciones A y C entre noviembre de 2025 y agosto de 2026, sin ventas en mercado [42, 45, 58, 66]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pct = % del voto (estimación propia): 436,03 M acciones A (7,48 % de la clase A) y 348,89 M C (6,41 % de la clase C) a 31 de marzo de 2026 [64, 65]</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enero de 2026 Vanguard declara por filiales; esta es la mayor y sustituye al 13G agregado de 2024 (8,5 % de la clase A)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pct = % del voto: 356,93 M acciones A (6,1 % de la clase A) según su 13G/A de febrero de 2024 [42]</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declaración más reciente citada en el proxy de 2026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Berkshire Hathaway (filial)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estratégico. pct = % del voto (estimación propia): 14,21 M acciones A y 14,36 M C compradas por 10.000 M USD, ~0,23 % del capital [2, 50]</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junio de 2026, en colocación privada a ~351,81 USD (A) y ~348,20 USD (C), con derechos de registro para revender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en conjunto (14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pct = % del voto: 770,34 M acciones B (92,2 % de la clase B) y 2,60 M A [42]</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Incluye a Page, Brin y los 22,35 M acciones B de Doerr [42]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Sundar Pichai, consejero delegado (96 ventas desde el 15-10-2025,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Kent Walker, presidente de Asuntos Globales (24 ventas desde el 30-12-2025,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83.394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Amie Thuener O'Toole, responsable contable saliente (18 ventas desde el 15-10-2025,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L. Hennessy, presidente (88 ventas desde el 13-10-2025; 1,94 M con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Frances H. Arnold, consejera (12 ventas desde el 30-10-2025,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Marsida Saraci, responsable contable (2 ventas desde el 26-06-2026,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se vota </w:t>
      </w:r>
      <w:r>
        <w:rPr>
          <w:b/>
        </w:rPr>
        <w:t xml:space="preserve">cada tres años</w:t>
      </w:r>
      <w:r>
        <w:t xml:space="preserve"> [42]; de las tres últimas juntas, solo la de 2026: un 80,75 % a favor y un 18,86 % en contra [43]. Sin la clase B de Page y Brin, el rechazo del capital libre presente sube a ~47,7 % (estimación propia) [42, 43]. Pichai cobró 10,9 M USD en 2025: 2,0 M de fijo y 8,8 M de seguridad personal; ni bonus ni acciones [42, 46]. Su paquete trienal de marzo de 2026 suma ~385 M USD de valor objetivo: 126 M en PSU ligadas al TSR relativo frente al S&amp;P 100 (0-200 %), 84 M en GSU por permanencia y 175 M en unidades de Waymo y Wing [46]; los demás directivos, PSU con la misma métrica y GSU [48]. Hay </w:t>
      </w:r>
      <w:r>
        <w:rPr>
          <w:i/>
        </w:rPr>
        <w:t xml:space="preserve">clawback</w:t>
      </w:r>
      <w:r>
        <w:t xml:space="preserve"> desde octubre de 2023 [42].</w:t>
      </w:r>
    </w:p>
    <w:p>
      <w:pPr>
        <w:pStyle w:val="Heading2"/>
      </w:pPr>
      <w:r>
        <w:t xml:space="preserve">Operaciones vinculadas, estructura de control y defensas</w:t>
      </w:r>
    </w:p>
    <w:p>
      <w:pPr>
        <w:spacing w:after="100"/>
      </w:pPr>
      <w:r>
        <w:t xml:space="preserve">Tres clases: A (un voto), B (diez votos, sin cotizar) y C (sin voto) [42]. A 6 de abril de 2026, Page (27,4 %) y Brin (25,3 %) sumaban el </w:t>
      </w:r>
      <w:r>
        <w:rPr>
          <w:b/>
        </w:rPr>
        <w:t xml:space="preserve">52,7 % del voto</w:t>
      </w:r>
      <w:r>
        <w:t xml:space="preserve"> con 747,99 M acciones B, con al menos el 9 % del capital (estimación propia; la clase C de Page no se publica) [42, 63]. Juntos deciden la junta: la igualdad de voto se rechazó en 2025 y en 2026, aunque fuera de los fundadores la apoyó el 77-79 % del voto libre emitido (estimación propia) [43, 44]. Las ampliaciones de junio de 2026 (A, C y preferentes convertibles) no tocan el control [50]. Vinculadas pequeñas: un hangar alquilado a una empresa de Brin (8,4 M USD) y coinversiones con fondos de Kleiner Perkins, que preside Doerr (42,4 M) [42].</w:t>
      </w:r>
    </w:p>
    <w:p>
      <w:pPr>
        <w:pStyle w:val="Heading2"/>
      </w:pPr>
      <w:r>
        <w:t xml:space="preserve">Señales de alerta</w:t>
      </w:r>
    </w:p>
    <w:p>
      <w:pPr>
        <w:pStyle w:val="ListParagraph"/>
        <w:numPr>
          <w:ilvl w:val="0"/>
          <w:numId w:val="2"/>
        </w:numPr>
        <w:spacing w:after="60"/>
      </w:pPr>
      <w:r>
        <w:t xml:space="preserve">Paquete trienal del CEO de marzo de 2026 de ~385 M USD de valor objetivo, con 175 M en unidades de Waymo y Wing: parte del incentivo de Pichai depende del valor de dos filiales y no de la acción de Alphabet [46].</w:t>
      </w:r>
    </w:p>
    <w:p>
      <w:pPr>
        <w:pStyle w:val="ListParagraph"/>
        <w:numPr>
          <w:ilvl w:val="0"/>
          <w:numId w:val="2"/>
        </w:numPr>
        <w:spacing w:after="60"/>
      </w:pPr>
      <w:r>
        <w:t xml:space="preserve">Un 18,9 % de votos en contra de la remuneración en 2026 equivale a ~47,7 % del capital libre presente si se descuenta la clase B de los fundadores (estimación propia) [42, 43].</w:t>
      </w:r>
    </w:p>
    <w:p>
      <w:pPr>
        <w:pStyle w:val="ListParagraph"/>
        <w:numPr>
          <w:ilvl w:val="0"/>
          <w:numId w:val="2"/>
        </w:numPr>
        <w:spacing w:after="60"/>
      </w:pPr>
      <w:r>
        <w:t xml:space="preserve">Hennessy, el presidente, recibió un 14,8 % de votos en contra en 2026 (1.833 M de votos; ~37 % del voto libre presente, estimación propia) [43]. Su cátedra en Stanford se llama «Shriram Family Director» de las becas Knight-Hennessy, y Shriram es consejero «independiente» [42].</w:t>
      </w:r>
    </w:p>
    <w:p>
      <w:pPr>
        <w:pStyle w:val="ListParagraph"/>
        <w:numPr>
          <w:ilvl w:val="0"/>
          <w:numId w:val="2"/>
        </w:numPr>
        <w:spacing w:after="60"/>
      </w:pPr>
      <w:r>
        <w:t xml:space="preserve">Dos consejeros «independientes» llevan 27-28 años en el consejo (Shriram desde 1998 y Doerr desde 1999). Doerr tiene 22,35 M acciones B y preside Kleiner Perkins, coinversor de GV y CapitalG [42].</w:t>
      </w:r>
    </w:p>
    <w:p>
      <w:pPr>
        <w:pStyle w:val="ListParagraph"/>
        <w:numPr>
          <w:ilvl w:val="0"/>
          <w:numId w:val="2"/>
        </w:numPr>
        <w:spacing w:after="60"/>
      </w:pPr>
      <w:r>
        <w:t xml:space="preserve">Relevo del responsable contable: Amie Thuener O'Toole dimitió en abril de 2026 para irse a otra empresa, sin discrepancias declaradas, y Marsida Saraci la sustituye desde junio [47, 49].</w:t>
      </w:r>
    </w:p>
    <w:p>
      <w:pPr>
        <w:pStyle w:val="ListParagraph"/>
        <w:numPr>
          <w:ilvl w:val="0"/>
          <w:numId w:val="2"/>
        </w:numPr>
        <w:spacing w:after="60"/>
      </w:pPr>
      <w:r>
        <w:t xml:space="preserve">Ventas de directivos en doce meses: 141 M USD, todas con plan 10b5-1 salvo 0,4 M de Hennessy, y ninguna compra [58].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Alphabet no publica previsiones de ingresos ni de beneficio: el comunicado del 2T26 (22-jul-2026) no trae objetivos numéricos y solo explica que los 49.600 M USD netos de la ampliación de junio se destinarán a fines generales, entre ellos el capex para ampliar la infraestructura de IA y la capacidad de cálculo [3]. El consenso recoge esa intensidad inversora: capex de 201.671 M USD en 2026, 300.277 M en 2027 y 339.078 M en 2028, frente a 91.447 M en 2025, con un flujo libre de 8.553 M en 2026 y negativo (−36.542 M) en 2027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498.741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[75]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614.953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298.430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217.014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[75]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733.425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381.490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262.853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[75]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497.502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498.741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202.626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597.003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614.953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260.364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692.523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733.425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308.173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336.091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 5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429,47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340,00 – 515,00</w:t>
            </w:r>
          </w:p>
        </w:tc>
      </w:tr>
    </w:tbl>
    <w:p>
      <w:pPr>
        <w:spacing w:after="160" w:before="0"/>
      </w:pPr>
    </w:p>
    <w:p>
      <w:pPr>
        <w:pStyle w:val="Heading2"/>
      </w:pPr>
      <w:r>
        <w:t xml:space="preserve">Revisiones de estimaciones</w:t>
      </w:r>
    </w:p>
    <w:p>
      <w:pPr>
        <w:spacing w:after="100"/>
      </w:pPr>
      <w:r>
        <w:t xml:space="preserve">Solo MarketScreener da estimaciones completas a tres años gratis; Stock Analysis da ingresos de 2026 idénticos (498.740 M USD, 51 analistas) pero un BPA de 12,15 USD frente a 20,63 [75, 76]. La diferencia son las plusvalías de cartera: en el primer semestre Alphabet anotó 135.946 M USD de ganancias en acciones, sobre todo SpaceX y una empresa privada [2]; el BPA de MarketScreener las incluye en 2026 y por eso cae a 14,97 USD en 2027. Los precios objetivo coinciden en las dos fuentes (medio 429,47 USD, de 340 a 515) y probablemente comparten origen. No hay datos gratuitos de revisiones a 3 y 12 meses.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bl>
    <w:p>
      <w:pPr>
        <w:spacing w:after="160" w:before="0"/>
      </w:pPr>
    </w:p>
    <w:p>
      <w:pPr>
        <w:spacing w:after="100"/>
      </w:pPr>
      <w:r>
        <w:t xml:space="preserve">Alphabet ha ganado un 43,7 % en un año con dividendos, frente al 16,7 % del S&amp;P 500 (SPY) y el −2,5 % del sector de comunicaciones (XLC), y un 37,0 % anual en tres años [69]. Tocó máximo de 52 semanas el 18 de mayo de 2026 (408,61 USD) y desde entonces ha cedido un 14 %: la mayor caída diaria del año, −7,1 %, fue el 23 de julio, el día siguiente a los resultados del 2T26 [3, 69]; antes, el 2 de junio (−3,9 %), coincidió con el anuncio de la ampliación de capital de 49.600 M USD y el programa de venta de acciones de hasta 40.000 M [2, 69]. La beta mensual de cinco años es 1,20 frente al S&amp;P 500 y 1,02 frente al Nasdaq 100 [69, 70]. Las posiciones cortas son pequeñas: 139 M de acciones A y C, un 1,22 % de las dos clases cotizadas y 3,5 días de volumen [87].</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Por EV/EBITDA de los últimos 12 meses, Alphabet cotiza a 23,2x, un 33 % por encima de su mediana de 17,4x y en el percentil 88 de su historia de ocho años. Por PER, en cambio, parece barata (17,6x frente a 25,0x), pero es un espejismo: el beneficio de los últimos 12 meses lleva unos 149.000 M de ganancias en SpaceX y en la cartera no cotizada, que no son repetibles [2]. La prima del EV/EBITDA tiene una razón y un problema. La razón: el crecimiento se ha acelerado del 14 % al 24 % en un año, con Cloud al 82 %. El problema: el EBITDA ya no mide la caja, porque el capex se come casi todo el flujo operativo (FCF del 1,2 % de la capitalización).</w:t>
      </w:r>
    </w:p>
    <w:p>
      <w:pPr>
        <w:pStyle w:val="Heading1"/>
      </w:pPr>
      <w:r>
        <w:t xml:space="preserve">18. Comparables cotizados</w:t>
      </w:r>
    </w:p>
    <w:p>
      <w:pPr>
        <w:pStyle w:val="Confianza"/>
        <w:spacing w:after="100"/>
      </w:pPr>
      <w:r>
        <w:t xml:space="preserve">Confianza: Media</w:t>
      </w:r>
    </w:p>
    <w:p>
      <w:pPr>
        <w:spacing w:after="100"/>
      </w:pPr>
      <w:r>
        <w:t xml:space="preserve">Los seis grandes grupos tecnológicos estadounidenses con los que Alphabet comparte negocio: Meta y Amazon compiten en publicidad digital; Microsoft, Amazon y Oracle, en nube e infraestructura de IA; Apple, en sistemas operativos móviles y como socio de distribución de la búsqueda; Netflix, con YouTube por el tiempo de vídeo. The Trade Desk, la referencia de la publicidad programática independiente, no encaja: vale 5.716 M USD, 750 veces menos que Alphabet, y el consenso espera que sus ventas caigan en 2026 y 2027 [84, 85].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Alphabet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4.336.386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3.936.117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Meta Platforms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1.839.340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Amazon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2.804.537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4.912.015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Oracle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434.987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Netflix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289.952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247.086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 / 13,3x / 15,6x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328,93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 / 17,2x / 19,8x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301,61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 / 22,5x / 25,1x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445.866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6,6x / 8,0x / 9,7x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364,48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22,8 + -0,40 × crecimiento; R² = 0,42. Para el crecimiento esperado de la empresa (24,3 %), el múltiplo ajustado es 13,1x y el valor por acción, 278,15.</w:t>
      </w:r>
    </w:p>
    <w:p>
      <w:pPr>
        <w:spacing w:after="100"/>
      </w:pPr>
      <w:r>
        <w:t xml:space="preserve">Alphabet cotiza a 16,7x el EBITDA de los próximos 12 meses, por encima de la mediana de los comparables (13,3x), con más crecimiento esperado (24,3 % frente a 16,8 %) pero menos margen EBITDA (39,9 % frente a 44,5 %), porque su EBITDA resta la remuneración en acciones y el de los comparables no la resta [75, 84]. La mediana del EV/EBITDA da 282,85 USD y la del PER 322,81: este último queda alto porque el BPA de Amazon también lleva ganancias de Anthropic. La regresión múltiplo-crecimiento no explica nada en una muestra de siete modelos distintos y no se usa. Los comparables más cercanos por negocio, Meta (publicidad) y Microsoft (nube), cotizan a 10,8x y 15,7x: Alphabet está entre los dos, más cerca de la nube. Pesan un 15 % porque la mediana es frágil y porque ningún múltiplo de un año recoge un capex del 40 % de las ventas.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Wiz</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Alphabet (Google Cloud)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28.807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11-mar-2026: precio total 29.467 M USD tras ajustes, sin la remuneración posterior a la compra; menos 660 M de caja adquirida. 22.705 M fueron fondo de comercio [2]. Wiz no publicaba cuentas: sin múltiplo.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VMware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Broadcom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61.000 M en efectivo y acciones más 8.000 M de deuda neta asumida [88]. Ventas del ejercicio a ene-2022: 12.851 M; EBIT 2.387 M + amortizaciones 1.110 M = EBITDA 3.497 M [93].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Activision Blizzard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Microsoft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61.885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95 USD por acción, 68.700 M «inclusive of» su caja neta [90]; menos caja neta a dic-2021 (10.423 M de efectivo − 3.608 M de deuda) = 61.885 M. Ventas 2021: 8.803 M; EBIT 3.259 M + amortizaciones 116 M = EBITDA 3.375 M [93].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Splunk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Cisco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157 USD por acción, ≈ 28.000 M de valor de las acciones [89] más deuda neta a jul-2023 de 1.430 M (convertibles 3.103 M + deuda corriente 776 M − caja e inversiones 2.449 M). Ventas del ejercicio a ene-2023: 3.654 M; EBIT negativo (−236 M) [93]: sin múltiplo de EBITDA.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Juniper Networks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Hewlett Packard Enterprise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 USD por acción en efectivo, ≈ 14.000 M de valor de las acciones [92] más deuda neta a sep-2023 de 211 M. Ventas 2023: 5.565 M; EBIT 470 M + amortizaciones 195 M = EBITDA 665 M [93].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390,19 USD por acción en efectivo y acciones, valor empresa ≈ 35.000 M, prima ≈ 29 % [91]. Ventas 2023: 2.270 M; EBIT 626 M + amortizaciones 133 M = EBITDA 759 M [93]. Excluida: software de simulación con un múltiplo de EBITDA de 46 veces, sin relación con publicidad ni nube.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19,7x (19,0x – 20,5x)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299,74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289,68 – 311,96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 software e infraestructura de los últimos cinco años se pagaron entre 2,6 y 8,1 veces las ventas y entre 18 y 21 veces el EBITDA cuando lo había (VMware, Activision, Juniper) [87, 88, 89, 90, 91, 92]. Sirven poco para valorar Alphabet: con más de 4 billones USD de capitalización nadie puede comprarla, y las acciones B de los fundadores, sin cotizar, le dan otra capa de blindaje [2]. La referencia útil es la contraria, lo que paga Alphabet: Wiz le costó 28.807 M USD netos de caja, de los que 22.705 M son fondo de comercio [2], la mayor compra de su historia y un precio que no se puede poner en múltiplos porque Wiz no publicaba cuentas.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Base 2025: 402.836 M. Para 2026 tomamos un 23,5 %, en línea con el 1S26 (+23 %) y con el consenso (+23,8 %) [3, 75]. Después, 20 % en 2027 y 16 % en 2028, algo por debajo del consenso (+23,3 % y +19,3 %): la cartera de Cloud (514.000 M, algo más de la mitad en 24 meses) asegura unos 130.000 M de ingresos al año de Cloud, pero Search empieza a comparar con la aceleración de 2025 y Network cae [3, 35]. De 2029 a 2035 el crecimiento baja del 14 % al 7 %, por encima del 6,3 % anual que se espera para la publicidad mundial, porque la nube sigue ganando peso [27].</w:t>
      </w:r>
    </w:p>
    <w:p>
      <w:pPr>
        <w:keepNext/>
        <w:spacing w:after="100"/>
      </w:pPr>
      <w:r>
        <w:rPr>
          <w:b/>
          <w:bCs/>
        </w:rPr>
        <w:t xml:space="preserve">Márgenes.</w:t>
      </w:r>
    </w:p>
    <w:p>
      <w:pPr>
        <w:spacing w:after="100"/>
      </w:pPr>
      <w:r>
        <w:t xml:space="preserve">Margen EBITDA con la remuneración en acciones como gasto y sin multas: del 38,2 % de 2025 (39,9 % en los últimos 12 meses) al 40,5 % en 2026 y al 46,0 % desde 2030. El consenso llega al 45,8 % en 2028 con la misma definición (su EBITDA menos un 6,19 % de ventas de remuneración en acciones) [75]. La subida viene de la mezcla: Cloud pasó de un margen operativo del 17,1 % al 35,6 % en dos años y el EBITDA no carga la amortización, que es su mayor coste [1]. El margen EBIT, en cambio, baja del 34,2 % de los últimos 12 meses (sin multas) a un 32,5 % en régimen, porque la amortización pasa del 5,2 % al 13,5 % de las ventas.</w:t>
      </w:r>
    </w:p>
    <w:p>
      <w:pPr>
        <w:keepNext/>
        <w:spacing w:after="100"/>
      </w:pPr>
      <w:r>
        <w:rPr>
          <w:b/>
          <w:bCs/>
        </w:rPr>
        <w:t xml:space="preserve">Inversión y circulante.</w:t>
      </w:r>
    </w:p>
    <w:p>
      <w:pPr>
        <w:spacing w:after="100"/>
      </w:pPr>
      <w:r>
        <w:t xml:space="preserve">Capex de 201.488 M en 2026 (40,5 % de las ventas), en la guía de 195.000-205.000 M [35]; 47 % en 2027 y 40 % en 2028, por debajo del consenso (300.277 M y 339.078 M) [75]; después baja hasta el 15 % en 2035, cerca del 12-15 % de 2019-2023 más el peso de la nube. La amortización sube del 6,3 % al 13,5 % de las ventas: los servidores se amortizan en seis años y son un 60 % de la inversión [1, 35]. El circulante, el 13 % de las ventas, como en 2024-2025. El tipo impositivo, un 17,5 %, cerca del 16,8 % de 2025 sin las ganancias de participaciones.</w:t>
      </w:r>
    </w:p>
    <w:p>
      <w:pPr>
        <w:keepNext/>
        <w:spacing w:after="100"/>
      </w:pPr>
      <w:r>
        <w:rPr>
          <w:b/>
          <w:bCs/>
        </w:rPr>
        <w:t xml:space="preserve">Coste del capital.</w:t>
      </w:r>
    </w:p>
    <w:p>
      <w:pPr>
        <w:spacing w:after="100"/>
      </w:pPr>
      <w:r>
        <w:t xml:space="preserve">Tasa libre del 5,27 % (bono a 10 años del 6-oct-2026) [71]. Beta de 1,13: la mensual a cinco años frente al S&amp;P 500 (1,20), ajustada [69, 70]. Frente al Nasdaq 100 sale 1,02 y frente al índice de comunicaciones (XLC) 1,00, pero Alphabet pesa el 5,8 % del Nasdaq 100 y el 22,5 % del XLC, que la arrastran hacia 1; en el S&amp;P 500 pesa el 5,5 % y es el índice al que corresponde la prima de mercado [94, 95]. Prima de mercado del 5,0 %, la misma del informe de Microsoft; la implícita de Damodaran (4,20 %) se aplica en la regla relativa [72]. Coste de la deuda del 5,45 %, el cupón del bono a 2036 emitido en agosto; peso de la deuda del 2,8 % [79].</w:t>
      </w:r>
    </w:p>
    <w:p>
      <w:pPr>
        <w:keepNext/>
        <w:spacing w:after="100"/>
      </w:pPr>
      <w:r>
        <w:rPr>
          <w:b/>
          <w:bCs/>
        </w:rPr>
        <w:t xml:space="preserve">Valor terminal.</w:t>
      </w:r>
    </w:p>
    <w:p>
      <w:pPr>
        <w:spacing w:after="100"/>
      </w:pPr>
      <w:r>
        <w:t xml:space="preserve">Crecimiento a perpetuidad del 3,5 % nominal, un 1 % real sobre una inflación esperada de un 2,3-2,5 %, coherente con un bono al 5,27 %. El múltiplo de salida implícito es de 8,0 veces el EBITDA, frente a 13,3 veces de los comparables hoy: es prudente porque el régimen supone un capex del 15 % de las ventas. Con un 14x de salida el valor terminal sería un 76 % mayor; no se usa porque el múltiplo de hoy refleja un crecimiento del 24 %, no el de 2040.</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497.502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597.003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692.523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277.009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359.212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252.633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884.214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406.738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451.480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496.628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1.176.791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261.708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1.270.935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584.630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1.359.900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625.554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183.587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203.985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332.659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136.438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Etapa de transición (DCF en tres etapas)</w:t>
      </w:r>
    </w:p>
    <w:p>
      <w:pPr>
        <w:spacing w:after="100"/>
      </w:pPr>
      <w:r>
        <w:t xml:space="preserve">Con la etapa de transición de 5 años el DCF da 236,76 por acción; sin ella (crecimiento terminal desde 2035e), 217,98.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1.445.574</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214.668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356.942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0,371</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132.266</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1.526.526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224.399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380.458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0,335</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127.316</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1.601.326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232.993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402.818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121.734</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1.668.582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240.276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423.628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115.615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1.726.982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246.095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442.503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0,246</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109.030</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Tras 2035 añadimos cinco años de transición, con el crecimiento bajando del 7 % al 3,5 % y el margen constante. Se justifica por tres datos: el ROIC del 37,7 % supera al WACC en 27 puntos, de modo que crecer crea valor; la nube está poco penetrada (el mercado de infraestructura creció un 29 % en el 4T25 y Google tiene un 15 %, tras AWS y Microsoft) [28, 29]; y la cartera contratada de 514.000 M equivale a casi siete años de los ingresos actuales de Cloud [35]. La ventaja que aguanta es la integración: modelos propios (Gemini), chips propios (TPU) y distribución en Search, Android y YouTube. Sin la etapa, el DCF da 217,98 USD.</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6.325.713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11.121.763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637.631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(5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605.961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1.481.116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2.724.708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2.929.212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217,18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301,24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1.256.681 M (49 %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 (ROIC 37,7 %)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 (histórico: 37,1 %)</w:t>
            </w:r>
          </w:p>
        </w:tc>
      </w:tr>
    </w:tbl>
    <w:p>
      <w:pPr>
        <w:spacing w:after="160" w:before="0"/>
      </w:pPr>
    </w:p>
    <w:p>
      <w:pPr>
        <w:spacing w:after="100"/>
      </w:pPr>
      <w:r>
        <w:t xml:space="preserve">La proyección reinvierte el 49 % del NOPAT. Con el ROIC del último ejercicio (37,7 %), eso financia un crecimiento del 18,6 % anual, frente al 13,1 % de ingresos proyectado. Supone que el capital nuevo rinde un 20,2 %, frente a un ROIC incremental histórico del 37,1 %.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clics de pago de Search +13 % y Cloud +82 % en el 2T26, con capacidad nueva; precio: coste por clic +3 % y coste por impresión de Network +13 %; otros: divisa y Wiz (crecimiento publicado del 24,2 % frente al 23 % orgánico en el 2T26). Reparto a nivel de grupo, estimación propia [2,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sobre todo de Cloud: algo más de la mitad de la cartera de 514.000 M se reconoce en 24 meses, unos 130.000 M al año; precio, el coste por clic al ritmo de 2025-2026 (+3 % a +7 %) [1, 3, 35].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Search compara con la aceleración de 2025-2026 y Network sigue cayendo en impresiones (−12 % en el 2T26); el consenso da +19,3 % [2, 75].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 hacia la publicidad mundial (+6,3 % anual previsto) más el peso creciente de la nube [27, 28].</w:t>
            </w:r>
          </w:p>
        </w:tc>
      </w:tr>
    </w:tbl>
    <w:p>
      <w:pPr>
        <w:spacing w:after="160" w:before="0"/>
      </w:pPr>
    </w:p>
    <w:p>
      <w:pPr>
        <w:spacing w:after="100"/>
      </w:pPr>
      <w:r>
        <w:t xml:space="preserve">Sí. Foso: la intención de búsqueda (89,9 % de cuota mundial) más modelos y chips propios; poder de precios: coste por clic +7 % en 2025; y la publicidad creció incluso en 2020 y 2022 [1, 8, 9, 15]. La reinversión, el 49 % del NOPAT, financiaría al ROIC del 37,7 % un 18,6 % frente al 13,1 % proyectado, y el capital nuevo solo tiene que rendir un 20,2 %, la mitad del histórico. La cuota se prueba a mano: con la publicidad en el 24,8 % de un mercado al +6,3 % anual, Cloud y el resto deben crecer un 22 % anual hasta 2035, frente al 37 % de Cloud en 2019-2025 [1, 7, 27]. La duda es el rendimiento del capex, no el crecimiento.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16,6 % (base: 11,9 %)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58,7 % (base: 46,0 %)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 (WACC: 10,7 %)</w:t>
            </w:r>
          </w:p>
        </w:tc>
      </w:tr>
    </w:tbl>
    <w:p>
      <w:pPr>
        <w:spacing w:after="160" w:before="0"/>
      </w:pPr>
    </w:p>
    <w:p>
      <w:pPr>
        <w:spacing w:after="100"/>
      </w:pPr>
      <w:r>
        <w:t xml:space="preserve">El DCF da 236,76 USD por acción, un 32,5 % por debajo del precio. El valor terminal pesa un 54 % y la etapa de transición otro 22 %: los flujos de 2026-2035 apenas suman 637.631 M porque el FCFF es negativo hasta 2028 (−41.326 M, −78.307 M y −23.065 M) y no supera los 200.000 M hasta 2032. El DCF inverso dice que, con nuestros márgenes, el precio de 350,50 USD descuenta un crecimiento medio del 16,6 % anual en 2027-2035, frente al 11,9 % de nuestro caso base; o, con nuestro crecimiento, un margen EBITDA del 58,7 %, el de Meta o Microsoft, frente al 46,0 %. Dicho de otra forma: comprar hoy rinde un 8,7 % anual si se cumple nuestro caso base, por debajo del 10,74 % de WACC y del 9,86 % que pide el mercado con su prima implícita. Es exigente: en 2018-2025 Alphabet creció al 16,7 % anual con un capex del 10-18 % de las ventas; el precio pide crecer más rápido durante una década siendo dos veces y media mayor y con un capex del 40 %.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asistentes de IA se llevan la intención comercial: la cuota de Google en EE. UU., que ya bajó del 88,0 % al 85,2 % en dos años, sigue cayendo y Search crece a un dígito, como ya le pasó a Network, que factura un 10 % menos que en 2022. A la vez, la nube entra en guerra de precios con capacidad sobrante, como en la optimización de 2023 [1, 15].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Search crece por encima de la publicidad mundial gracias a AI Mode, y Cloud convierte su cartera en ingresos con margen operativo de más del 30 %. El capex toca techo en 2027-2028 y baja hacia el 15 % de las ventas en 2035.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370,52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amplía el mercado: AI Mode monetiza mejor que el buscador clásico, las TPU se venden a terceros y Cloud crece por encima del 40 % hasta 2029. Es lo que descuenta el mercado: un crecimiento medio cercano al 17 % durante diez años.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350,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238,06 USD (-32,1 %).</w:t>
      </w:r>
    </w:p>
    <w:p>
      <w:pPr>
        <w:spacing w:after="100"/>
      </w:pPr>
      <w:r>
        <w:t xml:space="preserve">La asimetría es mala: el alcista vale 370,52 USD (+5,7 %) y el bajista 134,95 (−61,5 %), una relación de 0,09 veces. Con la prima implícita del mercado, 438,96 y 154,70, y la relación sube a 0,45, todavía por debajo de 1. El bajista es severo porque el FCF de los próximos tres años ya es negativo en el caso base: si los ingresos no llegan, el capex comprometido (811.000 M de compromisos de compra a jun-26) se queda [2]. El ponderado (238,06) queda cerca del caso base.</w:t>
      </w:r>
    </w:p>
    <w:p>
      <w:pPr>
        <w:pStyle w:val="Heading1"/>
      </w:pPr>
      <w:r>
        <w:t xml:space="preserve">22. Suma de partes</w:t>
      </w:r>
    </w:p>
    <w:p>
      <w:pPr>
        <w:pStyle w:val="Confianza"/>
        <w:spacing w:after="100"/>
      </w:pPr>
      <w:r>
        <w:t xml:space="preserve">Confianza: Media</w:t>
      </w:r>
    </w:p>
    <w:p>
      <w:pPr>
        <w:spacing w:after="100"/>
      </w:pPr>
      <w:r>
        <w:t xml:space="preserve">La suma de partes da 274,65 USD por acción (de 235,94 a 313,37 con los múltiplos ± 1 vez y ± 15 %), un 21,6 % por debajo del precio. Services aporta 2,61 billones, Cloud 0,78, Waymo 0,13, y los costes centrales restan 0,32. Al precio actual, y con Services a 17 veces, el mercado paga por Cloud unas 22 veces sus ventas de los últimos 12 meses (estimación propia). Es el método que mejor enseña dónde está la apuesta: en Cloud y en la IA, no en el buscador. Su límite es que los múltiplos de los últimos 12 meses no cargan el capex que viene, que es de todo el grupo y no se reparte por segmento.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Google Services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últimos 12 meses</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153.792</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2.614.464</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Publicidad, suscripciones y dispositivos, con margen operativo del 41,8 % y crecimiento del 15 % [3]. Meta cotiza a unas 19,7 veces su EBIT (estimación propia: EV/ventas de 8,17x entre un margen EBIT del 41,4 %) y crece más, un 22,9 % [30, 84]: dos veces menos por el menor crecimiento y el riesgo de la IA en la búsqueda.</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Google Cloud</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últimos 12 meses</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77.617</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776.170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 un 82 % con margen operativo del 35,6 % y una cartera de 514.000 M [3, 35]. Oracle cotiza a 7,75 veces las ventas creciendo un 38,6 % y Microsoft a 12,0 veces con un 18,5 % y más margen [84]: 10 veces está entre los dos.</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Waymo (Other Bets)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Ronda de feb-2026 (post-money)</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126.000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la ronda de 16.000 M de febrero de 2026, en la que Alphabet puso 13.000 M [81, 83]. Se toma el 100 %: los socios externos van en el puente a valor contable (7.100 M); cada 5 % suyo a precio de ronda restaría 0,51 USD por acción. El resto de Other Bets, a cero.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centrales (Alphabet-level)</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 últimos 12 meses</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-21.541</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-323.115</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Investigación de IA compartida (DeepMind, modelos Gemini) y costes corporativos, que no se reparten a los segmentos [3]. Se capitalizan a 15 veces, algo por debajo de Services, porque parte del gasto en modelos es inversión que sostiene a los dos segmentos.</w:t>
            </w:r>
          </w:p>
        </w:tc>
      </w:tr>
    </w:tbl>
    <w:p>
      <w:pPr>
        <w:spacing w:after="160" w:before="0"/>
      </w:pPr>
    </w:p>
    <w:p>
      <w:pPr>
        <w:spacing w:after="100"/>
      </w:pPr>
      <w:r>
        <w:rPr>
          <w:b/>
          <w:bCs/>
        </w:rPr>
        <w:t xml:space="preserve">Valor por acción por suma de partes:</w:t>
      </w:r>
      <w:r>
        <w:t xml:space="preserve"> 274,65 (-21,6 %); con ±1x en los múltiplos, 235,94 – 313,37.</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350,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252,74 USD (-27,9 % sobre 350,50).</w:t>
      </w:r>
    </w:p>
    <w:p>
      <w:pPr>
        <w:spacing w:after="100"/>
      </w:pPr>
      <w:r>
        <w:t xml:space="preserve">Pesos: DCF 40 %, escenarios 30 %, comparables 15 % y suma de partes 15 %; transacciones, 0 (sin prima de control: nadie puede comprar Alphabet). El DCF es el método que recoge lo que decide el valor, la rentabilidad de 2026-2028 en capex. El puente usa el balance del 30-jun-2026: deuda de 100.164 M, arrendamientos financieros de 2.590 M (los operativos no, en US GAAP), caja y valores de deuda de 155.411 M, minoritarios a valor contable de 7.100 M (Waymo), y participaciones de 195.553 M: SpaceX a precio del 7-oct (92.379 M), otras cotizadas (7.013 M) y no cotizadas (131.461 M, sobre todo Anthropic tras su ronda a 965.000 M), menos un 21 % de impuesto latente sobre unas plusvalías de unos 168.000 M (estimación propia) [2, 77, 78, 80]. Otros ajustes, 36.606 M: las preferentes obligatoriamente convertibles por su valor de liquidación (19.250 M; entre 355 y 444 USD entregan acciones por ese importe) y 17.356 M de multas y acuerdos devengados [2, 74]. Las participaciones valen 15,81 USD por acción. La dispersión entre métodos es moderada (236,76 a 302,83), y todos quedan por debajo del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(26.6x) ÷ 1.1 (tope: la mediana de 5 años, 17.4x,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375,10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433,18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r>
    </w:tbl>
    <w:p>
      <w:pPr>
        <w:spacing w:after="160" w:before="0"/>
      </w:pPr>
    </w:p>
    <w:p>
      <w:pPr>
        <w:spacing w:after="100"/>
      </w:pPr>
      <w:r>
        <w:rPr>
          <w:b/>
          <w:bCs/>
        </w:rPr>
        <w:t xml:space="preserve">Objetivo a 12 meses (ponderado):</w:t>
      </w:r>
      <w:r>
        <w:t xml:space="preserve"> 341,58 USD · rentabilidad -2,3 % (base +7,3 %) · señal Mantener.</w:t>
      </w:r>
    </w:p>
    <w:p>
      <w:pPr>
        <w:spacing w:after="100"/>
      </w:pPr>
      <w:r>
        <w:t xml:space="preserve">Para comparar, con la regla v2 (historia al cierre, mismo precio): 19,3x / 24,1x / 25,0x, 2,0 % Mantener; con el tope anterior del base (×1,3, 14-oct mediodía): -10,6 % Vender. Decide la regla vigente (v3 con tope ×1,1; METODO-VIGENTE.md).</w:t>
      </w:r>
    </w:p>
    <w:p>
      <w:pPr>
        <w:keepNext/>
        <w:spacing w:after="100"/>
      </w:pPr>
      <w:r>
        <w:rPr>
          <w:b/>
          <w:bCs/>
        </w:rPr>
        <w:t xml:space="preserve">Frente al consenso (solo contraste).</w:t>
      </w:r>
    </w:p>
    <w:p>
      <w:pPr>
        <w:spacing w:after="100"/>
      </w:pPr>
      <w:r>
        <w:t xml:space="preserve">Nuestro BPA base de 2028e (15,50) se separa un -13,6 % del consenso (17,93) y nuestro precio base (373,55) un -13,0 % del objetivo medio de los analistas (429,47).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252,74 (-27,9 %) frente al objetivo a 12 meses ponderado 356,71 (+2,0 % con dividendo; base +6,8 %).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 (por confirmar)</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[73]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capacidad alquilada a terceros y con la comparación de la aceleración de Search del 3T25; capex del trimestre frente a la guía de 195.000-205.000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la nueva Siri con Gemini [25]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Gemini como motor de Apple: más uso y defensa de la distribución en 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o 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capex de 2027 [35]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ya ha dicho que crecerá «de forma significativa»; el consenso espera unos 300.000 M [75]. Por encima, presión en la acción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Sentencia del Circuito de D.C. sobre los remedios de búsqueda [19]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DOJ y los estados piden endurecerlos; prohibir los pagos por defecto a Apple (unos 20.000 M en 2022) cambiaría la distribución [20]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 de la sentencia de ad tech (remedios de conducta, sin venta de AdX) [21]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acotado: Google Network es el 7,4 % de los ingresos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el 3T27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las restricciones de venta de las acciones de SpaceX (80.000 M a corto y 14.100 M hasta el 3T27) [2]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monetización de 7,47 USD por acción; volatilidad en el beneficio por la revaluación trimestral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Uso del ATM de 40.000 M y nuevas emisiones [2]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Dilución si se usa más allá de las retenciones fiscales de los empleados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conversacional erosiona las consultas comerciales de Search</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(bajista: −3,5 puntos de crecimiento y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 Mode con más de 1.000 M de usuarios y Search creciendo un 17 %; Gemini en Siri [25, 35]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Clics de pago por debajo del +5 % interanual o cuota de búsqueda en EE. UU. por debajo del 83 % [15]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capex no rinde: 200.000 M en 2026 y más en 2027 con FCF negativo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 por cada punto menos de crecimiento anual (217,44 frente a 236,76); −3,8 % por cada punto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Cloud de 514.000 M, algo más de la mitad en 24 meses [35]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 Cloud por debajo del 25 % o cartera que deja de crecer en dos trimestres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la cartera de Cloud en pocos laboratorios de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(estimación propia: 1-2 puntos menos de crecimiento)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dice que la mayor parte son contratos típicos de GCP [35]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Desglose de la cartera o renegociación de un gran contrato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Remedios antimonopolio más duros en el recurso de búsqueda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sentencia de 2025 no prohibió los pagos ni obligó a vender Chrome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Vista y sentencia del Circuito de D.C.</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bono a 10 años al 5,27 %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medio punto más de WACC (217,93 frente a 236,76)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valores de 155.411 M y rating Aa2/AA+ [97]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5,75 %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Dilución por el ATM y las preferentes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−3 % (40.000 M de ATM a precio de mercado son 114 M de acciones, un 0,9 %)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Destino declarado: las retenciones fiscales de las acciones de empleados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en circulación del 10-Q del 3T26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Pérdidas en la cartera de participaciones (SpaceX, Anthropic)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−4,5 % si su valor cae a la mitad (7,90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el 4,5 % del valor de mercado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SpaceX y próxima ronda de Anthropic</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control de los fundadores con el 52,7 % del voto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cuantificable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independiente y 70 % de independientes [42]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en contra de la remuneración por encima del 20 %</w:t>
            </w:r>
          </w:p>
        </w:tc>
      </w:tr>
    </w:tbl>
    <w:p>
      <w:pPr>
        <w:spacing w:after="160" w:before="0"/>
      </w:pPr>
    </w:p>
    <w:p>
      <w:pPr>
        <w:pStyle w:val="Heading2"/>
      </w:pPr>
      <w:r>
        <w:t xml:space="preserve">Pre-mortem</w:t>
      </w:r>
    </w:p>
    <w:p>
      <w:pPr>
        <w:spacing w:after="100"/>
      </w:pPr>
      <w:r>
        <w:t xml:space="preserve">Octubre de 2029: la acción ha perdido un 40 %. La cadena empezó en 2027. La guía de capex llegó a 300.000 M, como esperaba el consenso, pero el crecimiento de Cloud bajó del 80 % al 25 % en cuanto los laboratorios de IA, que eran una parte de la cartera que nadie desglosó, ajustaron sus compras; la capacidad que Alphabet había alquilado a terceros en 2026 se quedó sin uso. A la vez, Search frenó: los clics de pago, que crecían un 13 % en el 2T26, se quedaron planos cuando los asistentes de ChatGPT y Meta empezaron a cobrar por recomendaciones de compra, y AI Mode resultó monetizar menos que el buscador clásico. Con el FCF negativo tres años seguidos, Alphabet tuvo que usar el ATM y emitir más bonos a un 6 %, y el mercado dejó de pagar 23 veces un EBITDA que ya no era caja. Los indicadores que lo habrían anticipado: el margen operativo de Cloud (35,6 % en el 2T26), los clics de pago (+13 %) y la proporción de la cartera de Cloud que se reconoce en 24 meses (algo más del 50 %).</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BB (escala CCC-AAA), según la ficha de MarketScreener [41]</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r>
    </w:tbl>
    <w:p>
      <w:pPr>
        <w:spacing w:after="160" w:before="0"/>
      </w:pPr>
    </w:p>
    <w:p>
      <w:pPr>
        <w:pStyle w:val="Heading2"/>
      </w:pPr>
      <w:r>
        <w:t xml:space="preserve">Asuntos materiales</w:t>
      </w:r>
    </w:p>
    <w:p>
      <w:pPr>
        <w:spacing w:after="100"/>
      </w:pPr>
      <w:r>
        <w:rPr>
          <w:b/>
        </w:rPr>
        <w:t xml:space="preserve">Energía y emisiones de los centros de datos.</w:t>
      </w:r>
      <w:r>
        <w:t xml:space="preserve"> El consumo eléctrico de Google subió un 37 % en 2025, hasta 43,6 TWh, de los que 42,4 TWh son centros de datos (18,1 TWh en 2021) [40]. Las emisiones totales con su criterio (ambition-based) fueron unos 14,5 MtCO2e, +18 % en el año y +81 % frente a 2019, cuando el objetivo es reducirlas un 50 % en 2030 [40]. La energía libre de carbono hora a hora quedó en un 65 % (66 % en 2024) [40]: la energía ya limita el crecimiento y la propia empresa lo cita como riesgo [1], y la compra de Intersect (5.900 M USD) es una respuesta de negocio, no solo de sostenibilidad [2]. </w:t>
      </w:r>
      <w:r>
        <w:rPr>
          <w:b/>
        </w:rPr>
        <w:t xml:space="preserve">Privacidad y competencia</w:t>
      </w:r>
      <w:r>
        <w:t xml:space="preserve">: son el riesgo ESG con impacto contable directo, con 10.800 M USD entre cargos y pagos en 2025-2026: 3.500 M por la multa europea de ad tech, 5.200 M pagados por Android y 2.100 M de daños a PriceRunner [2]. El agua es secundaria: los proyectos de reposición cubrieron un 78 % del consumo de agua dulce en 2025 [40].</w:t>
      </w:r>
    </w:p>
    <w:p>
      <w:pPr>
        <w:pStyle w:val="Heading2"/>
      </w:pPr>
      <w:r>
        <w:t xml:space="preserve">Controversias</w:t>
      </w:r>
    </w:p>
    <w:p>
      <w:pPr>
        <w:spacing w:after="100"/>
      </w:pPr>
      <w:r>
        <w:t xml:space="preserve">Competencia, casi todo: condena por monopolio en búsqueda (agosto de 2024) y en ad tech (abril de 2025) en EE. UU. [2]; multa de la UE de 2.950 M EUR por ad tech (septiembre de 2025, cargo de 3.500 M USD) [2]; 890 M EUR por incumplir la DMA (julio de 2026) [22]; la multa de Android, firme y pagada en julio de 2026 (5.200 M USD) [2]; y 2.100 M USD de daños a PriceRunner en Suecia (julio de 2026, recurrida) [2]. El veredicto del jurado en Epic contra Google (diciembre de 2023) obliga a abrir Play [2]. Hay investigaciones y demandas de privacidad abiertas en EE. UU. y la UE sobre localización y publicidad [2].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rentabilidad esperan de los 195.000-205.000 M de 2026 y de los de 2027, y cuánto es mantenimiento?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depende de que el capex baje del 47 % al 15 % de las ventas; el precio descuenta que rinda como el negocio actual.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Cloud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514.000 M corresponde a los cinco mayores clientes y a laboratorios de 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está concentrada, el bajista de Cloud es mucho más probable.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Monetización de la IA en Search</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es el ingreso por consulta de AI Mode frente al del buscador clásico?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clics crecen un 13 % pero el coste por clic solo un 3 %; si AI Mode monetiza menos, el crecimiento de Search es de volumen y no de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TPU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tienen las ventas de sistemas TPU y cuánto pesan en la cartera?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Inflan los ingresos de Cloud desde el 2T26 y la dirección no da su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se ha vendido por el ATM y qué límite de deuda neta se fijan?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pasó de recomprar 62.222 M en 2024 a captar más de 74.000 M en acciones, preferentes y bonos entre junio y agosto de 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Waymo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de Waymo tiene Alphabet y piensan sacarla a bolsa?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ronda de 126.000 M no se refleja en el balance y el porcentaje no se publica.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Participaciones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porcentaje en Anthropic y en SpaceX, y piensan vender?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 15,81 USD por acción y mueven el beneficio cada trimestre.</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19 de 22 controles correctos y 2 explicados. Fuentes: 97 (65 primarias); citas distintas en el texto: 94.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20,2 % frente a un ROIC de 37,7 % y un incremental histórico de 37,1 %: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13,0 % frente a 13,2 % real: genera una variación de circulante de 11.550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37,7 % frente a WACC 10,7 %: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3,50 %. Explicación: El 3,5 % es nominal en dólares: con el bono a 10 años al 5,27 % y una inflación esperada de un 2,3-2,5 %, supone un 1 % real, por debajo del límite de la tasa libre menos medio punto. Es el mismo supuesto que en el informe de Microsoft de la misma fecha. Con un 3,0 % el DCF baja a 227,49 USD (tabla de sensibilidad).</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11,3x a 15,4x según qué comparable se quite (241,41 a 324,29 por acción): la muestra es frágil; explícalo y no le des mucho peso. Explicación: La mediana del EV/EBITDA de los próximos 12 meses va de 11,3x a 15,4x según qué comparable se quite: ninguno combina publicidad de búsqueda, nube y una cartera de participaciones. Por eso los comparables pesan solo un 15 % en el valor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«Vender»: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(no llega a Alta: el precio pide 4,7 puntos más de crecimiento que el caso base (&lt; 5))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97 fuentes (65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13, 82, 86.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la empresa (no lo dan); 2) prensa: solo ingresos del 2T26 (119,8 mM frente a 116,82 mM esperados) [12]; 3) sin consenso de BPA o EBITDA citable para el resto de trimestres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del 10-Q 2T26 (da rangos y plazos medios por emisión, no el total); 2) 10-K 2025 (igual); 3) calcularla exige el detalle de cada bono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adquisición de Windsurf (2025) y de Looker (2020)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y 10-K 2024 (Windsurf no aparece); 2) 10-K 2020 (Looker sin importe en el texto extraído); 3) no se buscó en prensa por el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WARC y WPP Media (comunicados de diciembre de 2025): solo dan 2025, 2026 y 2027 y la TCAC prevista; 2) búsqueda de la previsión de Magna de junio de 2026: no apareció el comunicado original; 3) derivarla: no hay serie 2020-2025 de una misma fuente abierta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WARC: publica la cuota conjunta de Alphabet, Amazon y Meta (56,1 % sin China en 2025), no la de los cinco primeros; 2) WPP Media: no da cuotas por empresa en la parte abierta; 3) suma propia: faltan ByteDance y Alibaba con cifras auditadas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(Sustainalytics y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Sustainalytics (ficha de Alphabet): redirige a una página genérica, sin puntuación; 2) descarga directa con curl: misma redirección; 3) CDP: la lista A 2025 solo aparece en un artículo bloqueado (403) y en resúmenes de buscador, que no valen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participación de Larry Page en la clase C (y por tanto su % del capital)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la tabla de participaciones excluye la clase C, sin voto; 2) Form 4: Page no presentó ninguno en los doce meses, así que no hay saldo posterior; 3) Schedule 13G/A de 2025 y 2026 en la lista de EDGAR: el único fundador que declara es Brin (Schmidt declara aparte)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se da el mínimo de la clase B (~3,2 %),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Thomas Kurian y John L. Hennessy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Kurian no es directivo nombrado y de Hennessy solo figuran las 20.624 acciones A; 2) Form 4: Hennessy solo declara las acciones que mueve y Kurian no presenta Form 4 (no es directivo de la Sección 16); 3) página de gobierno de abc.xyz: no da participaciones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de 2022 y objetivos de plantilla o márgenes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Transcripción del 4T21: el PDF devuelve 404 con las dos rutas probadas; 2) 10-K y 10-Q: solo dicen que el capex «aumentará significativamente», sin cifra; 3) transcripciones del 4T22 al 2T26: la única guía cuantitativa es la de capex (más la ralentización de la contratación de 2023,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Porcentaje de Alphabet en Waymo (para valorar los minoritarios a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Waymo de la ronda de 16.000 M (2-feb-2026): solo dice «majority investor» [81]; 2) 10-Q del 2T26, nota de minoritarios: 7.100 M a valor contable sin desglose por filial [2]; 3) Bloomberg Law: Waymo no dio los términos de Alphabet [83]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minoritarios a valor contable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Porcentaje de Alphabet en SpaceX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13F del 2T26: 551.189.500 acciones, sin porcentaje [77]; 2) 10-Q: 94.100 M de valor razonable, sin porcentaje [2]; 3) Prensa: solo resúmenes de buscador (≈ 5-6 %), no verificables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valora por acciones x cotización, sin necesitar el porcentaje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Inversión total y porcentaje de Alphabet en Anthropic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la cartera no cotizada es «sobre todo una empresa privada», sin nombre ni porcentaje [2]; 2) Anuncio de la Serie H de Anthropic: no da porcentajes de accionistas [80]; 3) Prensa: resúmenes de buscador (≈ 14 %, inversión de más de 3.000 M más 10.000 M en 2026), no verificados en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cartera no cotizada a valor contable recalculado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sin serie de revisiones legible [75]; 2) Stock Analysis forecast: 2027-2028 y revisiones de pago [76]; 3) Comparar con estimaciones antiguas guardadas: no hay en el repo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resultados del 3T26 confirmada por la empresa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abc.xyz/investor: sin fecha publicada a 8-oct [96]; 2) Stock Analysis: 28-oct-2026 [73]; 3) EDGAR 8-K: no hay aviso de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Tomada de Stock Analysis y marcada como no confirmada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Primas de VMware, Activision, Splunk y Juniper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oficiales: no dan la prima en cifra [87, 88, 89, 91]; 2) XBRL: no aplica; 3) No calculada (exigiría el precio sin perturbar del día anterior)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Alphabet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https://www.sec.gov/Archives/edgar/data/1652044/000165204426000018/goog-20251231.htm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Alphabet Inc. Form 10-Q segundo trimestre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https://www.sec.gov/Archives/edgar/data/1652044/000165204426000071/goog-20260630.htm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Announces Second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https://www.sec.gov/Archives/edgar/data/1652044/000165204426000066/googexhibit991q22026.htm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Announces First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https://www.sec.gov/Archives/edgar/data/1652044/000165204426000043/googexhibit991q12026.htm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Announces Fourth Quarter and Fiscal Year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https://www.sec.gov/Archives/edgar/data/1652044/000165204426000012/googexhibit991q42025.htm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Announces Third 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https://www.sec.gov/Archives/edgar/data/1652044/000165204425000087/googexhibit991q32025.htm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Form 10-K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https://www.sec.gov/Archives/edgar/data/1652044/000165204425000014/goog-20241231.htm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Form 10-K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https://www.sec.gov/Archives/edgar/data/1652044/000165204423000016/goog-20221231.htm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Form 10-K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https://www.sec.gov/Archives/edgar/data/1652044/000165204421000010/goog-20201231.htm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XBRL Company Facts, Alphabet Inc. (CIK 0001652044)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Securities and Exchange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https://data.sec.gov/api/xbrl/companyfacts/CIK0001652044.json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Form 8-K: cierre de la emisión de 25.000 M USD de bonos sénior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https://www.sec.gov/cgi-bin/browse-edgar?action=getcompany&amp;CIK=0001652044&amp;type=8-K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stock falls despite beating Q2 earnings on CapEx concerns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ECIKS.org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https://eciks.org/15402-alphabet-stock-earnings-capex-3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Reports Q2 Results After the Bell Today. The Number That Decides the Stock Isn't Revenue or Earnings -- It's Capex.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(vía Mitrade)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https://www.mitrade.com/insights/news/live-news/article-8-1926190-20260723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earnings call: Remarks from our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(The Keyword)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https://blog.google/company-news/inside-google/message-ceo/alphabet-earnings-q2-2026/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Search Engine Market Share Worldwide y United States, series mensuales sep-2022 a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StatCounter Global Stats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https://gs.statcounter.com/search-engine-market-share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 Chatbot Market Share Worldwide, serie mensual sep-2025 a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StatCounter Global Stats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https://gs.statcounter.com/ai-chatbot-market-share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ChatGPT reaches 900M weekly active users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TechCrunch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https://techcrunch.com/2026/02/27/chatgpt-reaches-900m-weekly-active-users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Gemini Loses Ground To ChatGPT For Second Straight Month, Shows SimilarWeb Data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OfficeChai (datos de Similarweb)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https://officechai.com/ai/gemini-loses-ground-to-chatgpt-for-second-straight-month-shows-similarweb-data/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Department of Justice Wins Significant Remedies Against Google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Justice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https://www.justice.gov/opa/pr/department-justice-wins-significant-remedies-against-google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paid Apple $20 billion in 2022 to be Safari's default search engine (documentos del juicio)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9to5Mac (sobre Bloomberg)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https://9to5mac.com/2024/05/01/google-paid-apple-search-safari/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Judge rejects DOJ bid to divest Google's ad tech business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iClarified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https://www.iclarified.com/101969/judge-rejects-doj-bid-to-divest-googles-ad-tech-business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Commission fines Google EUR 890 million for non-compliance with the Digital Markets Act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 (Shaping Europe's digital future)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https://digital-strategy.ec.europa.eu/en/node/17143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SMS investigation into Google's general search and search advertising services (expediente)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Competition and Markets Authority (gov.uk)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https://www.gov.uk/cma-cases/sms-investigation-into-googles-general-search-and-search-advertising-services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Japan's FTC issues cease-and-desist order against Google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https://www.upi.com/Top_News/World-News/2025/04/15/9431744726034/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Confirms Gemini-Powered Siri Coming Later This Year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MacRumors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https://www.macrumors.com/2026/04/22/google-gemini-powered-siri-2026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ad market prospects upgraded to 8.9% but growth concentrated in Big Tech platforms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https://www.warc.com/en/press/press-releases/25-12-11_global-ad-market-prospects-upgraded-to-8-but-growth-concentrated-in-Big-Tech-platforms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This Year Next Year: December 2025 global advertising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WPP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https://www.wppmedia.com/news/report-this-year-next-year-december-2025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Enterprise cloud infrastructure uptake shows no sign of slowing (datos de Synergy Research Group,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https://www.theregister.com/off-prem/2026/08/01/enterprise-cloud-infrastructure-uptake-shows-no-sign-of-slowing/5281835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Omdia: Global cloud infrastructure spending rose 29% in Q4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Intelligent CIO (comunicado de Omdia)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https://www.intelligentcio.com/eu/2026/03/27/omdia-global-cloud-infrastructure-spending-rose-29-in-q4-2025-as-hyperscalers-scaled-ai-infrastructure-investment/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https://www.sec.gov/Archives/edgar/data/1326801/000162828026003942/meta-20251231.htm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Form 10-K, ejercicio a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https://www.sec.gov/Archives/edgar/data/789019/000119312526323660/msft-20260630.htm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Amazon.com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https://www.sec.gov/Archives/edgar/data/1018724/000101872426000004/amzn-20251231.htm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XBRL de los 10-K (Apple FY2025 y Alphabet 2025: ingresos y resultado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https://data.sec.gov/api/xbrl/companyfacts/CIK0000320193.json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Trade Desk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Trade Desk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https://www.sec.gov/Archives/edgar/data/1671933/000167193326000014/ttd-20251231.htm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Q2 2026 Earnings Call, transcripción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(relaciones con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https://s206.q4cdn.com/479360582/files/doc_events/2026/Jul/22/2026_Q2_Earnings_Transcript.pdf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2015 Founders' Letter (G is for Google)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2015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https://abc.xyz/investor/founders-letters/2015/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letter from Larry and Sergey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(The Keyword)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https://blog.google/alphabet/letter-from-larry-and-sergey/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To Acquire YouTube for $1.65 Billion in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2006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https://googlepress.blogspot.com/2006/10/google-to-acquire-youtube-for-165_09.html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History of Google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https://en.wikipedia.org/wiki/History_of_Google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2026 Environmental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https://sustainability.google/files/google-2026-environmental-report.pdf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ficha de la acción (calificación ESG de MSCI)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https://www.zonebourse.com/ALPHABET-INC-24203373/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https://www.sec.gov/Archives/edgar/data/1652044/000130817926000342/goog-20260424.htm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2026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https://www.sec.gov/Archives/edgar/data/1652044/000119312526267578/d57679d8k.htm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2025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https://www.sec.gov/Archives/edgar/data/1652044/000119312525139948/d949049d8k.htm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Proxy Statement 2025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https://www.sec.gov/Archives/edgar/data/1652044/000130817925000511/goog012701-def14a.htm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remuneración trienal del consejero delegado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https://www.sec.gov/Archives/edgar/data/1652044/000165204426000026/goog-20260304.htm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dimisión de la responsable contable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https://www.sec.gov/Archives/edgar/data/1652044/000165204426000031/goog-20260330.htm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concesiones de acciones a directivos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https://www.sec.gov/Archives/edgar/data/1652044/000165204426000034/goog-20260407.htm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la responsable contable (Item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https://www.sec.gov/Archives/edgar/data/1652044/000165204426000059/goog-20260602.htm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ampliación de capital, preferentes convertibles y colocación privada con Berkshire Hathaway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https://www.sec.gov/Archives/edgar/data/1652044/000119312526257724/d83560d8k.htm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https://s206.q4cdn.com/479360582/files/doc_financials/2022/q4/2022_Q4_Earnings_Transcript.pdf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https://s206.q4cdn.com/479360582/files/doc_financials/2023/q4/2023-q4-earnings-transcript.pdf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https://s206.q4cdn.com/479360582/files/doc_financials/2024/q4/2024-q4-earnings-transcript.pdf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2T25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https://s206.q4cdn.com/479360582/files/doc_financials/2025/q2/2025-q2-earnings-transcript.pdf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https://s206.q4cdn.com/479360582/files/doc_events/2025/Oct/29/2025_Q3_Earnings_Transcript.pdf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4T25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https://s206.q4cdn.com/479360582/files/doc_events/2026/Feb/04/2025_Q4_Earnings_Transcript.pdf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https://s206.q4cdn.com/479360582/files/doc_events/2026/Apr/29/Alphabet-2026_Q1_Earnings_Transcript.pdf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Alphabet presentados del 8-10-2025 al 8-10-2026 (178 presentaciones, agregadas)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https://www.sec.gov/cgi-bin/browse-edgar?action=getcompany&amp;CIK=0001652044&amp;type=4&amp;dateb=&amp;owner=include&amp;count=100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Sundar Pichai (operaciones del 25-09-2026)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https://www.sec.gov/Archives/edgar/data/1652044/000119312526408007/ownership.xml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Anat Ashkenazi (operaciones del 25-09-2026)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https://www.sec.gov/Archives/edgar/data/1652044/000119312526408009/ownership.xml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Ruth M. Porat (operaciones del 25-09-2026)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https://www.sec.gov/Archives/edgar/data/1652044/000119312526408014/ownership.xml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Philipp Schindler (operaciones del 25-09-2026)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https://www.sec.gov/Archives/edgar/data/1652044/000119312526408004/ownership.xml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Sergey Brin (operaciones del 7-08-2026)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https://www.sec.gov/Archives/edgar/data/1652044/000119312526345383/ownership.xml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la clase A (GOOGL)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https://www.sec.gov/Archives/edgar/data/1652044/000210011926000161/xslSCHEDULE_13G_X02/primary_doc.xml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la clase C (GOOG)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https://www.sec.gov/Archives/edgar/data/1652044/000210011926000137/xslSCHEDULE_13G_X02/primary_doc.xml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Sergey Brin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https://www.sec.gov/Archives/edgar/data/1652044/000119312526055590/xslSCHEDULE_13G_X01/primary_doc.xml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de Alphabet: PaymentsToAcquirePropertyPlantAndEquipment (capex anual de los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(API XBRL)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https://data.sec.gov/api/xbrl/companyconcept/CIK0001652044/us-gaap/PaymentsToAcquirePropertyPlantAndEquipment.json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Former Oracle leader Thomas Kurian becomes head of Google Cloud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https://www.techzine.eu/news/infrastructure/37271/former-oracle-leader-thomas-kurian-becomes-head-of-google-cloud/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GOOGL, GOOG, SPY y XLC (precio, volumen, rentabilidades, betas, cierres de ejercicio), hasta el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https://finance.yahoo.com/quote/GOOGL/history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^GSPC, QQQ, ^NDX y XLC (betas y rentabilidades de contraste)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https://finance.yahoo.com/quote/QQQ/history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(GOOGL)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https://stockanalysis.com/stocks/googl/statistics/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de 5 de junio de 2026: acciones preferentes obligatoriamente convertibles y capped calls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https://www.sec.gov/Archives/edgar/data/1652044/000119312526259830/d36818d8k.htm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finances y consensus (estimaciones 2026-2028, recomendaciones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https://www.marketscreener.com/quote/stock/ALPHABET-INC-24203373/finances/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(GOOGL) Stock Forecast &amp; Price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https://stockanalysis.com/stocks/googl/forecast/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13F-HR del 2T26 (tabla de posiciones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https://www.sec.gov/Archives/edgar/data/1652044/000165204426000073/information_table.xml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SPCX (Space Exploration Technologies Corp.)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https://finance.yahoo.com/quote/SPCX/history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de 10 de agosto de 2026: emisión de 25.000 M USD de bonos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https://www.sec.gov/Archives/edgar/data/1652044/000119312526342390/d171253d8k.htm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Anthropic raises $65B in Series H funding at $965B post-money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Anthropic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https://www.anthropic.com/news/series-h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raises $16 billion investment round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https://waymo.com/blog/2026/02/waymo-raises-usd16-billion-investment-round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closes $5 billion debt financing to accelerate business expansion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https://waymo.com/blog/2026/10/waymo-closes-5-billion-debt-financing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Waymo Raises $16 Billion From Alphabet and Others to Expand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Law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https://news.bloomberglaw.com/private-equity/waymo-raises-16-billion-from-alphabet-others-to-expand-service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Finances de Microsoft, Meta Platforms, Amazon, Apple, Oracle, Netflix y The Trade Desk (reales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https://www.marketscreener.com/quote/stock/META-PLATFORMS-INC-10547141/finances/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Statistics de MSFT, META, AMZN, AAPL, ORCL, NFLX y TTD (acciones, deuda, caja, ROIC, FCF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https://stockanalysis.com/stocks/meta/statistics/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MSFT, META, AMZN, AAPL, ORCL, NFLX y TTD (cierre del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https://finance.yahoo.com/quote/META/history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Short interest de GOOGL y GOOG (liquidación del 15-sep-2026)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(datos de FINRA)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https://www.nasdaq.com/market-activity/stocks/googl/short-interest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anexo 99.1: Broadcom to Acquire VMware for Approximately $61 Billion in Cash and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Broadcom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https://www.sec.gov/Archives/edgar/data/1730168/000119312522160371/d323890dex991.htm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anexo 99.1: Cisco to acquire Splunk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Cisco Systems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https://www.sec.gov/Archives/edgar/data/858877/000119312523239165/d464532dex991.htm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acuerdo de fusión con Activision Blizzard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https://www.sec.gov/Archives/edgar/data/789019/000119312522010667/d301984d8k.htm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425: Synopsys adquirirá Ansys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https://www.sec.gov/Archives/edgar/data/1013462/000119312524008637/d708904d425.htm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anexo 99.1: HPE to acquire Juniper Networks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Juniper Networks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https://www.sec.gov/Archives/edgar/data/1043604/000119312524005659/d107225dex991.htm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de VMware, Splunk, Activision Blizzard, Ansys y Juniper (ventas, resultado de explotación, amortizaciones y caja de los 10-K/10-Q)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https://data.sec.gov/api/xbrl/companyfacts/CIK0001124610.json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diarios de XLC (Communication Services Select Sector SPDR) y SPY (SPDR S&amp;P 500), a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 Street Global Advisors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https://www.ssga.com/us/en/intermediary/library-content/products/fund-data/etfs/us/holdings-daily-us-en-xlc.xlsx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QQQ Holdings (a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https://stockanalysis.com/etf/qqq/holdings/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Investor Relations (página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https://abc.xyz/investor/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Free Writing Prospectus de la emisión de bonos de agosto de 2026 (términos y ratings esperados)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https://www.sec.gov/Archives/edgar/data/1652044/000119312526338750/d159970dfwp.htm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92,0 %</w:t>
      </w:r>
      <w:r>
        <w:t xml:space="preserve"> · Secciones con menos del 60 % de campos cubiertos: </w:t>
      </w:r>
      <w:r>
        <w:rPr>
          <w:b/>
          <w:bCs/>
        </w:rPr>
        <w:t xml:space="preserve">sentimiento</w:t>
      </w:r>
      <w:r>
        <w:t xml:space="preserve"> · Generado el 14 oct 2026.</w:t>
      </w:r>
    </w:p>
    <w:p>
      <w:pPr>
        <w:pStyle w:val="Nota"/>
        <w:spacing w:after="100"/>
      </w:pPr>
      <w:r>
        <w:t xml:space="preserve">Se analiza la clase A (GOOGL, Nasdaq), la línea más líquida con voto; la clase C (GOOG) cotiza con una diferencia de un 1 % y la clase B (diez votos) no cotiza. El valor por acción se calcula sobre las tres clases: 12.230 M de acciones en circulación a 15-jul-2026 más 142 M de unidades restringidas, 12.372 M en total [2]. Cuentas y cotización en USD, US GAAP, ejercicio natural. El precio es el cierre del 7-oct-2026, porque la sesión del 8 no había cerrado a la fecha de corte [69]; el bono a 10 años es el último publicado, del 6-oct [71]. El último periodo publicado es el 2T26; los resultados del 3T26 se esperan el 28-oct-2026, fecha aún no confirmada por la empresa [73]. Los resultados por segmento con el reparto de costes vigente solo existen para 2022-2025; 2019-2021 se publicaron con otro reparto y no se mezclan [1, 7]. El ATM de 40.000 M no había vendido acciones a 30-jun; lo vendido en el 3T26 no se conocerá hasta el 10-Q de octubre. El porcentaje de Alphabet en Waymo, SpaceX y Anthropic no se publica: SpaceX se valora por las acciones del 13F a precio de mercado y la cartera no cotizada a su valor contable, revaluado en el 2T26 con la última ronda [2, 77, 78].</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Alphabet Inc. (GOOGL)</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350,50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(235,84 – 408,61)</c:v>
                </c:pt>
                <c:pt idx="1">
                  <c:v>Precio objetivo de los analistas (340,00 – 515,00)</c:v>
                </c:pt>
                <c:pt idx="2">
                  <c:v>Comparables: EV/EBITDA NTM (234,37 – 328,93)</c:v>
                </c:pt>
                <c:pt idx="3">
                  <c:v>Comparables: PER NTM (283,60 – 359,00)</c:v>
                </c:pt>
                <c:pt idx="4">
                  <c:v>Transacciones precedentes (EV/EBITDA) (289,68 – 311,96)</c:v>
                </c:pt>
                <c:pt idx="5">
                  <c:v>DCF (WACC y g ± 0,5) (210,19 – 271,55)</c:v>
                </c:pt>
                <c:pt idx="6">
                  <c:v>Escenarios (bajista – alcista) (134,95 – 370,52)</c:v>
                </c:pt>
                <c:pt idx="7">
                  <c:v>Suma de partes (235,94 – 313,37)</c:v>
                </c:pt>
                <c:pt idx="8">
                  <c:v>DCF con la prima implícita del mercado (4,2 %)</c:v>
                </c:pt>
                <c:pt idx="9">
                  <c:v>Precio actual (350,50)</c:v>
                </c:pt>
              </c:strCache>
            </c:strRef>
          </c:cat>
          <c:val>
            <c:numRef>
              <c:f>Hoja1!$B$2:$B$11</c:f>
              <c:numCache>
                <c:formatCode>#,##0</c:formatCode>
                <c:ptCount val="10"/>
                <c:pt idx="0">
                  <c:v>235.84</c:v>
                </c:pt>
                <c:pt idx="1">
                  <c:v>340</c:v>
                </c:pt>
                <c:pt idx="2">
                  <c:v>234.37</c:v>
                </c:pt>
                <c:pt idx="3">
                  <c:v>283.6</c:v>
                </c:pt>
                <c:pt idx="4">
                  <c:v>289.68</c:v>
                </c:pt>
                <c:pt idx="5">
                  <c:v>210.19</c:v>
                </c:pt>
                <c:pt idx="6">
                  <c:v>134.95</c:v>
                </c:pt>
                <c:pt idx="7">
                  <c:v>235.94</c:v>
                </c:pt>
                <c:pt idx="8">
                  <c:v>252.96</c:v>
                </c:pt>
                <c:pt idx="9">
                  <c:v>348.75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(235,84 – 408,61)</c:v>
                </c:pt>
                <c:pt idx="1">
                  <c:v>Precio objetivo de los analistas (340,00 – 515,00)</c:v>
                </c:pt>
                <c:pt idx="2">
                  <c:v>Comparables: EV/EBITDA NTM (234,37 – 328,93)</c:v>
                </c:pt>
                <c:pt idx="3">
                  <c:v>Comparables: PER NTM (283,60 – 359,00)</c:v>
                </c:pt>
                <c:pt idx="4">
                  <c:v>Transacciones precedentes (EV/EBITDA) (289,68 – 311,96)</c:v>
                </c:pt>
                <c:pt idx="5">
                  <c:v>DCF (WACC y g ± 0,5) (210,19 – 271,55)</c:v>
                </c:pt>
                <c:pt idx="6">
                  <c:v>Escenarios (bajista – alcista) (134,95 – 370,52)</c:v>
                </c:pt>
                <c:pt idx="7">
                  <c:v>Suma de partes (235,94 – 313,37)</c:v>
                </c:pt>
                <c:pt idx="8">
                  <c:v>DCF con la prima implícita del mercado (4,2 %)</c:v>
                </c:pt>
                <c:pt idx="9">
                  <c:v>Precio actual (350,50)</c:v>
                </c:pt>
              </c:strCache>
            </c:strRef>
          </c:cat>
          <c:val>
            <c:numRef>
              <c:f>Hoja1!$C$2:$C$11</c:f>
              <c:numCache>
                <c:formatCode>#,##0</c:formatCode>
                <c:ptCount val="10"/>
                <c:pt idx="0">
                  <c:v>172.77</c:v>
                </c:pt>
                <c:pt idx="1">
                  <c:v>175</c:v>
                </c:pt>
                <c:pt idx="2">
                  <c:v>94.56</c:v>
                </c:pt>
                <c:pt idx="3">
                  <c:v>75.39999999999998</c:v>
                </c:pt>
                <c:pt idx="4">
                  <c:v>22.279999999999973</c:v>
                </c:pt>
                <c:pt idx="5">
                  <c:v>61.360000000000014</c:v>
                </c:pt>
                <c:pt idx="6">
                  <c:v>235.57</c:v>
                </c:pt>
                <c:pt idx="7">
                  <c:v>77.43</c:v>
                </c:pt>
                <c:pt idx="8">
                  <c:v>53.37999999999997</c:v>
                </c:pt>
                <c:pt idx="9">
                  <c:v>3.5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Google Services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151825</c:v>
                </c:pt>
                <c:pt idx="1">
                  <c:v>168635</c:v>
                </c:pt>
                <c:pt idx="2">
                  <c:v>237529</c:v>
                </c:pt>
                <c:pt idx="3">
                  <c:v>253528</c:v>
                </c:pt>
                <c:pt idx="4">
                  <c:v>272543</c:v>
                </c:pt>
                <c:pt idx="5">
                  <c:v>304930</c:v>
                </c:pt>
                <c:pt idx="6">
                  <c:v>342721</c:v>
                </c:pt>
              </c:numCache>
            </c:numRef>
          </c:val>
        </c:ser>
        <c:ser>
          <c:idx val="1"/>
          <c:order val="1"/>
          <c:tx>
            <c:strRef>
              <c:f>Hoja1!$C$1</c:f>
              <c:strCache>
                <c:ptCount val="1"/>
                <c:pt idx="0">
                  <c:v>Google Cloud</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8918</c:v>
                </c:pt>
                <c:pt idx="1">
                  <c:v>13059</c:v>
                </c:pt>
                <c:pt idx="2">
                  <c:v>19206</c:v>
                </c:pt>
                <c:pt idx="3">
                  <c:v>26280</c:v>
                </c:pt>
                <c:pt idx="4">
                  <c:v>33088</c:v>
                </c:pt>
                <c:pt idx="5">
                  <c:v>43229</c:v>
                </c:pt>
                <c:pt idx="6">
                  <c:v>58705</c:v>
                </c:pt>
              </c:numCache>
            </c:numRef>
          </c:val>
        </c:ser>
        <c:ser>
          <c:idx val="2"/>
          <c:order val="2"/>
          <c:tx>
            <c:strRef>
              <c:f>Hoja1!$D$1</c:f>
              <c:strCache>
                <c:ptCount val="1"/>
                <c:pt idx="0">
                  <c:v>Other Bets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659</c:v>
                </c:pt>
                <c:pt idx="1">
                  <c:v>657</c:v>
                </c:pt>
                <c:pt idx="2">
                  <c:v>753</c:v>
                </c:pt>
                <c:pt idx="3">
                  <c:v>1068</c:v>
                </c:pt>
                <c:pt idx="4">
                  <c:v>1527</c:v>
                </c:pt>
                <c:pt idx="5">
                  <c:v>1648</c:v>
                </c:pt>
                <c:pt idx="6">
                  <c:v>1537</c:v>
                </c:pt>
              </c:numCache>
            </c:numRef>
          </c:val>
        </c:ser>
        <c:ser>
          <c:idx val="3"/>
          <c:order val="3"/>
          <c:tx>
            <c:strRef>
              <c:f>Hoja1!$E$1</c:f>
              <c:strCache>
                <c:ptCount val="1"/>
                <c:pt idx="0">
                  <c:v>Alphabet-level activities (incl. coberturas)</c:v>
                </c:pt>
              </c:strCache>
            </c:strRef>
          </c:tx>
          <c:spPr>
            <a:solidFill>
              <a:srgbClr val="EDA100"/>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455</c:v>
                </c:pt>
                <c:pt idx="1">
                  <c:v>176</c:v>
                </c:pt>
                <c:pt idx="2">
                  <c:v>149</c:v>
                </c:pt>
                <c:pt idx="3">
                  <c:v>1960</c:v>
                </c:pt>
                <c:pt idx="4">
                  <c:v>236</c:v>
                </c:pt>
                <c:pt idx="5">
                  <c:v>211</c:v>
                </c:pt>
                <c:pt idx="6">
                  <c:v>-127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Google Services</c:v>
                </c:pt>
                <c:pt idx="1">
                  <c:v>Google Cloud</c:v>
                </c:pt>
                <c:pt idx="2">
                  <c:v>Other Bets</c:v>
                </c:pt>
                <c:pt idx="3">
                  <c:v>Alphabet-level activities (incl. coberturas)</c:v>
                </c:pt>
              </c:strCache>
            </c:strRef>
          </c:cat>
          <c:val>
            <c:numRef>
              <c:f>Hoja1!$B$2:$B$5</c:f>
              <c:numCache>
                <c:formatCode>General</c:formatCode>
                <c:ptCount val="4"/>
                <c:pt idx="0">
                  <c:v>85.1</c:v>
                </c:pt>
                <c:pt idx="1">
                  <c:v>14.6</c:v>
                </c:pt>
                <c:pt idx="2">
                  <c:v>0.4</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c:v>
                </c:pt>
                <c:pt idx="1">
                  <c:v>EMEA</c:v>
                </c:pt>
                <c:pt idx="2">
                  <c:v>Asia-Pacífico</c:v>
                </c:pt>
                <c:pt idx="3">
                  <c:v>Canadá y Latinoamérica</c:v>
                </c:pt>
              </c:strCache>
            </c:strRef>
          </c:cat>
          <c:val>
            <c:numRef>
              <c:f>Hoja1!$B$2:$B$5</c:f>
              <c:numCache>
                <c:formatCode>0"%"</c:formatCode>
                <c:ptCount val="4"/>
                <c:pt idx="0">
                  <c:v>48.2</c:v>
                </c:pt>
                <c:pt idx="1">
                  <c:v>29.1</c:v>
                </c:pt>
                <c:pt idx="2">
                  <c:v>16.8</c:v>
                </c:pt>
                <c:pt idx="3">
                  <c:v>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gasto publicitario mundial, todos los medios (WARC). 2024 y 2027e son estimación propia a partir de los crecimientos que publica WARC (+8,9 % en 2025 y +7,9 % en 2027))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2024</c:v>
                </c:pt>
                <c:pt idx="1">
                  <c:v>2025</c:v>
                </c:pt>
                <c:pt idx="2">
                  <c:v>2026e</c:v>
                </c:pt>
                <c:pt idx="3">
                  <c:v>2027e</c:v>
                </c:pt>
              </c:strCache>
            </c:strRef>
          </c:cat>
          <c:val>
            <c:numRef>
              <c:f>Hoja1!$B$2:$B$5</c:f>
              <c:numCache>
                <c:formatCode>#,##0</c:formatCode>
                <c:ptCount val="4"/>
                <c:pt idx="0">
                  <c:v>1092700</c:v>
                </c:pt>
                <c:pt idx="1">
                  <c:v>1190000</c:v>
                </c:pt>
                <c:pt idx="2">
                  <c:v>1300000</c:v>
                </c:pt>
                <c:pt idx="3">
                  <c:v>1402700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3</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Alphabet</c:v>
                </c:pt>
                <c:pt idx="1">
                  <c:v>Meta Platforms</c:v>
                </c:pt>
                <c:pt idx="2">
                  <c:v>Amazon</c:v>
                </c:pt>
                <c:pt idx="3">
                  <c:v>Microsoft</c:v>
                </c:pt>
                <c:pt idx="4">
                  <c:v>Apple</c:v>
                </c:pt>
                <c:pt idx="5">
                  <c:v>The Trade Desk</c:v>
                </c:pt>
                <c:pt idx="6">
                  <c:v>OpenAI</c:v>
                </c:pt>
              </c:strCache>
            </c:strRef>
          </c:cat>
          <c:val>
            <c:numRef>
              <c:f>Hoja1!$B$2:$B$8</c:f>
              <c:numCache>
                <c:formatCode>0.0"%"</c:formatCode>
                <c:ptCount val="7"/>
                <c:pt idx="0">
                  <c:v>32.9</c:v>
                </c:pt>
                <c:pt idx="1">
                  <c:v>41.4</c:v>
                </c:pt>
                <c:pt idx="2">
                  <c:v>11.2</c:v>
                </c:pt>
                <c:pt idx="3">
                  <c:v>46.8</c:v>
                </c:pt>
                <c:pt idx="4">
                  <c:v>32</c:v>
                </c:pt>
                <c:pt idx="5">
                  <c:v>20.3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2</c:v>
                </c:pt>
                <c:pt idx="2">
                  <c:v>4</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Hoja1!$B$2:$B$19</c:f>
              <c:numCache>
                <c:formatCode>#,##0</c:formatCode>
                <c:ptCount val="18"/>
                <c:pt idx="0">
                  <c:v>136819</c:v>
                </c:pt>
                <c:pt idx="1">
                  <c:v>161857</c:v>
                </c:pt>
                <c:pt idx="2">
                  <c:v>182527</c:v>
                </c:pt>
                <c:pt idx="3">
                  <c:v>257637</c:v>
                </c:pt>
                <c:pt idx="4">
                  <c:v>282836</c:v>
                </c:pt>
                <c:pt idx="5">
                  <c:v>307394</c:v>
                </c:pt>
                <c:pt idx="6">
                  <c:v>350018</c:v>
                </c:pt>
                <c:pt idx="7">
                  <c:v>402836</c:v>
                </c:pt>
                <c:pt idx="8">
                  <c:v>497502</c:v>
                </c:pt>
                <c:pt idx="9">
                  <c:v>597003</c:v>
                </c:pt>
                <c:pt idx="10">
                  <c:v>692523</c:v>
                </c:pt>
                <c:pt idx="11">
                  <c:v>789477</c:v>
                </c:pt>
                <c:pt idx="12">
                  <c:v>884214</c:v>
                </c:pt>
                <c:pt idx="13">
                  <c:v>981477</c:v>
                </c:pt>
                <c:pt idx="14">
                  <c:v>1079625</c:v>
                </c:pt>
                <c:pt idx="15">
                  <c:v>1176791</c:v>
                </c:pt>
                <c:pt idx="16">
                  <c:v>1270935</c:v>
                </c:pt>
                <c:pt idx="17">
                  <c:v>1359900</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Hoja1!$C$2:$C$19</c:f>
              <c:numCache>
                <c:formatCode>#,##0</c:formatCode>
                <c:ptCount val="18"/>
                <c:pt idx="0">
                  <c:v>41630</c:v>
                </c:pt>
                <c:pt idx="1">
                  <c:v>47709</c:v>
                </c:pt>
                <c:pt idx="2">
                  <c:v>54921</c:v>
                </c:pt>
                <c:pt idx="3">
                  <c:v>91155</c:v>
                </c:pt>
                <c:pt idx="4">
                  <c:v>90770</c:v>
                </c:pt>
                <c:pt idx="5">
                  <c:v>100439</c:v>
                </c:pt>
                <c:pt idx="6">
                  <c:v>129497</c:v>
                </c:pt>
                <c:pt idx="7">
                  <c:v>153675</c:v>
                </c:pt>
                <c:pt idx="8">
                  <c:v>201488</c:v>
                </c:pt>
                <c:pt idx="9">
                  <c:v>250741</c:v>
                </c:pt>
                <c:pt idx="10">
                  <c:v>308173</c:v>
                </c:pt>
                <c:pt idx="11">
                  <c:v>359212</c:v>
                </c:pt>
                <c:pt idx="12">
                  <c:v>406738</c:v>
                </c:pt>
                <c:pt idx="13">
                  <c:v>451480</c:v>
                </c:pt>
                <c:pt idx="14">
                  <c:v>496628</c:v>
                </c:pt>
                <c:pt idx="15">
                  <c:v>541324</c:v>
                </c:pt>
                <c:pt idx="16">
                  <c:v>584630</c:v>
                </c:pt>
                <c:pt idx="17">
                  <c:v>625554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56.5</c:v>
                </c:pt>
                <c:pt idx="1">
                  <c:v>55.6</c:v>
                </c:pt>
                <c:pt idx="2">
                  <c:v>53.6</c:v>
                </c:pt>
                <c:pt idx="3">
                  <c:v>56.9</c:v>
                </c:pt>
                <c:pt idx="4">
                  <c:v>55.4</c:v>
                </c:pt>
                <c:pt idx="5">
                  <c:v>56.6</c:v>
                </c:pt>
                <c:pt idx="6">
                  <c:v>58.2</c:v>
                </c:pt>
                <c:pt idx="7">
                  <c:v>59.7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30.4</c:v>
                </c:pt>
                <c:pt idx="1">
                  <c:v>29.5</c:v>
                </c:pt>
                <c:pt idx="2">
                  <c:v>30.1</c:v>
                </c:pt>
                <c:pt idx="3">
                  <c:v>35.4</c:v>
                </c:pt>
                <c:pt idx="4">
                  <c:v>32.1</c:v>
                </c:pt>
                <c:pt idx="5">
                  <c:v>32.7</c:v>
                </c:pt>
                <c:pt idx="6">
                  <c:v>37</c:v>
                </c:pt>
                <c:pt idx="7">
                  <c:v>38.1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23.8</c:v>
                </c:pt>
                <c:pt idx="1">
                  <c:v>22.2</c:v>
                </c:pt>
                <c:pt idx="2">
                  <c:v>22.6</c:v>
                </c:pt>
                <c:pt idx="3">
                  <c:v>30.6</c:v>
                </c:pt>
                <c:pt idx="4">
                  <c:v>26.5</c:v>
                </c:pt>
                <c:pt idx="5">
                  <c:v>28.8</c:v>
                </c:pt>
                <c:pt idx="6">
                  <c:v>32.6</c:v>
                </c:pt>
                <c:pt idx="7">
                  <c:v>32.9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Hoja1!$E$2:$E$9</c:f>
              <c:numCache>
                <c:formatCode>0"%"</c:formatCode>
                <c:ptCount val="8"/>
                <c:pt idx="0">
                  <c:v>22.5</c:v>
                </c:pt>
                <c:pt idx="1">
                  <c:v>21.2</c:v>
                </c:pt>
                <c:pt idx="2">
                  <c:v>22.1</c:v>
                </c:pt>
                <c:pt idx="3">
                  <c:v>29.5</c:v>
                </c:pt>
                <c:pt idx="4">
                  <c:v>21.2</c:v>
                </c:pt>
                <c:pt idx="5">
                  <c:v>24</c:v>
                </c:pt>
                <c:pt idx="6">
                  <c:v>28.6</c:v>
                </c:pt>
                <c:pt idx="7">
                  <c:v>32.8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15.1</c:v>
                </c:pt>
                <c:pt idx="1">
                  <c:v>11.8</c:v>
                </c:pt>
                <c:pt idx="2">
                  <c:v>12</c:v>
                </c:pt>
                <c:pt idx="3">
                  <c:v>13.8</c:v>
                </c:pt>
                <c:pt idx="4">
                  <c:v>15.9</c:v>
                </c:pt>
                <c:pt idx="5">
                  <c:v>18</c:v>
                </c:pt>
                <c:pt idx="6">
                  <c:v>21.8</c:v>
                </c:pt>
                <c:pt idx="7">
                  <c:v>24.2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16</c:v>
                </c:pt>
                <c:pt idx="1">
                  <c:v>12</c:v>
                </c:pt>
                <c:pt idx="2">
                  <c:v>14</c:v>
                </c:pt>
                <c:pt idx="3">
                  <c:v>13</c:v>
                </c:pt>
                <c:pt idx="4">
                  <c:v>15</c:v>
                </c:pt>
                <c:pt idx="5">
                  <c:v>17</c:v>
                </c:pt>
                <c:pt idx="6">
                  <c:v>19</c:v>
                </c:pt>
                <c:pt idx="7">
                  <c:v>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56</c:v>
                </c:pt>
                <c:pt idx="1">
                  <c:v>57</c:v>
                </c:pt>
                <c:pt idx="2">
                  <c:v>62</c:v>
                </c:pt>
                <c:pt idx="3">
                  <c:v>56</c:v>
                </c:pt>
                <c:pt idx="4">
                  <c:v>52</c:v>
                </c:pt>
                <c:pt idx="5">
                  <c:v>57</c:v>
                </c:pt>
                <c:pt idx="6">
                  <c:v>55</c:v>
                </c:pt>
                <c:pt idx="7">
                  <c:v>57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7">
                  <c:v>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27</c:v>
                </c:pt>
                <c:pt idx="1">
                  <c:v>28</c:v>
                </c:pt>
                <c:pt idx="2">
                  <c:v>24</c:v>
                </c:pt>
                <c:pt idx="3">
                  <c:v>20</c:v>
                </c:pt>
                <c:pt idx="4">
                  <c:v>15</c:v>
                </c:pt>
                <c:pt idx="5">
                  <c:v>21</c:v>
                </c:pt>
                <c:pt idx="6">
                  <c:v>20</c:v>
                </c:pt>
                <c:pt idx="7">
                  <c:v>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22832</c:v>
                </c:pt>
                <c:pt idx="1">
                  <c:v>30972</c:v>
                </c:pt>
                <c:pt idx="2">
                  <c:v>42843</c:v>
                </c:pt>
                <c:pt idx="3">
                  <c:v>67012</c:v>
                </c:pt>
                <c:pt idx="4">
                  <c:v>59424</c:v>
                </c:pt>
                <c:pt idx="5">
                  <c:v>68790</c:v>
                </c:pt>
                <c:pt idx="6">
                  <c:v>72359</c:v>
                </c:pt>
                <c:pt idx="7">
                  <c:v>71278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30736</c:v>
                </c:pt>
                <c:pt idx="1">
                  <c:v>34343</c:v>
                </c:pt>
                <c:pt idx="2">
                  <c:v>40269</c:v>
                </c:pt>
                <c:pt idx="3">
                  <c:v>76033</c:v>
                </c:pt>
                <c:pt idx="4">
                  <c:v>59972</c:v>
                </c:pt>
                <c:pt idx="5">
                  <c:v>73795</c:v>
                </c:pt>
                <c:pt idx="6">
                  <c:v>100118</c:v>
                </c:pt>
                <c:pt idx="7">
                  <c:v>132170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39.6</c:v>
                </c:pt>
                <c:pt idx="1">
                  <c:v>39.2</c:v>
                </c:pt>
                <c:pt idx="2">
                  <c:v>37.1</c:v>
                </c:pt>
                <c:pt idx="3">
                  <c:v>58.2</c:v>
                </c:pt>
                <c:pt idx="4">
                  <c:v>44.3</c:v>
                </c:pt>
                <c:pt idx="5">
                  <c:v>44.3</c:v>
                </c:pt>
                <c:pt idx="6">
                  <c:v>44.1</c:v>
                </c:pt>
                <c:pt idx="7">
                  <c:v>37.7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10.7</c:v>
                </c:pt>
                <c:pt idx="1">
                  <c:v>10.7</c:v>
                </c:pt>
                <c:pt idx="2">
                  <c:v>10.7</c:v>
                </c:pt>
                <c:pt idx="3">
                  <c:v>10.7</c:v>
                </c:pt>
                <c:pt idx="4">
                  <c:v>10.7</c:v>
                </c:pt>
                <c:pt idx="5">
                  <c:v>10.7</c:v>
                </c:pt>
                <c:pt idx="6">
                  <c:v>10.7</c:v>
                </c:pt>
                <c:pt idx="7">
                  <c:v>10.7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17.3</c:v>
                </c:pt>
                <c:pt idx="1">
                  <c:v>18.1</c:v>
                </c:pt>
                <c:pt idx="2">
                  <c:v>19</c:v>
                </c:pt>
                <c:pt idx="3">
                  <c:v>32.1</c:v>
                </c:pt>
                <c:pt idx="4">
                  <c:v>23.6</c:v>
                </c:pt>
                <c:pt idx="5">
                  <c:v>27.4</c:v>
                </c:pt>
                <c:pt idx="6">
                  <c:v>32.9</c:v>
                </c:pt>
                <c:pt idx="7">
                  <c:v>35.7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-2.53</c:v>
                </c:pt>
                <c:pt idx="1">
                  <c:v>-2.41</c:v>
                </c:pt>
                <c:pt idx="2">
                  <c:v>-2.24</c:v>
                </c:pt>
                <c:pt idx="3">
                  <c:v>-1.37</c:v>
                </c:pt>
                <c:pt idx="4">
                  <c:v>-1.09</c:v>
                </c:pt>
                <c:pt idx="5">
                  <c:v>-0.96</c:v>
                </c:pt>
                <c:pt idx="6">
                  <c:v>-0.62</c:v>
                </c:pt>
                <c:pt idx="7">
                  <c:v>-0.49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2000</c:v>
                </c:pt>
                <c:pt idx="1">
                  <c:v>1000</c:v>
                </c:pt>
                <c:pt idx="2">
                  <c:v>2676</c:v>
                </c:pt>
                <c:pt idx="3">
                  <c:v>1764</c:v>
                </c:pt>
                <c:pt idx="4">
                  <c:v>5500</c:v>
                </c:pt>
                <c:pt idx="5">
                  <c:v>36145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1491</c:v>
                </c:pt>
                <c:pt idx="1">
                  <c:v>2515</c:v>
                </c:pt>
                <c:pt idx="2">
                  <c:v>738</c:v>
                </c:pt>
                <c:pt idx="3">
                  <c:v>2618</c:v>
                </c:pt>
                <c:pt idx="4">
                  <c:v>6969</c:v>
                </c:pt>
                <c:pt idx="5">
                  <c:v>495</c:v>
                </c:pt>
                <c:pt idx="6">
                  <c:v>2931</c:v>
                </c:pt>
                <c:pt idx="7">
                  <c:v>1592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0</c:v>
                </c:pt>
                <c:pt idx="1">
                  <c:v>0</c:v>
                </c:pt>
                <c:pt idx="2">
                  <c:v>0</c:v>
                </c:pt>
                <c:pt idx="3">
                  <c:v>0</c:v>
                </c:pt>
                <c:pt idx="4">
                  <c:v>0</c:v>
                </c:pt>
                <c:pt idx="5">
                  <c:v>0</c:v>
                </c:pt>
                <c:pt idx="6">
                  <c:v>7363</c:v>
                </c:pt>
                <c:pt idx="7">
                  <c:v>10049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9075</c:v>
                </c:pt>
                <c:pt idx="1">
                  <c:v>18396</c:v>
                </c:pt>
                <c:pt idx="2">
                  <c:v>31149</c:v>
                </c:pt>
                <c:pt idx="3">
                  <c:v>50274</c:v>
                </c:pt>
                <c:pt idx="4">
                  <c:v>59296</c:v>
                </c:pt>
                <c:pt idx="5">
                  <c:v>61504</c:v>
                </c:pt>
                <c:pt idx="6">
                  <c:v>62222</c:v>
                </c:pt>
                <c:pt idx="7">
                  <c:v>45709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Ejecutivo</c:v>
                </c:pt>
                <c:pt idx="2">
                  <c:v>Independiente</c:v>
                </c:pt>
              </c:strCache>
            </c:strRef>
          </c:cat>
          <c:val>
            <c:numRef>
              <c:f>Hoja1!$B$2:$B$4</c:f>
              <c:numCache>
                <c:formatCode>0</c:formatCode>
                <c:ptCount val="3"/>
                <c:pt idx="0">
                  <c:v>2</c:v>
                </c:pt>
                <c:pt idx="1">
                  <c:v>1</c:v>
                </c:pt>
                <c:pt idx="2">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Larry Page (cofundador)</c:v>
                </c:pt>
                <c:pt idx="1">
                  <c:v>Sergey Brin (cofundador)</c:v>
                </c:pt>
                <c:pt idx="2">
                  <c:v>Vanguard Capital Management</c:v>
                </c:pt>
                <c:pt idx="3">
                  <c:v>BlackRock, Inc.</c:v>
                </c:pt>
                <c:pt idx="4">
                  <c:v>Berkshire Hathaway (filial)</c:v>
                </c:pt>
                <c:pt idx="5">
                  <c:v>Consejeros y directivos en conjunto (14 personas)</c:v>
                </c:pt>
              </c:strCache>
            </c:strRef>
          </c:cat>
          <c:val>
            <c:numRef>
              <c:f>Hoja1!$B$2:$B$7</c:f>
              <c:numCache>
                <c:formatCode>0.0"%"</c:formatCode>
                <c:ptCount val="6"/>
                <c:pt idx="0">
                  <c:v>27.4</c:v>
                </c:pt>
                <c:pt idx="1">
                  <c:v>25.3</c:v>
                </c:pt>
                <c:pt idx="2">
                  <c:v>3.1</c:v>
                </c:pt>
                <c:pt idx="3">
                  <c:v>2.5</c:v>
                </c:pt>
                <c:pt idx="4">
                  <c:v>0.1</c:v>
                </c:pt>
                <c:pt idx="5">
                  <c:v>54.3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1.9</c:v>
                </c:pt>
                <c:pt idx="1">
                  <c:v>32.9</c:v>
                </c:pt>
                <c:pt idx="2">
                  <c:v>-0.8</c:v>
                </c:pt>
                <c:pt idx="3">
                  <c:v>28.2</c:v>
                </c:pt>
                <c:pt idx="4">
                  <c:v>30.9</c:v>
                </c:pt>
                <c:pt idx="5">
                  <c:v>65.3</c:v>
                </c:pt>
                <c:pt idx="6">
                  <c:v>-39.1</c:v>
                </c:pt>
                <c:pt idx="7">
                  <c:v>58.3</c:v>
                </c:pt>
                <c:pt idx="8">
                  <c:v>36</c:v>
                </c:pt>
                <c:pt idx="9">
                  <c:v>66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2">
                  <c:v>15.1</c:v>
                </c:pt>
                <c:pt idx="3">
                  <c:v>17.2</c:v>
                </c:pt>
                <c:pt idx="4">
                  <c:v>19.7</c:v>
                </c:pt>
                <c:pt idx="5">
                  <c:v>20.2</c:v>
                </c:pt>
                <c:pt idx="6">
                  <c:v>11.7</c:v>
                </c:pt>
                <c:pt idx="7">
                  <c:v>16.7</c:v>
                </c:pt>
                <c:pt idx="8">
                  <c:v>17.6</c:v>
                </c:pt>
                <c:pt idx="9">
                  <c:v>24.4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17.4</c:v>
                </c:pt>
                <c:pt idx="1">
                  <c:v>17.4</c:v>
                </c:pt>
                <c:pt idx="2">
                  <c:v>17.4</c:v>
                </c:pt>
                <c:pt idx="3">
                  <c:v>17.4</c:v>
                </c:pt>
                <c:pt idx="4">
                  <c:v>17.4</c:v>
                </c:pt>
                <c:pt idx="5">
                  <c:v>17.4</c:v>
                </c:pt>
                <c:pt idx="6">
                  <c:v>17.4</c:v>
                </c:pt>
                <c:pt idx="7">
                  <c:v>17.4</c:v>
                </c:pt>
                <c:pt idx="8">
                  <c:v>17.4</c:v>
                </c:pt>
                <c:pt idx="9">
                  <c:v>17.4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Alphabet</c:v>
                </c:pt>
                <c:pt idx="1">
                  <c:v>Microsoft</c:v>
                </c:pt>
                <c:pt idx="2">
                  <c:v>Meta Platforms</c:v>
                </c:pt>
                <c:pt idx="3">
                  <c:v>Amazon</c:v>
                </c:pt>
                <c:pt idx="4">
                  <c:v>Apple</c:v>
                </c:pt>
                <c:pt idx="5">
                  <c:v>Oracle</c:v>
                </c:pt>
                <c:pt idx="6">
                  <c:v>Netflix</c:v>
                </c:pt>
              </c:strCache>
            </c:strRef>
          </c:cat>
          <c:val>
            <c:numRef>
              <c:f>Hoja1!$B$2:$B$8</c:f>
              <c:numCache>
                <c:formatCode>0.0"x"</c:formatCode>
                <c:ptCount val="7"/>
                <c:pt idx="0">
                  <c:v>16.7</c:v>
                </c:pt>
                <c:pt idx="1">
                  <c:v>15.72</c:v>
                </c:pt>
                <c:pt idx="2">
                  <c:v>10.79</c:v>
                </c:pt>
                <c:pt idx="3">
                  <c:v>11.26</c:v>
                </c:pt>
                <c:pt idx="4">
                  <c:v>26.92</c:v>
                </c:pt>
                <c:pt idx="5">
                  <c:v>9.53</c:v>
                </c:pt>
                <c:pt idx="6">
                  <c:v>15.41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Alphabet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24.3</c:v>
                </c:pt>
              </c:numCache>
            </c:numRef>
          </c:xVal>
          <c:yVal>
            <c:numRef>
              <c:f>Hoja1!$C$2</c:f>
              <c:numCache>
                <c:formatCode>0.0"x"</c:formatCode>
                <c:ptCount val="1"/>
                <c:pt idx="0">
                  <c:v>16.7</c:v>
                </c:pt>
              </c:numCache>
            </c:numRef>
          </c:yVal>
          <c:smooth val="0"/>
        </c:ser>
        <c:ser>
          <c:idx val="1"/>
          <c:order val="1"/>
          <c:tx>
            <c:strRef>
              <c:f>Hoja1!$A$3</c:f>
              <c:strCache>
                <c:ptCount val="1"/>
                <c:pt idx="0">
                  <c:v>Microsoft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18.54</c:v>
                </c:pt>
              </c:numCache>
            </c:numRef>
          </c:xVal>
          <c:yVal>
            <c:numRef>
              <c:f>Hoja1!$C$3</c:f>
              <c:numCache>
                <c:formatCode>0.0"x"</c:formatCode>
                <c:ptCount val="1"/>
                <c:pt idx="0">
                  <c:v>15.72</c:v>
                </c:pt>
              </c:numCache>
            </c:numRef>
          </c:yVal>
          <c:smooth val="0"/>
        </c:ser>
        <c:ser>
          <c:idx val="2"/>
          <c:order val="2"/>
          <c:tx>
            <c:strRef>
              <c:f>Hoja1!$A$4</c:f>
              <c:strCache>
                <c:ptCount val="1"/>
                <c:pt idx="0">
                  <c:v>Meta Platforms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22.91</c:v>
                </c:pt>
              </c:numCache>
            </c:numRef>
          </c:xVal>
          <c:yVal>
            <c:numRef>
              <c:f>Hoja1!$C$4</c:f>
              <c:numCache>
                <c:formatCode>0.0"x"</c:formatCode>
                <c:ptCount val="1"/>
                <c:pt idx="0">
                  <c:v>10.79</c:v>
                </c:pt>
              </c:numCache>
            </c:numRef>
          </c:yVal>
          <c:smooth val="0"/>
        </c:ser>
        <c:ser>
          <c:idx val="3"/>
          <c:order val="3"/>
          <c:tx>
            <c:strRef>
              <c:f>Hoja1!$A$5</c:f>
              <c:strCache>
                <c:ptCount val="1"/>
                <c:pt idx="0">
                  <c:v>Amazon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15.07</c:v>
                </c:pt>
              </c:numCache>
            </c:numRef>
          </c:xVal>
          <c:yVal>
            <c:numRef>
              <c:f>Hoja1!$C$5</c:f>
              <c:numCache>
                <c:formatCode>0.0"x"</c:formatCode>
                <c:ptCount val="1"/>
                <c:pt idx="0">
                  <c:v>11.26</c:v>
                </c:pt>
              </c:numCache>
            </c:numRef>
          </c:yVal>
          <c:smooth val="0"/>
        </c:ser>
        <c:ser>
          <c:idx val="4"/>
          <c:order val="4"/>
          <c:tx>
            <c:strRef>
              <c:f>Hoja1!$A$6</c:f>
              <c:strCache>
                <c:ptCount val="1"/>
                <c:pt idx="0">
                  <c:v>Apple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10.54</c:v>
                </c:pt>
              </c:numCache>
            </c:numRef>
          </c:xVal>
          <c:yVal>
            <c:numRef>
              <c:f>Hoja1!$C$6</c:f>
              <c:numCache>
                <c:formatCode>0.0"x"</c:formatCode>
                <c:ptCount val="1"/>
                <c:pt idx="0">
                  <c:v>26.92</c:v>
                </c:pt>
              </c:numCache>
            </c:numRef>
          </c:yVal>
          <c:smooth val="0"/>
        </c:ser>
        <c:ser>
          <c:idx val="5"/>
          <c:order val="5"/>
          <c:tx>
            <c:strRef>
              <c:f>Hoja1!$A$7</c:f>
              <c:strCache>
                <c:ptCount val="1"/>
                <c:pt idx="0">
                  <c:v>Oracle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38.63</c:v>
                </c:pt>
              </c:numCache>
            </c:numRef>
          </c:xVal>
          <c:yVal>
            <c:numRef>
              <c:f>Hoja1!$C$7</c:f>
              <c:numCache>
                <c:formatCode>0.0"x"</c:formatCode>
                <c:ptCount val="1"/>
                <c:pt idx="0">
                  <c:v>9.53</c:v>
                </c:pt>
              </c:numCache>
            </c:numRef>
          </c:yVal>
          <c:smooth val="0"/>
        </c:ser>
        <c:ser>
          <c:idx val="6"/>
          <c:order val="6"/>
          <c:tx>
            <c:strRef>
              <c:f>Hoja1!$A$8</c:f>
              <c:strCache>
                <c:ptCount val="1"/>
                <c:pt idx="0">
                  <c:v>Netflix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12.15</c:v>
                </c:pt>
              </c:numCache>
            </c:numRef>
          </c:xVal>
          <c:yVal>
            <c:numRef>
              <c:f>Hoja1!$C$8</c:f>
              <c:numCache>
                <c:formatCode>0.0"x"</c:formatCode>
                <c:ptCount val="1"/>
                <c:pt idx="0">
                  <c:v>15.41</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Wiz</c:v>
                </c:pt>
                <c:pt idx="1">
                  <c:v>VMware</c:v>
                </c:pt>
                <c:pt idx="2">
                  <c:v>Activision Blizzard</c:v>
                </c:pt>
                <c:pt idx="3">
                  <c:v>Splunk</c:v>
                </c:pt>
                <c:pt idx="4">
                  <c:v>Juniper Networks</c:v>
                </c:pt>
                <c:pt idx="5">
                  <c:v>Ansys</c:v>
                </c:pt>
              </c:strCache>
            </c:strRef>
          </c:cat>
          <c:val>
            <c:numRef>
              <c:f>Hoja1!$B$2:$B$7</c:f>
              <c:numCache>
                <c:formatCode>0.0"x"</c:formatCode>
                <c:ptCount val="6"/>
                <c:pt idx="1">
                  <c:v>19.7</c:v>
                </c:pt>
                <c:pt idx="2">
                  <c:v>18.3</c:v>
                </c:pt>
                <c:pt idx="4">
                  <c:v>21.4</c:v>
                </c:pt>
                <c:pt idx="5">
                  <c:v>46.1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-41326</c:v>
                </c:pt>
                <c:pt idx="1">
                  <c:v>-78307</c:v>
                </c:pt>
                <c:pt idx="2">
                  <c:v>-23065</c:v>
                </c:pt>
                <c:pt idx="3">
                  <c:v>47002</c:v>
                </c:pt>
                <c:pt idx="4">
                  <c:v>112690</c:v>
                </c:pt>
                <c:pt idx="5">
                  <c:v>166230</c:v>
                </c:pt>
                <c:pt idx="6">
                  <c:v>217336</c:v>
                </c:pt>
                <c:pt idx="7">
                  <c:v>261708</c:v>
                </c:pt>
                <c:pt idx="8">
                  <c:v>296757</c:v>
                </c:pt>
                <c:pt idx="9">
                  <c:v>332659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637631</c:v>
                </c:pt>
                <c:pt idx="1">
                  <c:v>605961</c:v>
                </c:pt>
                <c:pt idx="2">
                  <c:v>1481116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350,50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134.95</c:v>
                </c:pt>
                <c:pt idx="1">
                  <c:v>236.76</c:v>
                </c:pt>
                <c:pt idx="2">
                  <c:v>370.52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350,50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(235,84 – 408,61)</c:v>
                </c:pt>
                <c:pt idx="1">
                  <c:v>Precio objetivo de los analistas (340,00 – 515,00)</c:v>
                </c:pt>
                <c:pt idx="2">
                  <c:v>Comparables: EV/EBITDA NTM (234,37 – 328,93)</c:v>
                </c:pt>
                <c:pt idx="3">
                  <c:v>Comparables: PER NTM (283,60 – 359,00)</c:v>
                </c:pt>
                <c:pt idx="4">
                  <c:v>Transacciones precedentes (EV/EBITDA) (289,68 – 311,96)</c:v>
                </c:pt>
                <c:pt idx="5">
                  <c:v>DCF (WACC y g ± 0,5) (210,19 – 271,55)</c:v>
                </c:pt>
                <c:pt idx="6">
                  <c:v>Escenarios (bajista – alcista) (134,95 – 370,52)</c:v>
                </c:pt>
                <c:pt idx="7">
                  <c:v>Suma de partes (235,94 – 313,37)</c:v>
                </c:pt>
                <c:pt idx="8">
                  <c:v>DCF con la prima implícita del mercado (4,2 %)</c:v>
                </c:pt>
                <c:pt idx="9">
                  <c:v>Precio actual (350,50)</c:v>
                </c:pt>
              </c:strCache>
            </c:strRef>
          </c:cat>
          <c:val>
            <c:numRef>
              <c:f>Hoja1!$B$2:$B$11</c:f>
              <c:numCache>
                <c:formatCode>#,##0</c:formatCode>
                <c:ptCount val="10"/>
                <c:pt idx="0">
                  <c:v>235.84</c:v>
                </c:pt>
                <c:pt idx="1">
                  <c:v>340</c:v>
                </c:pt>
                <c:pt idx="2">
                  <c:v>234.37</c:v>
                </c:pt>
                <c:pt idx="3">
                  <c:v>283.6</c:v>
                </c:pt>
                <c:pt idx="4">
                  <c:v>289.68</c:v>
                </c:pt>
                <c:pt idx="5">
                  <c:v>210.19</c:v>
                </c:pt>
                <c:pt idx="6">
                  <c:v>134.95</c:v>
                </c:pt>
                <c:pt idx="7">
                  <c:v>235.94</c:v>
                </c:pt>
                <c:pt idx="8">
                  <c:v>252.96</c:v>
                </c:pt>
                <c:pt idx="9">
                  <c:v>348.75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(235,84 – 408,61)</c:v>
                </c:pt>
                <c:pt idx="1">
                  <c:v>Precio objetivo de los analistas (340,00 – 515,00)</c:v>
                </c:pt>
                <c:pt idx="2">
                  <c:v>Comparables: EV/EBITDA NTM (234,37 – 328,93)</c:v>
                </c:pt>
                <c:pt idx="3">
                  <c:v>Comparables: PER NTM (283,60 – 359,00)</c:v>
                </c:pt>
                <c:pt idx="4">
                  <c:v>Transacciones precedentes (EV/EBITDA) (289,68 – 311,96)</c:v>
                </c:pt>
                <c:pt idx="5">
                  <c:v>DCF (WACC y g ± 0,5) (210,19 – 271,55)</c:v>
                </c:pt>
                <c:pt idx="6">
                  <c:v>Escenarios (bajista – alcista) (134,95 – 370,52)</c:v>
                </c:pt>
                <c:pt idx="7">
                  <c:v>Suma de partes (235,94 – 313,37)</c:v>
                </c:pt>
                <c:pt idx="8">
                  <c:v>DCF con la prima implícita del mercado (4,2 %)</c:v>
                </c:pt>
                <c:pt idx="9">
                  <c:v>Precio actual (350,50)</c:v>
                </c:pt>
              </c:strCache>
            </c:strRef>
          </c:cat>
          <c:val>
            <c:numRef>
              <c:f>Hoja1!$C$2:$C$11</c:f>
              <c:numCache>
                <c:formatCode>#,##0</c:formatCode>
                <c:ptCount val="10"/>
                <c:pt idx="0">
                  <c:v>172.77</c:v>
                </c:pt>
                <c:pt idx="1">
                  <c:v>175</c:v>
                </c:pt>
                <c:pt idx="2">
                  <c:v>94.56</c:v>
                </c:pt>
                <c:pt idx="3">
                  <c:v>75.39999999999998</c:v>
                </c:pt>
                <c:pt idx="4">
                  <c:v>22.279999999999973</c:v>
                </c:pt>
                <c:pt idx="5">
                  <c:v>61.360000000000014</c:v>
                </c:pt>
                <c:pt idx="6">
                  <c:v>235.57</c:v>
                </c:pt>
                <c:pt idx="7">
                  <c:v>77.43</c:v>
                </c:pt>
                <c:pt idx="8">
                  <c:v>53.37999999999997</c:v>
                </c:pt>
                <c:pt idx="9">
                  <c:v>3.5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