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The Cooper Companies, Inc.</w:t>
      </w:r>
    </w:p>
    <w:p>
      <w:pPr>
        <w:spacing w:after="60"/>
        <w:rPr>
          <w:color w:val="52514E"/>
          <w:sz w:val="22"/>
          <w:szCs w:val="22"/>
        </w:rPr>
      </w:pPr>
      <w:r>
        <w:rPr>
          <w:color w:val="52514E"/>
          <w:sz w:val="22"/>
          <w:szCs w:val="22"/>
        </w:rPr>
        <w:t xml:space="preserve">COO · Nasdaq Global Select Market · ISIN US2166485019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68,35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+25,9 % (base +20,5 %)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57,10 USD · mercado 66,21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The Cooper Companies,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COO / US2166485019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Ramon (California) · 1980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www.coopercos.com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54,30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51,01 – 89,83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10.350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197 M USD/día (3,2 M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68,35 USD</w:t>
      </w:r>
      <w:r>
        <w:t xml:space="preserve"> frente a 54,30 · Rentabilidad a 12 meses </w:t>
      </w:r>
      <w:r>
        <w:rPr>
          <w:b/>
          <w:bCs/>
        </w:rPr>
        <w:t xml:space="preserve">+25,9 % (base +20,5 %)</w:t>
      </w:r>
      <w:r>
        <w:t xml:space="preserve"> · Valor intrínseco 57,10 USD · con la prima implícita del mercado: 66,21 (+21,9 %) · Alcista / bajista +31,9 % / -20,5 %</w:t>
      </w:r>
    </w:p>
    <w:p>
      <w:pPr>
        <w:spacing w:after="100"/>
      </w:pPr>
      <w:r>
        <w:rPr>
          <w:b/>
        </w:rPr>
        <w:t xml:space="preserve">La recomendación y por qué.</w:t>
      </w:r>
      <w:r>
        <w:t xml:space="preserve"> Comprar, con convicción baja. El valor objetivo es de 57,10 USD frente a 54,30 USD: un potencial del 5,2 %, sin dividendo, con una asimetría de 1,56 veces (alcista +31,9 %, bajista −20,5 %). Las dos reglas discrepan: con nuestro WACC (9,15 %) sale Mantener; con la prima que hoy pide el mercado (4,20 %) el objetivo sube a 66,21 USD (+21,9 %) y sale Comprar, que es la que manda. Está en el borde: un Comprar que solo da la regla relativa exige al menos un 5 % con nuestro WACC, y tenemos un 5,2 %; por encima de 54,36 USD, un 0,1 % sobre el precio, pasaría a Mantener. La convicción es baja porque la diferencia sale de la tasa de descuento y no de las cifras: nuestra proyección está a un 1 % del consenso. Si el mercado entero corrige, Cooper no tiene colchón propio.</w:t>
      </w:r>
    </w:p>
    <w:p>
      <w:pPr>
        <w:spacing w:after="100"/>
      </w:pPr>
      <w:r>
        <w:rPr>
          <w:b/>
        </w:rPr>
        <w:t xml:space="preserve">El negocio.</w:t>
      </w:r>
      <w:r>
        <w:t xml:space="preserve"> CooperVision es el tercer fabricante mundial de lentes blandas, con en torno a un 26 % de cuota y un margen EBITDA de segmento del 35 % en el 3T26 [1, 2]. El problema es el capital: el ROIC del grupo es del 4,6 %, frente a un WACC del 9,15 %, por los 5.440 M de fondo de comercio e intangibles de las compras de CooperSurgical, que ganó 43,4 M de resultado de segmento en FY2025 [1]. La calidad sí sostiene el crecimiento del caso base, un 3,8 % anual con un 2 % de precio, porque pide menos que el 5,3 % previsto para el mercado: supone que CooperVision baja del 26,6 % al 23 % de cuota en diez años, en un oligopolio que sube precios cada año [19, 21, 24].</w:t>
      </w:r>
    </w:p>
    <w:p>
      <w:pPr>
        <w:spacing w:after="100"/>
      </w:pPr>
      <w:r>
        <w:rPr>
          <w:b/>
        </w:rPr>
        <w:t xml:space="preserve">Finanzas.</w:t>
      </w:r>
      <w:r>
        <w:t xml:space="preserve"> El crecimiento orgánico ha caído del 8 % de FY2024 al 2-3 % guiado para FY2026, con CooperVision entre −2 % y 0 % en el 4T26 por el desestocaje de sus distribuidores en EE. UU. [3, 14]. El margen y la caja mejoran: margen EBITDA del 29,1 % en los últimos 12 meses frente al 27,2 % de FY2025, y un compromiso de más de 2.200 M de flujo libre en FY2026-FY2028 [3]. La deuda neta ajustada es de 2.672 M, 2,2 veces el EBITDA, con los 272,7 M del litigio de fertilidad ya pagados en agosto [2].</w:t>
      </w:r>
    </w:p>
    <w:p>
      <w:pPr>
        <w:spacing w:after="100"/>
      </w:pPr>
      <w:r>
        <w:rPr>
          <w:b/>
        </w:rPr>
        <w:t xml:space="preserve">Equipo y gobierno.</w:t>
      </w:r>
      <w:r>
        <w:t xml:space="preserve"> El consejo es independiente en un 80 % y los consejeros compraron 3,18 M USD de acciones en 12 meses, sin ventas [49]. Pero la guía de ventas se ha rebajado dos ejercicios seguidos, no hay sucesor designado para el consejero delegado y Jana Partners pide desde septiembre relevar al consejero delegado y a la presidenta y vender negocios [35, 54].</w:t>
      </w:r>
    </w:p>
    <w:p>
      <w:pPr>
        <w:spacing w:after="100"/>
      </w:pPr>
      <w:r>
        <w:rPr>
          <w:b/>
        </w:rPr>
        <w:t xml:space="preserve">Valoración.</w:t>
      </w:r>
      <w:r>
        <w:t xml:space="preserve"> El DCF da 60,01 USD. Los comparables (50,46 USD) y la suma de partes (52,81 USD) dicen que, a los múltiplos de sus pares, Cooper vale lo que cotiza o algo menos: no hay descuento de conglomerado que liberar [4]. El DCF inverso dice que el precio descuenta un crecimiento del 2,3 % anual en FY2027e-FY2035e, menos de la mitad del 5,3 % previsto para su mercado, o un margen EBITDA del 29,7 % sin mejora en diez años: una Cooper que sigue perdiendo cuota. Cotiza a 10,3 veces el EBITDA de los próximos 12 meses, la mitad de la media de sus cierres de ejercicio, con un rendimiento por flujo libre del 6,6 %.</w:t>
      </w:r>
    </w:p>
    <w:p>
      <w:pPr>
        <w:spacing w:after="100"/>
      </w:pPr>
      <w:r>
        <w:rPr>
          <w:b/>
        </w:rPr>
        <w:t xml:space="preserve">Riesgos y catalizadores.</w:t>
      </w:r>
      <w:r>
        <w:t xml:space="preserve"> El riesgo principal es que el desestocaje esconda una pérdida de cuota frente a J&amp;J y Alcon en diarias de silicona hidrogel: el bajista (43,17 USD) es prolongar lo de FY2025-FY2026. Un punto menos de crecimiento cada año resta un 6,4 % al DCF, y dos puntos de margen, un 10,8 %. Miudella competirá con Paragard desde finales de 2026 [26]. A favor, quedan unos 1.500 M de recompras autorizadas, el 14,5 % de la capitalización [3]. La guía de FY2027, a principios de diciembre, es el catalizador con fecha.</w:t>
      </w:r>
    </w:p>
    <w:p>
      <w:pPr>
        <w:spacing w:after="100"/>
      </w:pPr>
      <w:r>
        <w:rPr>
          <w:b/>
        </w:rPr>
        <w:t xml:space="preserve">Qué cambiaría la decisión.</w:t>
      </w:r>
      <w:r>
        <w:t xml:space="preserve"> Por encima de 54,36 USD pasaríamos a Mantener y por encima de 73,60 USD, a Vender. Un orgánico de CooperVision inferior al 2 % en la guía de FY2027, o una compra de más de 1.000 M financiada con deuda, nos llevarían a Mantener; un orgánico del 4 % o más con margen al alza, o la venta de CooperSurgical por encima de 12 veces el EBITDA con la caja destinada a recompras, subirían la convicción.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68,35 USD</w:t>
      </w:r>
      <w:r>
        <w:t xml:space="preserve"> (rentabilidad +25,9 % (base +20,5 %)) · Valor intrínseco: 57,10 USD (+5,2 % sobre 54,30) · con la prima implícita del mercado: 66,21 (+21,9 %)</w:t>
      </w:r>
    </w:p>
    <w:p>
      <w:pPr>
        <w:spacing w:after="100"/>
      </w:pPr>
      <w:r>
        <w:t xml:space="preserve">Cooper es dos negocios de calidad distinta. CooperVision, el 67 % de las ventas, es el tercer fabricante mundial de lentes de contacto blandas en un mercado de unos 10.300 M USD que crece en torno a un 5 % anual por el paso a las diarias de silicona hidrogel y el control de la miopía [23, 24]; gana un 35 % de margen EBITDA de segmento [2]. CooperSurgical (fertilidad, Paragard y productos de Cook Medical) es el resultado de una década de compras: 4.619 M de activos y 43,4 M de resultado de segmento en FY2025 [1]. Por eso el ROIC del grupo es del 4,6 %.</w:t>
      </w:r>
    </w:p>
    <w:p>
      <w:pPr>
        <w:spacing w:after="100"/>
      </w:pPr>
      <w:r>
        <w:t xml:space="preserve">El precio, 54,30 USD, descuenta lo peor de los dos últimos años. El DCF inverso implica un crecimiento del 2,3 % anual y un margen del 29,7 % sin mejora durante diez años; a 10,3 veces el EBITDA de los próximos 12 meses, Cooper cotiza en la mediana de sus pares y a la mitad de la media de sus cierres de ejercicio. La acción ha caído un 40 % desde diciembre de 2025, un 14,7 % en la sesión siguiente al cierre de la revisión estratégica [56].</w:t>
      </w:r>
    </w:p>
    <w:p>
      <w:pPr>
        <w:spacing w:after="100"/>
      </w:pPr>
      <w:r>
        <w:t xml:space="preserve">Para invertir hay que creer que el estancamiento de CooperVision es inventario y no cuota: la dirección dice que, sin el desestocaje, Américas habría crecido un 5 % en el 3T26 [17]. Si es así, el DCF vale 60,01 USD, y las recompras (1.500 M autorizados) y la presión de Jana añaden opcionalidad. Si no, el bajista vale 43,17 USD. Con nuestro coste de capital la apuesta es justa; solo con la prima que hoy pide el mercado es atractiva.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2,48 = 43,90 · 22,1x × 2,96 = 65,42 · 29,8x × 3,31 = 98,64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65,80 (nuestro base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57,10 y 75,94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75,94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FY2027 (diciembre) da un orgánico de CooperVision inferior al 2 %, pasaríamos a Mantener.</w:t>
      </w:r>
    </w:p>
    <w:p>
      <w:pPr>
        <w:pStyle w:val="ListParagraph"/>
        <w:numPr>
          <w:ilvl w:val="0"/>
          <w:numId w:val="2"/>
        </w:numPr>
        <w:spacing w:after="60"/>
      </w:pPr>
      <w:r>
        <w:t xml:space="preserve">Si el precio supera 54,36 USD sin cambios en las cifras, pasaríamos a Mantener; por encima de 73,60 USD, a Vender.</w:t>
      </w:r>
    </w:p>
    <w:p>
      <w:pPr>
        <w:pStyle w:val="ListParagraph"/>
        <w:numPr>
          <w:ilvl w:val="0"/>
          <w:numId w:val="2"/>
        </w:numPr>
        <w:spacing w:after="60"/>
      </w:pPr>
      <w:r>
        <w:t xml:space="preserve">Si Cooper anuncia una compra de más de 1.000 M USD o la deuda neta supera 3 veces el EBITDA, pasaríamos a Mantener.</w:t>
      </w:r>
    </w:p>
    <w:p>
      <w:pPr>
        <w:pStyle w:val="ListParagraph"/>
        <w:numPr>
          <w:ilvl w:val="0"/>
          <w:numId w:val="2"/>
        </w:numPr>
        <w:spacing w:after="60"/>
      </w:pPr>
      <w:r>
        <w:t xml:space="preserve">Si CooperVision vuelve a crecer un 4 % orgánico o más dos trimestres seguidos con el margen al alza, subiríamos la convicción.</w:t>
      </w:r>
    </w:p>
    <w:p>
      <w:pPr>
        <w:pStyle w:val="ListParagraph"/>
        <w:numPr>
          <w:ilvl w:val="0"/>
          <w:numId w:val="2"/>
        </w:numPr>
        <w:spacing w:after="60"/>
      </w:pPr>
      <w:r>
        <w:t xml:space="preserve">Si el consejo vende CooperSurgical por encima de 12 veces el EBITDA y destina la caja a recompras,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CooperVision ha perdido su ventaja frente a J&amp;J y Alcon: crecimiento del 2,3 % anual durante una década, la mitad que su mercado, con el margen congelado en el 29,7 %. El consenso solo pide 3,6 % más de BPA non-GAAP en FY2027 y 12 de 17 analistas recomiendan mantener [58, 59].</w:t>
      </w:r>
    </w:p>
    <w:p>
      <w:pPr>
        <w:keepNext/>
        <w:spacing w:after="100"/>
      </w:pPr>
      <w:r>
        <w:rPr>
          <w:b/>
          <w:bCs/>
        </w:rPr>
        <w:t xml:space="preserve">Lo que creemos nosotros.</w:t>
      </w:r>
    </w:p>
    <w:p>
      <w:pPr>
        <w:spacing w:after="100"/>
      </w:pPr>
      <w:r>
        <w:t xml:space="preserve">El caso base supone un 3,5 % en FY2027e y un 4,0-4,5 % en FY2028e-FY2030e, aún por debajo del mercado, con el margen subiendo hasta el máximo histórico del 31,5 %. No es una visión distinta del consenso en cifras: nuestras ventas y EBITDA están a un 1 % de las suyas. La diferencia está en el coste de capital que exigimos.</w:t>
      </w:r>
    </w:p>
    <w:p>
      <w:pPr>
        <w:keepNext/>
        <w:spacing w:after="100"/>
      </w:pPr>
      <w:r>
        <w:rPr>
          <w:b/>
          <w:bCs/>
        </w:rPr>
        <w:t xml:space="preserve">Por qué podemos tener razón.</w:t>
      </w:r>
    </w:p>
    <w:p>
      <w:pPr>
        <w:spacing w:after="100"/>
      </w:pPr>
      <w:r>
        <w:t xml:space="preserve">Cooper creció un 9 % orgánico en lentes en FY2024 y un 5 % en FY2025 [8]; una caída al 1-2 % en un año con el canal reduciendo inventario no prueba una pérdida estructural. Si la guía de FY2027 confirma un 3 % o más, el precio que descuenta un 2,3 % se queda corto.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implica un crecimiento del 2,3 % anual, menos de la mitad del 5,3 % previsto para su mercado.</w:t>
      </w:r>
    </w:p>
    <w:p>
      <w:pPr>
        <w:pStyle w:val="ListParagraph"/>
        <w:numPr>
          <w:ilvl w:val="0"/>
          <w:numId w:val="2"/>
        </w:numPr>
        <w:spacing w:after="60"/>
      </w:pPr>
      <w:r>
        <w:rPr>
          <w:b/>
        </w:rPr>
        <w:t xml:space="preserve">Recompras por debajo del valor</w:t>
      </w:r>
      <w:r>
        <w:t xml:space="preserve">: quedan unos 1.500 M USD autorizados, el 14,5 % de la capitalización [3].</w:t>
      </w:r>
    </w:p>
    <w:p>
      <w:pPr>
        <w:pStyle w:val="ListParagraph"/>
        <w:numPr>
          <w:ilvl w:val="0"/>
          <w:numId w:val="2"/>
        </w:numPr>
        <w:spacing w:after="60"/>
      </w:pPr>
      <w:r>
        <w:rPr>
          <w:b/>
        </w:rPr>
        <w:t xml:space="preserve">Caja creciente</w:t>
      </w:r>
      <w:r>
        <w:t xml:space="preserve">: rendimiento por flujo libre del 6,6 % y objetivo de más de 2.200 M en FY2026-FY2028 [3].</w:t>
      </w:r>
    </w:p>
    <w:p>
      <w:pPr>
        <w:pStyle w:val="ListParagraph"/>
        <w:numPr>
          <w:ilvl w:val="0"/>
          <w:numId w:val="2"/>
        </w:numPr>
        <w:spacing w:after="60"/>
      </w:pPr>
      <w:r>
        <w:rPr>
          <w:b/>
        </w:rPr>
        <w:t xml:space="preserve">Consejeros comprando</w:t>
      </w:r>
      <w:r>
        <w:t xml:space="preserve">: 3,18 M USD en 12 meses, sin ventas, varios tras la caída de septiembre [49].</w:t>
      </w:r>
    </w:p>
    <w:p>
      <w:pPr>
        <w:pStyle w:val="ListParagraph"/>
        <w:numPr>
          <w:ilvl w:val="0"/>
          <w:numId w:val="2"/>
        </w:numPr>
        <w:spacing w:after="60"/>
      </w:pPr>
      <w:r>
        <w:rPr>
          <w:b/>
        </w:rPr>
        <w:t xml:space="preserve">Presión activista</w:t>
      </w:r>
      <w:r>
        <w:t xml:space="preserve">: Jana Partners pide un relevo en la cúpula y vender negocios; Browning West ya puso un consejero [40, 54].</w:t>
      </w:r>
    </w:p>
    <w:p>
      <w:pPr>
        <w:pStyle w:val="Heading2"/>
      </w:pPr>
      <w:r>
        <w:t xml:space="preserve">En contra</w:t>
      </w:r>
    </w:p>
    <w:p>
      <w:pPr>
        <w:pStyle w:val="ListParagraph"/>
        <w:numPr>
          <w:ilvl w:val="0"/>
          <w:numId w:val="2"/>
        </w:numPr>
        <w:spacing w:after="60"/>
      </w:pPr>
      <w:r>
        <w:rPr>
          <w:b/>
        </w:rPr>
        <w:t xml:space="preserve">CooperVision estancada</w:t>
      </w:r>
      <w:r>
        <w:t xml:space="preserve">: orgánico del 1-2 % en FY2026 y de −2 % a 0 % en el 4T26, mientras Alcon y J&amp;J crecen [3, 19].</w:t>
      </w:r>
    </w:p>
    <w:p>
      <w:pPr>
        <w:pStyle w:val="ListParagraph"/>
        <w:numPr>
          <w:ilvl w:val="0"/>
          <w:numId w:val="2"/>
        </w:numPr>
        <w:spacing w:after="60"/>
      </w:pPr>
      <w:r>
        <w:rPr>
          <w:b/>
        </w:rPr>
        <w:t xml:space="preserve">ROIC del 4,6 %</w:t>
      </w:r>
      <w:r>
        <w:t xml:space="preserve">, la mitad del WACC (9,15 %), por las compras de CooperSurgical.</w:t>
      </w:r>
    </w:p>
    <w:p>
      <w:pPr>
        <w:pStyle w:val="ListParagraph"/>
        <w:numPr>
          <w:ilvl w:val="0"/>
          <w:numId w:val="2"/>
        </w:numPr>
        <w:spacing w:after="60"/>
      </w:pPr>
      <w:r>
        <w:rPr>
          <w:b/>
        </w:rPr>
        <w:t xml:space="preserve">Guía poco fiable en ventas</w:t>
      </w:r>
      <w:r>
        <w:t xml:space="preserve">: rebajada en FY2025 y dos veces en FY2026, del 4,5-5,5 % al 2-3 % orgánico [3, 8].</w:t>
      </w:r>
    </w:p>
    <w:p>
      <w:pPr>
        <w:pStyle w:val="ListParagraph"/>
        <w:numPr>
          <w:ilvl w:val="0"/>
          <w:numId w:val="2"/>
        </w:numPr>
        <w:spacing w:after="60"/>
      </w:pPr>
      <w:r>
        <w:rPr>
          <w:b/>
        </w:rPr>
        <w:t xml:space="preserve">Paragard amenazado</w:t>
      </w:r>
      <w:r>
        <w:t xml:space="preserve">: Miudella llega a finales de 2026 y hay 4.156 demandas federales por roturas [26, 28].</w:t>
      </w:r>
    </w:p>
    <w:p>
      <w:pPr>
        <w:pStyle w:val="ListParagraph"/>
        <w:numPr>
          <w:ilvl w:val="0"/>
          <w:numId w:val="2"/>
        </w:numPr>
        <w:spacing w:after="60"/>
      </w:pPr>
      <w:r>
        <w:rPr>
          <w:b/>
        </w:rPr>
        <w:t xml:space="preserve">Sin colchón con nuestro coste de capital</w:t>
      </w:r>
      <w:r>
        <w:t xml:space="preserve">: el objetivo (57,10 USD) solo está un 5,2 % sobre el precio.</w:t>
      </w:r>
    </w:p>
    <w:p>
      <w:pPr>
        <w:pStyle w:val="Heading2"/>
      </w:pPr>
      <w:r>
        <w:t xml:space="preserve">Qué tiene que pasar para que la tesis funcione</w:t>
      </w:r>
    </w:p>
    <w:p>
      <w:pPr>
        <w:spacing w:after="100"/>
      </w:pPr>
      <w:r>
        <w:t xml:space="preserve">La tesis depende de que el estancamiento de CooperVision sea inventario del canal y no cuota. La señal de que no se cumple sería una guía de FY2027 con un orgánico de CooperVision por debajo del 2 %, o un 1T27 en el que Américas siga en negativo cuando Alcon y J&amp;J crecen más de un 5 % en lentes. Hay que vigilar también la respuesta del consejo a Jana y el ritmo de las recompras.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CooperVision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en el 3T26; guía de −2 % a 0 % en el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desestocaje de una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CooperVision en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donde se hizo el desestocaje.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(base del informe)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 en los últimos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28 %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lo sube al 31,5 %.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(operativo menos capex)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M en los últimos 12 meses, antes del pago del litigio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650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2.200 M en tres años exige unos 800 M en FY2027-FY2028.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 M en nueve meses de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100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el principal uso de la caja tras la revisión estratégica.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 15,3x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Cooper es hoy un grupo de dos negocios construido sobre todo a base de compras. En lentes de contacto, la integración de Ocular Sciences, con sus fábricas de Puerto Rico, a partir de 2005 [30], y la compra de Sauflon en 2014 [30] dieron a CooperVision escala en lentes de reposición frecuente y diarias, y la plataforma de silicona hidrogel (Biofinity, clariti, MyDay) la convirtió en el tercer fabricante mundial. CooperSurgical nació en 1990 [1] y se ha formado con adquisiciones en salud de la mujer y fertilidad: Paragard en 2017 por 1.100 M USD [30], Generate Life Sciences (donantes de gametos y bancos de cordón) en diciembre de 2021 por unos 1.600 M USD [31] y activos de salud reproductiva de Cook Medical en noviembre de 2023 por 300 M USD [31]. En diciembre de 2025 el consejo abrió una revisión estratégica que incluyó vender CooperSurgical; el 9 de septiembre de 2026 la cerró quedándose con ella, amplió la recompra de 2.000 a 3.000 M USD e incorporó dos consejeros independientes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CooperSurgical, origen del negocio de salud de la mujer y fertilidad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Ocular Sciences, cuyas fábricas de Puerto Rico siguen entre las principales de CooperVision [1,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Sauflon Pharmaceuticals (Reino Unido), origen de la gama de diarias clariti; de esa operación derivan los litigios fiscales con la HMRC aún abiertos [2,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CooperSurgical compra Paragard, el único DIU de cobre de EE. UU., a Teva por 1.100 M USD (cierre el 1 de noviembre de 2017)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MiSight 1 day se convierte en el primer y único producto aprobado por la FDA para frenar la progresión de la miopía en niños de 8 a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Generate Life Sciences (donantes de óvulos y esperma, criopreservación y células madre de cordón) por unos 1.600 M USD, cerrada el 17 de diciembre de 2021; aprobación de MiSight en China en agosto [1,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voluntaria de tres lotes del medio de cultivo de embriones LifeGlobal (diciembre), origen del litigio de fertilidad; cierre de la compra de activos de Cook Medical por 300 M USD el 1 de noviembre [2,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MiSight en Japón (agosto) y apertura de la revisión estratégica (diciembre)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casi todas las demandas del medio de cultivo: 306,8 M USD pagados en agosto, 43,8 M de ellos por el seguro; cierre de la revisión estratégica sin vender CooperSurgical (septiembre) [2,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Cooper es un fabricante de productos sanitarios con sede en San Ramón (California) que vende en más de 130 países y tiene más de 15.000 empleados [1]. CooperVision (el 67 % de las ventas de FY2025 [1]) fabrica lentes de contacto blandas: diarias de silicona hidrogel (MyDay, la gama alta, y clariti 1 day, la económica), mensuales y quincenales (Biofinity, su marca más vendida, y Avaira Vitality), lentes para el control de la miopía infantil (MiSight 1 day), ortoqueratología y esclerales [1]. Fabrica sobre todo en Bélgica, Costa Rica, Hungría, Puerto Rico, Reino Unido y EE. UU. y vende a ópticos, optometristas, cadenas, grandes superficies y distribuidores [1]. CooperSurgical (el 33 %) vende consumibles y equipos para laboratorios de FIV (medios de cultivo, micro-herramientas, incubadoras), servicios de genética y de donantes de gametos, criopreservación de cordón umbilical en EE. UU., Canadá y Australia, el DIU de cobre Paragard (solo en EE. UU.) y dispositivos de ginecología y obstetricia, a clínicas de fertilidad, consultas de ginecología y hospitales [1].</w:t>
      </w:r>
    </w:p>
    <w:p>
      <w:pPr>
        <w:pStyle w:val="Heading2"/>
      </w:pPr>
      <w:r>
        <w:t xml:space="preserve">Cómo gana dinero</w:t>
      </w:r>
    </w:p>
    <w:p>
      <w:pPr>
        <w:spacing w:after="100"/>
      </w:pPr>
      <w:r>
        <w:t xml:space="preserve">El grueso del beneficio sale de las lentes: CooperVision ganó 729,6 M USD de resultado operativo en FY2025 (26,6 % de margen), frente a 43,4 M de CooperSurgical, lastrado por 178,2 M de amortización de intangibles de las compras [1]. Las lentes son un consumible de reposición: el usuario que se adapta a una marca la repone durante años, de modo que las ventas son casi enteramente recurrentes, y el paso a diarias multiplica el gasto anual por usuario [1, 19]. El margen depende de la mezcla (las tóricas y multifocales, el 49 % de las ventas de CooperVision, se venden con una prima del 20-40 % sobre las esféricas según Alcon [1, 19]), de las subidas de precio anuales y del coste de fabricación y del cambio de divisa: en el 3T26 el margen bruto ajustado cayó 60 pb por mayores costes de fabricación y el dólar [3]. La estacionalidad es baja: el primer trimestre fiscal (noviembre-enero) es el más flojo por las fiestas [1]. En fertilidad, los ingresos dependen del número de ciclos de FIV y de su cobertura por seguros.</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en FY2023-FY2025 [1]. En lentes, los clientes directos son ópticos, cadenas ópticas, grandes superficies, grupos de compra y distribuidores, pero quien prescribe es el profesional de la visión y quien paga, casi siempre de su bolsillo, es el usuario [1, 19]. La concentración sube: las cuentas clave (cadenas, minoristas globales) ganan peso, y en el 3T26 la reducción de inventario de los distribuidores de EE. UU. bajó un 2 % las ventas de América [2, 3]. En CooperSurgical, la consolidación de consultas y clínicas de fertilidad en grupos, fondos de capital privado y redes integradas aumenta su poder de compra, y los pagadores presionan con precios fijos y capitados [1]. El poder de precios es real pero no ilimitado: Alcon y J&amp;J atribuyen su crecimiento de 2025 en lentes a subidas de precio [19, 21], y Cooper avisa de presión de precios por nuevos entrantes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FY2026: 3 %, 5 % y 1 %; guía de FY2026 rebajada del 4,5-5,5 % al 2-3 % [3, 8,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FY2024: 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inicial de FY2025 era del 6,5-8,5 %. En el 3T26, 0 % por la reducción de inventario del canal en EE. UU.; guía de FY2026, 1-2 % [3,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Américas,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281,6 M en el 3T26; en el ejercicio 2025, 1.124,3 M (41 % de CooperVision) [1,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EMEA,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309,4 M en el 3T26; la región más estable de los últimos ocho trimestres [3,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Asia-Pacífico,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126,0 M en el 3T26; negativa en cuatro de los últimos cinco trimestres [3, 9, 10, 11,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 y multifocal / esfera y otros,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6 % /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2 %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 / 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tóricas y multifocales son el 51 % de CooperVision en el 3T26. MiSight creció un 37 % en el 4T25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Fertilidad,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3T25: 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en el 3T26; en el 2T26, +10 %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Consulta y cirugía, orgánico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3T25: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3T26: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208,0 M en el 3T26. Incluye Paragard, que la empresa no desglosa en cifras; el consejo cita la entrada de un DIU no hormonal competidor [3,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lentes de contacto blandas (esféricas, tóricas, multifocales y de control de miopía), a precio de fabricante; excluye las soluciones de limpieza y los colirios, que Alcon y Bausch + Lomb suman en su división de visión [19, 20]. Para el tamaño se usa la estimación de Global Market Insights (10.300 M USD en 2025) [23], que cuadra con la que implica Meticulous Research (unos 10.150 M USD en 2025: estimación propia descontando al 5,3 % anual su previsión de 14.570 M para 2032) [24]. Ambas quedan algo cortas: solo las ventas de lentes de los cuatro grandes suman unos 10.450 M USD en 2025 [1, 19, 20, 21], de modo que el mercado real a precio de fabricante es algo mayor. El crecimiento histórico (6,9 % anual) es estimación propia con las ventas de lentes de Alcon y CooperVision entre 2023 y 2025 (de 4.824 a 5.514 M USD) [1, 19]; la previsión (5,3 %) es la de Meticulous Research, por encima del 4-5 % que Alcon da para toda la visión y por debajo del 8,9 % de Global Market Insights [19, 23, 24]. La concentración (más del 75 %) es estimación propia: Alcon, CooperVision y J&amp;J tienen más del 65 % según Global Market Insights [23] y Bausch + Lomb, alrededor del 10 % [20]. El segundo mercado, de menor peso en el beneficio, es el de fertilidad: los dispositivos y consumibles de FIV suman 3.370 M USD en 2025 según IMARC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10.300 M USD en 2025 en lentes de contacto blandas [23] (≈ 10.150 M según Meticulous Research [24]); la suma de las ventas de lentes de J&amp;J, Alcon, CooperVision y Bausch + Lomb ya es de unos 10.450 M [1, 19, 20, 21]. Fertilidad (dispositivos y consumibles de FIV): ≈ 3.370 M USD en 2025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6e-2030e: estimación propia al 5,3 % anual de Meticulous Research sobre la base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diarias de silicona hidrogel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diarias son el 49,3 % del mercado de lentes blandas en 2024 [23]; cuestan más por usuario y año que las mensuales, y Alcon sitúa en ellas y en las reutilizables prémium el grueso del crecimiento [19]. Bausch + Lomb describe ventas en caída de las líneas reutilizables antiguas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Tóricas y multifocales (astigmatismo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venden con una prima del 20-40 % sobre las esféricas [19] y alargan la vida del usuario de lentes; en CooperVision pasaron de 1.134 a 1.351 M USD entre FY2023 y FY2025 (+9,1 % anual)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la 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estima que hacia 2050 la mitad de la población mundial (casi 5.000 millones) será miope [19]; MiSight es el único producto aprobado por la FDA para frenarla y ya está aprobado en China (2021) y Japón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penetración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las lentes en Asia es de un dígito frente a dos dígitos en el mundo desarrollado [19], pero CooperVision cayó un 7 % en Asia-Pacífico en los nueve meses a julio de 2026 [2] y Bausch + Lomb alerta de la entrada de fabricantes asiáticos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atribuye su crecimiento en lentes de 2025 (+6 %) sobre todo a subidas de precio e innovación [19], y J&amp;J cita «acciones estratégicas de precio» en ACUVUE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Ciclos de FIV y cobertura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espera que los ciclos de FIV crezcan a un dígito medio en el mundo por la caída de la fertilidad y la mejor cobertura [22]; en EE. UU. la guía federal de octubre de 2025 abre a las empresas un beneficio de fertilidad independiente del seguro médico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con más del 75 % del mercado [23] compiten en innovación más que en precio, y los cuatro suben precios [19, 21]; pero Alcon admite presión competitiva en diarias y avance de las marcas blancas fuera de EE. UU. [19], y CooperVision se quedó plana en el 3T26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de Cooper [1] y el usuario paga casi siempre de su bolsillo por recomendación del profesional [19]; pero cadenas, grandes superficies y grupos de compra ganan peso, y en fertilidad y ginecología la consolidación de clínicas y los pagadores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suelen tener varios proveedores; hay proveedores únicos en algunos componentes de silicona hidrogel y de FIV, cubiertos con contratos y existencias de seguridad (193,1 M USD de materias primas al cierre de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son productos sanitarios de clase II-III con aprobación previa de la FDA y marcado CE bajo el MDR [1], y la fabricación a escala de silicona hidrogel exige años de inversión; el riesgo viene de fabricantes asiáticos y de modelos de venta directa por internet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Gafas y cirugía refractiva son alternativas, pero Alcon, que vende ambas, considera que el láser no es una amenaza significativa dado el crecimiento de las lentes en la última década [19]. En Paragard, los DIU hormonales de Bayer y AbbVie y el nuevo DIU de cobre Miudella sí son sustitutos directos [1, 26].</w:t>
            </w:r>
          </w:p>
        </w:tc>
      </w:tr>
    </w:tbl>
    <w:p>
      <w:pPr>
        <w:spacing w:after="160" w:before="0"/>
      </w:pPr>
    </w:p>
    <w:p>
      <w:pPr>
        <w:pStyle w:val="Heading2"/>
      </w:pPr>
      <w:r>
        <w:t xml:space="preserve">Ciclo</w:t>
      </w:r>
    </w:p>
    <w:p>
      <w:pPr>
        <w:spacing w:after="100"/>
      </w:pPr>
      <w:r>
        <w:t xml:space="preserve">Es un mercado poco cíclico: el usuario repone sus lentes con independencia de la coyuntura. La excepción fue 2020, cuando el cierre de consultas hizo caer las ventas de CooperVision de 1.972,9 a 1.843,0 M USD (−6,6 %) en FY2020, para rebotar a 2.152,0 M (+16,8 %) en FY2021 [32]. En 2022 el golpe vino del dólar, no de la demanda. Hoy el mercado crece a un dígito medio (Alcon, +6 % en lentes en 2025 [19]; J&amp;J, +4,8 % [21]), pero las señales de 2026 son de madurez: CooperVision plana en el 3T26, guía de −2 % a 0 % orgánico en el 4T26 y reducción de inventario en los distribuidores de EE. UU. [3].</w:t>
      </w:r>
    </w:p>
    <w:p>
      <w:pPr>
        <w:pStyle w:val="Heading2"/>
      </w:pPr>
      <w:r>
        <w:t xml:space="preserve">Regulación</w:t>
      </w:r>
    </w:p>
    <w:p>
      <w:pPr>
        <w:spacing w:after="100"/>
      </w:pPr>
      <w:r>
        <w:t xml:space="preserve">Casi todos los productos de Cooper son productos sanitarios regulados por la FDA (clases I-III; las lentes de uso prolongado son clase III y exigen PMA) [1]. En la UE, la mayoría de los certificados de Cooper siguen emitidos bajo las directivas antiguas y la recertificación bajo el MDR y el IVDR se apoya en las prórrogas de los plazos de transición aprobadas por las instituciones europeas; en Gran Bretaña, los productos conformes con el MDR pueden venderse hasta el 30 de junio de 2030 como tarde. Cooper cita ambos reglamentos como riesgo de costes [1]. En EE. UU., la FDA aprobó en mayo de 2024 la regla que somete los análisis de laboratorio (LDT, que afectan a la genética de CooperSurgical) a su control [1], y los estados regulan de forma desigual el almacenamiento y destino de embriones y gametos [1]. Los aranceles cruzados con EE. UU. elevaron costes en 2025 a Alcon y Bausch + Lomb [19, 20]; Cooper los incluye como riesgo y en el 3T26 cobró intereses por devoluciones de aranceles [2].</w:t>
      </w:r>
    </w:p>
    <w:p>
      <w:pPr>
        <w:pStyle w:val="Heading2"/>
      </w:pPr>
      <w:r>
        <w:t xml:space="preserve">Tendencias y disrupción</w:t>
      </w:r>
    </w:p>
    <w:p>
      <w:pPr>
        <w:spacing w:after="100"/>
      </w:pPr>
      <w:r>
        <w:t xml:space="preserve">La tendencia que más mueve el sector es el paso a diarias de silicona hidrogel, donde Cooper compite con clariti (gama económica) y MyDay (prémium) frente a ACUVUE OASYS 1-Day de J&amp;J y DAILIES TOTAL1 y PRECISION1 de Alcon [1, 19, 21]. Alcon contraataca en reutilizables prémium (TOTAL30, PRECISION7), el segmento que todavía eligen dos tercios de los usuarios y que es el fuerte de Biofinity [19]. El control de la miopía es la oportunidad más propia de Cooper: es el único con aprobación de la FDA [1]. En contra, ganan peso las marcas blancas y los fabricantes asiáticos [19, 20] y la venta directa por internet [20]. En fertilidad, la mejora de la cobertura en EE. UU. (descuentos en fármacos y beneficio de empresa desde octubre de 2025 [27]) favorece el volumen de ciclos.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fabricante mundial de lentes de contacto blandas, prácticamente empatado con Alcon (estimación propia: 2.744 M USD de CooperVision sobre los 10.447 M que suman los cuatro grandes en 2025, un techo porque excluye al resto de fabricantes; sobre los 10.300 M de Global Market Insights saldría el 26,6 %) [1, 19, 20, 21, 23]. En fertilidad, sus 524,6 M USD de FY2025 la sitúan por delante de Vitrolife (unos 351 M USD) [1, 22]. Con Paragard tiene hoy el único DIU de cobre a la venta en EE. UU.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(Vision, ACUVUE)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Ingresos de «Contact Lenses/Other» de 2025 (toda la franquicia Vision, con cirugía, 5.468 M); +4,8 % gracias a ACUVUE OASYS 1-Day y a subidas de precio [21]. J&amp;J no publica el margen de Vision: el dato es el beneficio antes de impuestos sobre ventas de todo MedTech (12,2 %) [21]. Cuota sobre la suma de los cuatro grandes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lentes de marca y líder en diarias de silicona hidrogel en EE. UU. (TOTAL, PRECISION1) [19]. Ventas de lentes de 2025, +6 % por precio e innovación; el margen es la contribución de toda Vision Care (981 M sobre 4.568 M, con colirios), que excluye costes corporativos y amortizaciones [19]. Reconoce que no cumplió su objetivo de cuota por la presión en diarias y las marcas blancas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 (Vision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Cuarto fabricante (Biotrue ONEday, Ultra, SofLens). Ingresos de lentes estimados como el 35 % de los 2.923 M de Vision Care que publica [20] (estimación propia); el margen es el beneficio del segmento Vision Care, 849 M, que incluye soluciones y colirios de mayor margen [20]. Controlada por Bausch Health.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consumibles, equipos (EmbryoScope) y genética de FIV [1, 22]. Ventas de 2025: 3.440 M SEK, convertidos a 9,806 SEK/USD de media anual [22, 29]. Margen sin el deterioro de 5.357 M SEK (estimación propia: EBIT de −4.835 M más el deterioro); el EBIT publicado fue −140,6 % [22]. Cuota sobre el mercado de dispositivos y consumibles de FIV de IMARC [25] (estimación propia).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Organon / Sebela (Miudella)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Miudella, DIU de cobre de Sebela aprobado por la FDA el 24 de febrero de 2025, es el primer DIU sin hormonas en llegar a EE. UU. en más de 40 años y el primer rival directo de Paragard; usa menos de la mitad de cobre que este y un insertor más fino, pero está aprobado para tres años frente a diez [1, 26]. Organon cerró en junio de 2026 la licencia mundial y prevé lanzarlo a finales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Apenas existen; el único efecto es la base instalada de profesionales formados en la adaptación de sus lentes y en MiSight, y la relación con cuentas clave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usuario adaptado a una lente y el óptico que la prescribe tienden a mantenerla; Cooper compite con la gama más amplia de parámetros, lo que eleva la tasa de adaptación al primer intento [1]. En fertilidad, cambiar de medio de cultivo obliga a las clínicas a revalidar protocolos. Lo erosiona la venta por internet y la marca blanca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Biofinity, MyDay y clariti, y la única aprobación de la FDA para frenar la miopía (MiSight) [1]; Paragard fue el único DIU de cobre de EE. UU. hasta la aprobación de Miudella en 2025 [1,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operativo de CooperVision (26,6 % en FY2025 [1]) supera la contribución de Vision Care de Alcon (21,5 %), que además excluye costes corporativos [5]; clariti le permite competir en precio en diarias de silicona hidrogel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oligopolio de cuatro fabricantes con más del 75 % del mercado [9] y barreras regulatorias y de fabricación altas [1]; CooperVision invirtió 322,9 M USD en FY2025 en capacidad [1], una cifra difícil de replicar para un entrante.</w:t>
            </w:r>
          </w:p>
        </w:tc>
      </w:tr>
    </w:tbl>
    <w:p>
      <w:pPr>
        <w:spacing w:after="160" w:before="0"/>
      </w:pPr>
    </w:p>
    <w:p>
      <w:pPr>
        <w:pStyle w:val="Heading2"/>
      </w:pPr>
      <w:r>
        <w:t xml:space="preserve">Amenazas</w:t>
      </w:r>
    </w:p>
    <w:p>
      <w:pPr>
        <w:spacing w:after="100"/>
      </w:pPr>
      <w:r>
        <w:t xml:space="preserve">La amenaza más probable a corto plazo es la pérdida de impulso de CooperVision frente a J&amp;J y Alcon en diarias de silicona hidrogel: en el 3T26 sus ventas quedaron planas y Asia-Pacífico cayó un 10 % [3], mientras Alcon empuja en reutilizables prémium, el terreno de Biofinity [19]. A medio plazo, las marcas blancas y los fabricantes asiáticos presionan los precios de las gamas básicas, donde está clariti [19, 20]. En CooperSurgical, Miudella competirá con Paragard desde finales de 2026 [26], y el litigio por roturas de Paragard sigue abierto con 4.156 demandas en la vía federal [28]. Probabilidad: media para la erosión de cuota en lentes; alta para la llegada de Miudella.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spacing w:after="100"/>
      </w:pPr>
      <w:r>
        <w:t xml:space="preserve">Crecimiento anual compuesto FY2017-FY2025: ingresos </w:t>
      </w:r>
      <w:r>
        <w:rPr>
          <w:b/>
          <w:bCs/>
        </w:rPr>
        <w:t xml:space="preserve">8,4 %</w:t>
      </w:r>
      <w:r>
        <w:t xml:space="preserve">, EBITDA </w:t>
      </w:r>
      <w:r>
        <w:rPr>
          <w:b/>
          <w:bCs/>
        </w:rPr>
        <w:t xml:space="preserve">7,6 %</w:t>
      </w:r>
      <w:r>
        <w:t xml:space="preserve">, BPA </w:t>
      </w:r>
      <w:r>
        <w:rPr>
          <w:b/>
          <w:bCs/>
        </w:rPr>
        <w:t xml:space="preserve">-0,1 %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2.139 M USD en FY2017 a 4.092 M en FY2025 (tasa anual del 8,4 %), con dos saltos por compras: Paragard en FY2018 y Generate Life Sciences en FY2022 [1, 5, 6]. El crecimiento orgánico publicado fue del 8 % en FY2024 y del 4 % en FY2025, y la guía de FY2026 bajó del 4,5-5,5 % inicial al 2-3 % tras el recorte de inventario del canal en EE. UU. [3, 8]. El margen bruto contable se mueve entre el 63 % y el 67 %; el operativo contable cayó del 20,1 % de FY2017 al 16,7 % de FY2025 porque la amortización de intangibles subió de 68 M a 199 M y porque cada año hay cargos de integración, regulación europea (MDR) y reorganización. En FY2025 la salida de una línea de producto de CooperSurgical (51,8 M) y la reorganización del cuarto trimestre (50,9 M en el año) bajaron el margen operativo del 18,1 % al 16,7 % [8]. FY2020 no es comparable (pandemia, ventas -8 %) y el beneficio neto de FY2021 (2.944,7 M) incluye un ingreso fiscal de unos 2.000 M por el traspaso de la propiedad intelectual de CooperVision al Reino Unido [2].</w:t>
      </w:r>
    </w:p>
    <w:p>
      <w:pPr>
        <w:pStyle w:val="Heading2"/>
      </w:pPr>
      <w:r>
        <w:t xml:space="preserve">Ajustes y partidas no recurrentes</w:t>
      </w:r>
    </w:p>
    <w:p>
      <w:pPr>
        <w:spacing w:after="100"/>
      </w:pPr>
      <w:r>
        <w:t xml:space="preserve">La cuenta es la contable (US GAAP). Cooper publica un BPA no GAAP que excluye la amortización de intangibles adquiridos (199,2 M en FY2025), los costes de compra e integración, la regulación MDR, la reorganización, la salida de negocios, litigios y el efecto fiscal de la transferencia de PI de 2021: 4,13 USD en FY2025 frente a 1,87 contable [8]. En no_recurrentes_en_ebitda solo van los cargos que no se repiten: FY2023, 32,0 M (salida de negocio 18,8 M y comisión por rescisión de una compra 45,0 M, menos 31,8 M de liberación de un pasivo contingente); FY2024, 4,0 M; FY2025, 51,8 M de salida de una línea de producto; LTM, 305,1 M (litigio de los medios de cultivo de fertilidad 274,4 M, salida de negocio 26,4 M y revisión estratégica 4,3 M) [3, 8, 14]. No se incluyen la integración (43,2 M en FY2025), la MDR (21,9 M) ni la reorganización (50,9 M), porque aparecen todos los años. El beneficio LTM incluye 307,2 M de ingreso fiscal no recurrente del 3T26.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(4-jun-2026).</w:t>
      </w:r>
      <w:r>
        <w:t xml:space="preserve"> El mensaje fue el acuerdo del litigio de los medios de cultivo de embriones: cargo neto de 271,6 M USD y acuerdos con más del 95 % de los demandantes. La dirección habló de «robust interest» por CooperSurgical entera y de destinar lo que se cobrara sobre todo a recompras. Rebajó las ventas de CooperVision por Asia-Pacífico (-6 %, Japón, China y retirada de hidrogeles antiguos), mantuvo el BPA no GAAP en 4,58-4,66 USD y subió el flujo libre a unos 650 M sin el litigio [18].</w:t>
      </w:r>
    </w:p>
    <w:p>
      <w:pPr>
        <w:spacing w:after="100"/>
      </w:pPr>
      <w:r>
        <w:rPr>
          <w:b/>
        </w:rPr>
        <w:t xml:space="preserve">3T26 (9-sep-2026).</w:t>
      </w:r>
      <w:r>
        <w:t xml:space="preserve"> El discurso cambió: no hay venta de CooperSurgical, y el recorte de la guía se atribuye a reducir inventario del canal en EE. UU. («it's all destock»), con la mitad hecha en el 3T26 y el resto en el 4T26; sin él, Américas habría crecido un 5 %. El BPA no GAAP de FY2026 baja a 4,51-4,55 USD. La empresa dice llevar once trimestres seguidos por encima del consenso en BPA no GAAP [3, 17]. Los analistas preguntaron sobre todo por el desestocaje (causa, si llega a EMEA, si se arrastra a FY2027), por el crecimiento de CooperVision en FY2027 y por el competidor de Paragard. La dirección no dio guía de FY2027 ni días de inventario del canal, y aplazó a diciembre lo de Paragard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(FY2021: No es una compra: el activo sube por el activo fiscal diferido de unos 2.000 M USD creado al traspasar la propiedad intelectual de CooperVision al Reino Unido.; FY2022: Generate Life Sciences (1.600 M USD), consolidada desde el 17-dic-2021: unos diez meses y medio en la cuenta y entera en el balance.).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se duplicó con Paragard (FY2018) y otra vez con Generate (FY2022), hasta 2.760 M, y desde entonces baja despacio: 2.503 M en FY2025 y 2.544 M a 31-jul-2026 pese a 445 M de recompras en nueve meses y al pago del litigio [1, 2]. Toda es bancaria y a tipo variable (crédito revolving al 4,65 % y préstamo al 4,52 %), en parte cubierta con permutas; no hay bonos. El vencimiento de 550 M en diciembre de 2026 se cubre con el revolving (1.328 M libres). El circulante empeora: los clientes pasaron de 64 días de ventas en FY2021 a 74 en FY2025 y la provisión por insolvencias subió de 51,9 M a 76,1 M en nueve meses; las existencias crecieron de 586 M a 912 M desde FY2021, más que las ventas [1, 2]. El patrimonio incluye 2.268 M de impuestos diferidos de activo, sobre todo por el traspaso de la PI al Reino Unido.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3.450</w:t>
      </w:r>
      <w:r>
        <w:t xml:space="preserve">, conversión </w:t>
      </w:r>
      <w:r>
        <w:rPr>
          <w:b/>
          <w:bCs/>
        </w:rPr>
        <w:t xml:space="preserve">62 %</w:t>
      </w:r>
      <w:r>
        <w:t xml:space="preserve"> del beneficio neto; adquisiciones 4.026, dividendos 21, recompras 652.</w:t>
      </w:r>
    </w:p>
    <w:p>
      <w:pPr>
        <w:spacing w:after="100"/>
      </w:pPr>
      <w:r>
        <w:t xml:space="preserve">El flujo libre (operativo menos inversión) fue de 433,7 M USD en FY2025, el 116 % del beneficio neto, y la conversión es alta porque la amortización de intangibles (199 M) no consume caja [8]. Entre FY2020 y FY2024 osciló entre 176 y 524 M porque la inversión llegó al 11-13 % de las ventas en FY2020, FY2023 y FY2024 para ampliar la capacidad de lentes diarias de silicona hidrogel en CooperVision, que se lleva el 89 % del capex [1]. La empresa no separa mantenimiento y crecimiento; como estimación propia, la depreciación (178 M, el 4,4 % de las ventas) aproxima el mantenimiento y el resto, unos 185 M, es crecimiento. El flujo LTM a julio de 2026 (678 M) está inflado: incluye la provisión del litigio sin pagar, y en agosto salieron unos 263 M netos del seguro; la dirección espera unos 170 M de flujo libre en el 4T26 sin esos pagos [2, 17]. El objetivo es superar 2.200 M de flujo libre acumulado en FY2026-FY2028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(San Francisco)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sobre las cuentas de FY2025; el control interno era ineficaz a 31-oct-2024 por una debilidad material en los controles informáticos de CooperSurgical en EE. UU., corregida a 31-oct-2025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audita a Cooper desde 1982 y en FY2025 señaló como cuestión clave de auditoría la suficiencia de la evidencia sobre existencias y ventas [1]. En FY2024 el control interno fue ineficaz por una debilidad material en los controles informáticos del sistema de gestión de CooperSurgical en EE. UU., corregida en FY2025 [1]. La diferencia entre el resultado contable y el ajustado es grande y constante: la empresa excluyó 372,9 M de gastos del resultado operativo no GAAP en FY2025 (el 9 % de las ventas), y los costes de integración, regulación europea y reorganización aparecen todos los años [8]. El resultado fiscal es atípico: en FY2021 se reconoció un activo fiscal de unos 2.000 M por el traspaso de la PI de CooperVision al Reino Unido y en el 3T26 se liberó la reserva de 307,2 M al cerrar la HMRC su inspección sin ajustes; el BPA no GAAP sigue excluyendo el beneficio fiscal recurrente de amortizar esos activos en el Reino Unido [2, 3]. La remuneración en acciones es de unos 70 M al año (19 % del beneficio de FY2025). No hubo deterioros del fondo de comercio en ningún ejercicio entre FY2011 y FY2025 [7]. El desestocaje del canal en EE. UU. indica que parte de las ventas de trimestres anteriores fue a inventario de distribuidores.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del canal en EE. UU. por encima de la demanda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reduce inventario de distribuidores y comercio electrónico en el 3T26 y el 4T26; CooperVision Américas pasó de +7 % orgánico en el 2T26 a -2 % en el 3T26 [3,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regulación MDR y reorganización se excluyen cada año: 265,6 M en FY2024 y 372,9 M en FY2025, amortización incluida [8,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por impuestos diferidos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2.267,9 M a 31-jul-2026 (18 % del activo), sobre todo por el traspaso de la PI de 2021; depende de beneficios futuros en el Reino Unido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del control interno en FY2024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informáticos de CooperSurgical en EE. UU.; corregida a 31-oct-2025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 más lentos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64 a 74 días de ventas entre FY2021 y FY2025; la provisión por insolvencias subió de 51,9 M a 76,1 M en nueve meses de FY2026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litigio de fertilidad (272,0 M netos) está pagado; sigue abierto el de la HMRC por Sauflon, de 0 a 71,7 M GBP, sin provisión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1,3 % · </w:t>
      </w:r>
      <w:r>
        <w:rPr>
          <w:b/>
          <w:bCs/>
        </w:rPr>
        <w:t xml:space="preserve">WACC</w:t>
      </w:r>
      <w:r>
        <w:t xml:space="preserve">: 9,2 %.</w:t>
      </w:r>
    </w:p>
    <w:p>
      <w:pPr>
        <w:spacing w:after="100"/>
      </w:pPr>
      <w:r>
        <w:t xml:space="preserve">Cooper rinde poco sobre el capital que ha invertido. Como estimación propia, el resultado operativo de FY2025 (682,9 M USD) equivale a un 6,4 % antes de impuestos sobre el patrimonio más la deuda neta (10.631 M), y a un 9,9 % si se usa el resultado no GAAP, sin amortización de intangibles [1, 8]. Dos cosas pesan sobre el capital invertido: el fondo de comercio y los intangibles (5.440 M, el 44 % del activo) de las compras de CooperSurgical, y los 2.078 M de impuestos diferidos de activo que hinchan el patrimonio desde FY2021. Por segmentos, CooperVision gana 729,6 M sobre 7.604 M de activos identificables, mientras que CooperSurgical gana 43,4 M sobre 4.619 M [1]: casi todo el valor lo crea el negocio de lentes, y las compras de CooperSurgical (Paragard, Generate, Cook) no han llegado a rentar su coste.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31-jul-2026: caja 154,7 M USD + 1.328,0 M disponibles en el crédito revolving de 2.300 M (vence el 1-may-2029); deuda bruta 2.544,2 M [2]. En febrero de 2026 se amplió hasta el 3-feb-2031 el vencimiento de 950 M del préstamo a plazo [15]. En agosto de 2026 se pagaron 306,8 M del acuerdo del litigio de fertilidad (43,8 M los pagó directamente el seguro), con cargo al revolving o a la caja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por el litigio de los medios de cultivo de fertilidad era de 316,5 M USD a 31-jul-2026: el cargo neto del ejercicio fue de 272,0 M (325,8 M de provisión menos 53,8 M del seguro), en gastos generales. En julio el seguro pagó 10,0 M y en agosto de 2026 se pagaron 306,8 M a los demandantes, 43,8 M de ellos directamente por el seguro, así que el pasivo quedó prácticamente liquidado antes de la fecha de corte [2]. Queda abierto el litigio con la HMRC por las retenciones sobre el precio pagado a los fundadores de Sauflon (2014): pérdida estimada de 0 a 71,7 M GBP más intereses, sin provisión [2]. El crédito exige ratios de apalancamiento total y de cobertura de intereses; la empresa los cumplía a 31-jul-2026 [2]. Otros: permutas de tipos sobre 1.600 M de nocional, plan de pensiones con un déficit de 12,8 M, 140,2 M de alquileres firmados que aún no han empezado y el segundo plazo de 50 M de la compra de Cook Medical, pagado en noviembre de 2025 [1, 2].</w:t>
      </w:r>
    </w:p>
    <w:p>
      <w:pPr>
        <w:pStyle w:val="Heading1"/>
      </w:pPr>
      <w:r>
        <w:t xml:space="preserve">12. Asignación de capital</w:t>
      </w:r>
    </w:p>
    <w:p>
      <w:pPr>
        <w:pStyle w:val="Confianza"/>
        <w:spacing w:after="100"/>
      </w:pPr>
      <w:r>
        <w:t xml:space="preserve">Confianza: Alta</w:t>
      </w:r>
    </w:p>
    <w:p>
      <w:pPr>
        <w:spacing w:after="100"/>
      </w:pPr>
      <w:r>
        <w:t xml:space="preserve">Cooper no paga dividendo desde diciembre de 2023, cuando el consejo eliminó el semestral simbólico (0,015 USD por acción y año, ajustado al desdoblamiento) [1]. La caja va a recompras: el programa de 2012 se amplió a 2.000 M en septiembre de 2025 y a 3.000 M en septiembre de 2026, con unos 1.500 M disponibles; se recompraron 290,1 M en FY2025 y 444,7 M en los nueve primeros meses de FY2026, a 71,69 USD de media [2, 4]. Tras la revisión estratégica, las prioridades declaradas son invertir en el crecimiento orgánico de CooperVision, después en fertilidad, y recomprar acciones de forma constante [4, 17]. La dirección sitúa el apalancamiento por debajo de 2 veces el EBITDA y no incluye recompras en la guía del 4T26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(DIU de cobre sin hormonas, comprado a Teva)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1.425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 Sostiene el área de consulta y cirugía, pero las ventas estaban planas en el 2T26 y el 3T26 y ya hay un DIU no hormonal competidor aprobado [6, 17,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 (donantes de gametos, criopreservación, células de cordón)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a plazo de 1.500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249,5 M de ventas en FY2022 y la fertilidad creció; sin deterioro, pero CooperSurgical ganó solo 43,4 M en FY2025 y las ofertas recibidas en 2026 no convencieron al consejo [4,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obstetricia, monitorización Doppler y cirugía ginecológica de Cook Medical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M al cierre y dos plazos de 50 M (nov-2024 y nov-2025)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integración y cierre de instalaciones en FY2025; el área de consulta y cirugía creció un 6 % en FY2025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obp Surgical (retractores quirúrgicos desechables con luz)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Contribuyó al crecimiento de consulta y cirugía en FY2025 [1].</w:t>
            </w:r>
          </w:p>
        </w:tc>
      </w:tr>
    </w:tbl>
    <w:p>
      <w:pPr>
        <w:spacing w:after="160" w:before="0"/>
      </w:pPr>
    </w:p>
    <w:p>
      <w:pPr>
        <w:spacing w:after="100"/>
      </w:pPr>
      <w:r>
        <w:t xml:space="preserve">En nueve ejercicios (FY2017-FY2025) Cooper generó 6.006 M USD de flujo operativo, invirtió 2.556 M en capex y 4.026 M en compras, y recompró solo 652 M; la deuda financiera pasó de 1.173 M a 2.503 M [1, 5, 6]. Casi todo el dinero de compras fue a CooperSurgical, cuyo resultado de segmento en FY2025 (43,4 M, tras 178 M de amortización) es pequeño para 4.619 M de activos, y la venta que el consejo exploró en la revisión estratégica abierta en diciembre de 2025 no obtuvo precios aceptables [1, 4, 16]. El giro a recompras es reciente: 735 M entre FY2025 y julio de 2026, a 69-72 USD por acción, con las acciones en circulación bajando de 199,6 M a 190,1 M [2]. La lectura es mixta: CooperVision es un buen destino del capital, pero las compras de la última década han rentado menos que su coste y el cambio de rumbo llegó por presión de los accionistas.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 desde 2006: tesorero, director de relaciones con inversores, director de estrategia, presidente de CooperSurgical y director financiero (2016-2018); antes, KeyBanc Capital Markets [35]. En el ejercicio 2025 los ingresos crecieron un 5 % hasta 4.092,4 M USD y el BPA non-GAAP un 12 % hasta 4,13 USD [8]; sus acciones de rendimiento de 2023-2025 se liquidaron al 200 % por un crecimiento del BPA del 11,1 % anual [35]. Su participación incluye 1.699.873 opciones ejercitables; compró 10.000 acciones a 80,80 USD en diciembre de 2025 [35, 49].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G. Andrews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(vicetesorero, tesorero, logística de CooperSurgical); antes, KeyBanc Capital Markets e ING Barings [35]. Desde el 9 de diciembre de 2025 asume también el cargo de principal accounting officer, que dejó Agostino Ricupati [41]. En 2025 el flujo libre fue de 434 M USD frente a un objetivo presupuestado de 350 M USD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G. McBride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operaciones (COO), secretario general y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noviembre de 2013 y secretario general desde octubre de 2025; presidió CooperVision de 2014 a 2022 y fue director de riesgos y secretario general; antes, abogado de Latham &amp; Watkins [35]. Es el directivo con más acciones tras el consejero delegado (685.784, incluidas 521.936 opciones)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Gerard H. Warner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CooperVision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CooperVision desde 2012 (Américas y funciones comerciales globales) tras 17 años en Bausch + Lomb [35]. En 2025 CooperVision facturó 2.716 M USD a tipo constante frente a 2.781 M presupuestados (97,7 %) y su bonus divisional se pagó al 91,4 % [35]. En el tercer trimestre de 2026 la división tuvo que reducir inventario en el canal de EE. UU. y la guía de 2026 bajó a un crecimiento orgánico del 1-2 %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 R. Sheffield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CooperSurgical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de Cooper (2018-2020) tras más de 20 años en banca de inversión (UBS, jefa global de tecnología médica; Credit Suisse) [35]. En 2025 el beneficio operativo non-GAAP de CooperSurgical fue de 331 M USD frente a 355 M presupuestados (93,3 %) [35]. Su división fue la que la empresa intentó vender en 2026 sin aceptar las ofertas, y carga con el litigio de los medios de cultivo embrionario [2,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Colleen E. Jay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2016 y presidenta desde el 2 de enero de 2026, en sustitución de Robert Weiss; preside la comisión de retribuciones [16, 39]. Fue presidenta de división global de Procter &amp; Gamble hasta 2017, donde dirigió la venta de las marcas de belleza especializada [35]. En la junta de 2026 recibió el 7,1 % de votos en contra, el más alto de los consejeros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2021: ingresos de 3.032-3.090 M USD y BPA non-GAAP de 13,60-14,00 USD (antes del desdoblamiento 4x de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3.308,4 M USD (por encima) y BPA non-GAAP de 12,42 USD, un 8,7 % por debajo del mínimo de la guía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2022: ingresos de 3.455-3.515 M USD (orgánico 6-8 %) y BPA non-GAAP de 12,30-12,60 USD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3.593,2 M USD (orgánico 10 %) y BPA non-GAAP de 12,81 USD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2023: ingresos de 3.809-3.877 M USD (orgánico 6-8 %) y BPA non-GAAP de 13,60-14,00 USD antes del desdoblamiento (3,40-3,50 USD después)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3.895,4 M USD (orgánico 8 %) y BPA non-GAAP de 3,69 USD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de 2024: ingresos de 4.080-4.158 M USD (orgánico 6-8 %) y BPA non-GAAP de 3,92-4,02 USD [14]. En agosto de 2025 rebajó los ingresos a 4.076-4.096 M USD (orgánico 4-4,5 %) y subió el BPA a 4,08-4,12 USD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4.092,4 M USD (orgánico 4 %, por debajo del 6-8 % inicial) y BPA non-GAAP de 4,13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Diciembre de 2025: ingresos de 4.299-4.338 M USD (orgánico 4,5-5,5 %), BPA non-GAAP de 4,45-4,60 USD y flujo libre de 575-625 M USD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actualizada el 9 de septiembre de 2026: ingresos de 4.229-4.252 M USD (orgánico 2-3 %) y BPA non-GAAP de 4,51-4,55 USD; se reafirma el objetivo de más de 2.200 M USD de flujo libre en 2026-2028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formado en casa: White, Andrews y McBride llevan casi veinte años en la empresa y el consejero delegado fue antes director financiero [35]. La credibilidad en beneficios es buena (el BPA non-GAAP cumplió o batió la guía en 2023, 2024 y 2025), pero en ingresos se ha deteriorado: el crecimiento orgánico se rebajó a mitad de 2025 y de nuevo en 2026, del 4,5-5,5 % al 2-3 % [3, 8, 11]. En 2021 no dio guía anual por la COVID-19 [48]. La revisión estratégica terminó sin vender CooperSurgical y Jana Partners pide ahora una búsqueda externa de nuevo consejero delegado y nuevo presidente [4, 54, 55]. No hay sucesor designado: el proxy solo describe una revisión anual de los planes de sucesión por la comisión de retribuciones [35].</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Colleen E.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 White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Carbone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E. Kurzius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Cynthia L. Lucchese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 Organización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S. Madden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Rivas,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Walter M. Rosebrough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Browning West)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S. Weiss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hasta enero de 2026; consejero delegado 2007-2018)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Keel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Robert S. Weiss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sobre las cuentas de FY2025; el control interno era ineficaz a 31-oct-2024 por una debilidad material en los controles informáticos de CooperSurgical en EE. UU., corregida a 31-oct-2025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3,19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 tras la reorganización interna de Vanguard; The Vanguard Group declaró el 11,57 % en diciembre de 2023 y el 0 % en marzo de 2026 al repartir la titularidad entre sus filiales [35, 50,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su 13G/A con datos a 31 de marzo de 2025, recogido en el proxy de 2026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(gestión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(septiembre de 2025) al 4,0 % (marzo de 2026) [35,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Browning West,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aproximada publicada por Reuters en noviembre de 2025; firmó un acuerdo de cooperación con la empresa en diciembre de 2025 [40,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Jana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pública desde octubre de 2025; sin 13D ni 13G presentados, por lo que su participación queda por debajo del 5 % [54,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compras en mercado de 3,18 M USD en los últimos 12 meses y ninguna venta [35,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27,8 M de acciones a 31 de julio de 2026 (21,7 M a 31 de octubre de 2025), sobre 217,9 M emitidas; 190,1 M en circulación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Albert G. White III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 R. Sheffield (presidenta de CooperSurgical)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Maria Rivas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Cynthia L. Lucchese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Keel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Walter M. Rosebrough Jr.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Lawrence E. Kurzius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16,05 M USD en 2025: 1,17 M de salario, 1,53 M de bonus y 13,29 M en opciones y acciones a partes iguales [35]. El bonus depende en un 85 % de ingresos (50 %), BPA non-GAAP (25 %) y flujo libre (10 %) y en un 15 % de objetivos cualitativos; se pagó al 100,9 % con los ingresos en el 97,9 % del presupuesto [35]. Las acciones de rendimiento de 2025 dependían solo del crecimiento del BPA y las de 2023-2025 pagaron el 200 %; desde 2026, un 25 % del variable a largo plazo depende del TSR relativo frente al S&amp;P Healthcare Equipment [35]. Con cambio de control y despido, 36 meses de salario y consolidación total [35]. Hay recuperación de tres ejercicios [35]. El voto en contra ronda el 9-10 % [36, 37, 38].</w:t>
      </w:r>
    </w:p>
    <w:p>
      <w:pPr>
        <w:pStyle w:val="Heading2"/>
      </w:pPr>
      <w:r>
        <w:t xml:space="preserve">Operaciones vinculadas, estructura de control y defensas</w:t>
      </w:r>
    </w:p>
    <w:p>
      <w:pPr>
        <w:spacing w:after="100"/>
      </w:pPr>
      <w:r>
        <w:t xml:space="preserve">Sin accionista de control: los mayores son gestoras indexadas (Vanguard 7,5 %, BlackRock 7,1 %) [35, 50]. Una sola clase de acciones, consejo elegido cada año por mayoría, acceso de los accionistas a la papeleta, sin píldora venenosa ni operaciones vinculadas en 2025 [35]. Nueve de diez consejeros son independientes según la empresa; Weiss, consejero delegado hasta 2018, se clasifica aquí como otro externo y cumple su último mandato [16, 35]. Desde 2025 sale Kozy y entran Carbone, Rosebrough y Keel [40, 42, 43, 44]. El acuerdo con Browning West limita el consejo a diez miembros y obliga a considerar a Rosebrough como presidente; el fondo acepta limitaciones de compra y de voto hasta 30 días antes del plazo de candidaturas de la junta de 2027 [40].</w:t>
      </w:r>
    </w:p>
    <w:p>
      <w:pPr>
        <w:pStyle w:val="Heading2"/>
      </w:pPr>
      <w:r>
        <w:t xml:space="preserve">Señales de alerta</w:t>
      </w:r>
    </w:p>
    <w:p>
      <w:pPr>
        <w:pStyle w:val="ListParagraph"/>
        <w:numPr>
          <w:ilvl w:val="0"/>
          <w:numId w:val="2"/>
        </w:numPr>
        <w:spacing w:after="60"/>
      </w:pPr>
      <w:r>
        <w:t xml:space="preserve">Doble campaña activista. Jana Partners pidió en septiembre de 2026 una búsqueda externa de nuevo consejero delegado y nuevo presidente, vender los activos de fertilidad y tecnología médica y buscar compradores para CooperVision, tras calificar la gestión de la revisión y de las recompras de ejemplo de cómo no dirigir una empresa [54, 55]. Browning West está sujeto a su acuerdo de cooperación hasta poco antes de la junta de 2027 [40]. A la fecha de corte no consta respuesta pública de la empresa ni cambios en la cúpula tras la carta de Jana.</w:t>
      </w:r>
    </w:p>
    <w:p>
      <w:pPr>
        <w:pStyle w:val="ListParagraph"/>
        <w:numPr>
          <w:ilvl w:val="0"/>
          <w:numId w:val="2"/>
        </w:numPr>
        <w:spacing w:after="60"/>
      </w:pPr>
      <w:r>
        <w:t xml:space="preserve">Revisión estratégica cerrada el 9 de septiembre de 2026 sin vender CooperSurgical: el consejo rechazó las ofertas por una desconexión de valoración que atribuye a un competidor en DIU no hormonales y al acuerdo del litigio de fertilidad; amplió la recompra de 2.000 a 3.000 M USD y dice seguir abierto a otras opciones. El mismo día rebajó la guía de ingresos de 2026 [3, 4].</w:t>
      </w:r>
    </w:p>
    <w:p>
      <w:pPr>
        <w:pStyle w:val="ListParagraph"/>
        <w:numPr>
          <w:ilvl w:val="0"/>
          <w:numId w:val="2"/>
        </w:numPr>
        <w:spacing w:after="60"/>
      </w:pPr>
      <w:r>
        <w:t xml:space="preserve">Cambio de presidente el 2 de enero de 2026 (Jay sustituye a Weiss) en plena presión activista; Weiss sigue en el consejo en su último mandato; Browning West propuso a Rosebrough como presidente y el acuerdo obliga al consejo a considerarlo antes de que termine el periodo de cooperación [16, 39, 40, 53].</w:t>
      </w:r>
    </w:p>
    <w:p>
      <w:pPr>
        <w:pStyle w:val="ListParagraph"/>
        <w:numPr>
          <w:ilvl w:val="0"/>
          <w:numId w:val="2"/>
        </w:numPr>
        <w:spacing w:after="60"/>
      </w:pPr>
      <w:r>
        <w:t xml:space="preserve">Litigio por la retirada de lotes de medios de cultivo embrionario de CooperSurgical: más de 140 demandas y 1.500 reclamantes; coste neto de 272,0 M USD en los nueve primeros meses de 2026 y pago de 306,8 M USD en agosto de 2026, 43,8 M de ellos por el seguro [2].</w:t>
      </w:r>
    </w:p>
    <w:p>
      <w:pPr>
        <w:pStyle w:val="ListParagraph"/>
        <w:numPr>
          <w:ilvl w:val="0"/>
          <w:numId w:val="2"/>
        </w:numPr>
        <w:spacing w:after="60"/>
      </w:pPr>
      <w:r>
        <w:t xml:space="preserve">Litigio con la HMRC británica por impuestos sobre nóminas de la compra de Sauflon (2014): el tribunal de primera instancia falló en marzo de 2026 mayoritariamente contra la empresa, que recurre; pérdida estimada de 0 a 71,7 M GBP más intereses [2].</w:t>
      </w:r>
    </w:p>
    <w:p>
      <w:pPr>
        <w:pStyle w:val="ListParagraph"/>
        <w:numPr>
          <w:ilvl w:val="0"/>
          <w:numId w:val="2"/>
        </w:numPr>
        <w:spacing w:after="60"/>
      </w:pPr>
      <w:r>
        <w:t xml:space="preserve">Barbara Carbone, consejera de la comisión de auditoría desde 2025, fue socia de KPMG, el auditor de Cooper, y participó durante más de dos décadas en la auditoría de la empresa hasta 2019 [35, 43].</w:t>
      </w:r>
    </w:p>
    <w:p>
      <w:pPr>
        <w:pStyle w:val="ListParagraph"/>
        <w:numPr>
          <w:ilvl w:val="0"/>
          <w:numId w:val="2"/>
        </w:numPr>
        <w:spacing w:after="60"/>
      </w:pPr>
      <w:r>
        <w:t xml:space="preserve">El auditor KPMG recibió un 4,7 % de votos en contra en 2026 y un 7,2 % en 2025, niveles altos para una ratificación de auditor [36,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del ejercicio 2026 se ha recortado tres veces. En diciembre de 2025 la empresa esperaba ventas de 4.299-4.338 M USD (crecimiento orgánico del 4,5-5,5 %) y un BPA non-GAAP de 4,45-4,60 USD [8]; en marzo subió el BPA a 4,58-4,66 USD [10]; en junio bajó las ventas a 4.285-4.321 M (orgánico del 3,5-4,5 %) [9]; y el 9 de septiembre de 2026 dejó las ventas en 4.229-4.252 M (orgánico del 2-3 %) y el BPA non-GAAP en 4,51-4,55 USD, con un cuarto trimestre de 1.057-1.080 M de ventas y 1,05-1,09 USD de BPA [3]. CooperVision crecerá un 1-2 % orgánico en el año (−2 % a 0 % en el cuarto trimestre, por la reducción de inventario en el canal de EE. UU.) y CooperSurgical un 4-5 %. Mantiene el objetivo de más de 2.200 M USD de flujo de caja libre acumulado en 2026-2028 [3]. El BPA non-GAAP excluye la amortización de intangibles y los costes de adquisición, integración y litigios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EBITDA y EBIT en la base non-GAAP de Cooper (sin amortización de intangibles ni costes de integración y litigios); BPA según las normas contables (GAAP). BPA non-GAAP del consenso: 4,53 USD (Stock Analysis, 16 analistas)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GAAP. BPA non-GAAP del consenso: 4,69 USD (Stock Analysis) [57,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GAAP [57]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 12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58,00 – 75,00</w:t>
            </w:r>
          </w:p>
        </w:tc>
      </w:tr>
    </w:tbl>
    <w:p>
      <w:pPr>
        <w:spacing w:after="160" w:before="0"/>
      </w:pPr>
    </w:p>
    <w:p>
      <w:pPr>
        <w:pStyle w:val="Heading2"/>
      </w:pPr>
      <w:r>
        <w:t xml:space="preserve">Revisiones de estimaciones</w:t>
      </w:r>
    </w:p>
    <w:p>
      <w:pPr>
        <w:spacing w:after="100"/>
      </w:pPr>
      <w:r>
        <w:t xml:space="preserve">Ninguna de las dos fuentes gratuitas publica en cifras la evolución del consenso a 3 y 12 meses, así que la referencia es la guía, que los analistas siguen de cerca: el consenso de BPA non-GAAP del ejercicio 2026 (4,53 USD) coincide con el centro de la última guía (4,51-4,55 USD) [3, 59]. Desde marzo, la previsión de BPA non-GAAP ha bajado un 2 % (de 4,58-4,66 a 4,51-4,55 USD) y la de ventas un 2,0 % (de 4.306-4.346 a 4.229-4.252 M USD) [3, 10]; el crecimiento orgánico esperado ha pasado del 4,5-5,5 % al 2-3 % [3, 8]. El motivo es CooperVision: menos crecimiento del mercado de lentes de contacto y la reducción de inventario en los distribuidores de EE. UU. [3]. El consenso de 2027 solo espera un 3,6 % más de BPA non-GAAP (4,69 USD) [59]. El precio objetivo medio de 17 analistas es 65,80 USD (58-75), con 5 recomendaciones de compra y 12 de mantener [58,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bl>
    <w:p>
      <w:pPr>
        <w:spacing w:after="160" w:before="0"/>
      </w:pPr>
    </w:p>
    <w:p>
      <w:pPr>
        <w:spacing w:after="100"/>
      </w:pPr>
      <w:r>
        <w:t xml:space="preserve">Cooper ha perdido un 22,2 % en un año, frente al +16,6 % del S&amp;P 500 y el +18,6 % del sector de salud, y en cinco años acumula una rentabilidad anual del −12,0 % [56]. Desde su último cierre en máximos de 52 semanas (89,83 USD el 5 de diciembre de 2025) ha caído un 40 % [56]. Más de un tercio de esa caída llegó en dos sesiones: el 9 y el 10 de septiembre de 2026 (−6,2 % y −14,7 %, de 67,69 a 54,17 USD, con un mínimo intradía de 51,01 USD), cuando la empresa recortó el crecimiento orgánico del año al 2-3 %, anunció que CooperVision reducía el inventario de sus distribuidores en EE. UU. y cerró la revisión estratégica sin vender CooperSurgical «given the offers received» [3, 4, 56]. La caída máxima en cinco años es del 52,1 % (septiembre de 2024 a septiembre de 2026) [56]. Las posiciones cortas son el 5,3 % del capital flotante [60].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son los cierres del último día de cada ejercicio (31 de octubre), ajustados por el desdoblamiento de 4 por 1 de 2024 [1] [56]. La acción cerró el ejercicio 2024 en 104,68 USD, el 2025 en 69,91 USD y cotiza hoy a 54,30 USD: en dos años ha perdido casi la mitad mientras las ventas crecían un 5 % en 2025 y el BPA non-GAAP pasaba de 3,69 a 4,13 USD [8, 56]. El mercado ha dejado de pagar la prima de un negocio de crecimiento: la guía de crecimiento orgánico de 2026 ha bajado del 4,5-5,5 % al 2-3 % [3, 8], la revisión estratégica no encontró comprador para CooperSurgical a un precio aceptable [4] y el bono a 10 años de EE. UU. está en el 5,28 % [61].</w:t>
      </w:r>
    </w:p>
    <w:p>
      <w:pPr>
        <w:pStyle w:val="Heading1"/>
      </w:pPr>
      <w:r>
        <w:t xml:space="preserve">18. Comparables cotizados</w:t>
      </w:r>
    </w:p>
    <w:p>
      <w:pPr>
        <w:pStyle w:val="Confianza"/>
        <w:spacing w:after="100"/>
      </w:pPr>
      <w:r>
        <w:t xml:space="preserve">Confianza: Media</w:t>
      </w:r>
    </w:p>
    <w:p>
      <w:pPr>
        <w:spacing w:after="100"/>
      </w:pPr>
      <w:r>
        <w:t xml:space="preserve">Cuatro empresas de salud visual (Alcon y Bausch + Lomb, rivales directos en lentes de contacto; EssilorLuxottica, en óptica; STAAR, en lentes intraoculares), Vitrolife como par de la parte de fertilidad de CooperSurgical y Align como fabricante de consumibles médicos de pago privado con tamaño similar. Haleon entra solo como referencia de salud de consumo. Johnson &amp; Johnson (Vision) no cotiza por separado y Hologic se excluye por estar sujeta a la compra por Blackstone y TPG anunciada en octubre de 2025 [65]; Teleflex y Dentsply Sirona se descartan por cambios de perímetro y beneficios en pérdidas que distorsionan los múltiplos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Vitrolife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1056"/>
        <w:gridCol w:w="1188"/>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9,7x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10,7x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2,6x / 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5,6 + 0,69 × crecimiento; R² = 0,48. Para el crecimiento esperado de la empresa (3,2 %), el múltiplo ajustado es 7,8x y el valor por acción, 37,83.</w:t>
      </w:r>
    </w:p>
    <w:p>
      <w:pPr>
        <w:spacing w:after="100"/>
      </w:pPr>
      <w:r>
        <w:t xml:space="preserve">Cooper cotiza a 10,3 veces el EBITDA de los próximos 12 meses, algo por encima de la mediana de los cinco comparables (9,7x; 9,5x-10,6x entre los percentiles 25 y 75) [57]. Ese EBITDA es el nuestro, 2,3 puntos de ventas por debajo del non-GAAP de la empresa; con el EBITDA non-GAAP del consenso el múltiplo baja a unas 9,5 veces. Aquí no hay un problema de márgenes: el 29,1 % de Cooper está en el rango de la muestra (17,5-29,2 %), así que la mediana no la penaliza ni la favorece. Lo que sí la separa es el crecimiento: Alcon y EssilorLuxottica esperan un 6-7,5 % y Cooper un 4 % [57]. Con la mediana, los comparables dan 50,46 USD, un 7,1 % por debajo del precio. No usamos el PER: el consenso de MarketScreener da el BPA contable para Cooper (3,40 USD en FY2026e, con la reversión fiscal y el litigio dentro) y no hemos podido homogeneizar la base de los demás [57, 59]. Fuera quedan STAAR (bajo la oferta de Alcon y con EBITDA negativo) y Hologic (en compra por Blackstone y TPG) [65, 67]. Haleon (11,8x) es solo una referencia de salud de consumo y no entra en la mediana.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Bancos de células madre de cordón umbilical, donantes y servicios de fertilidad; unos 250 M USD de ventas en los 12 meses a septiembre de 2021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libvatrep y AcuStream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más hasta 750 M por hitos (5,1 veces ventas con todos ellos); Xiidra vendió unos 487 M USD en 2022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(76 en efectivo más un derecho contingente de hasta 3); ventas de 4.100,5 M y EBITDA ajustado de 1.339,7 M USD en el ejercicio a septiembre de 2025; prima sobre el precio previo a los rumores [65,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1.500 M USD por las acciones; valor empresa estimado restando la caja neta de 2024 (230 M) y múltiplo sobre las ventas de 2024 (313,9 M). Se excluye: no consta su cierre en los documentos consultados [67,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75,45 – 106,68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3,6-6,4 veces ventas y, en la única con EBITDA publicado (Hologic), a 13,7 veces, con una prima del 46 % [63, 64, 65, 66]. Cooper cotiza en torno a 3 veces ventas, en la parte baja del rango, lo que sugiere margen para una operación de control. Pero la propia revisión estratégica de 2026 demuestra lo contrario para CooperSurgical: tras sondear a numerosas partes, el consejo rechazó las ofertas recibidas y la retuvo [4]. El accionariado está muy repartido (capital flotante del 99 %) [60] y no hay un accionista de control que bloquee una oferta por el conjunto; el precio que pagó Cooper por Generate (6,4 veces ventas) [63] queda muy por encima del que hoy el mercado da a toda la compañía.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queda fijado por la guía del 9 de septiembre: 4.240,5 M USD en el punto medio, un 3,6 % más [3]. En FY2027e proyectamos un 3,5 %: termina el desestocaje del canal de EE. UU., pero Asia-Pacífico cae un 5 % orgánico y CooperVision crece por debajo de su mercado [3, 17]. Subimos al 4,0-4,5 % en FY2028e-FY2030e, por debajo del 5,3 % que prevé Meticulous para las lentes [24] y del 8 % y 4 % orgánicos de FY2024 y FY2025 [8]. La fertilidad crece un 5 % orgánico, pero Paragard tendrá en Miudella su primer rival desde finales de 2026 [3, 26]. Desde FY2031e bajamos hasta el 3,0 % de FY2035e. Las ventas de FY2027e y FY2028e quedan un 0,5 % y un 1,2 % por debajo del consenso (4.409 y 4.620 M) [57].</w:t>
      </w:r>
    </w:p>
    <w:p>
      <w:pPr>
        <w:keepNext/>
        <w:spacing w:after="100"/>
      </w:pPr>
      <w:r>
        <w:rPr>
          <w:b/>
          <w:bCs/>
        </w:rPr>
        <w:t xml:space="preserve">Márgenes.</w:t>
      </w:r>
    </w:p>
    <w:p>
      <w:pPr>
        <w:spacing w:after="100"/>
      </w:pPr>
      <w:r>
        <w:t xml:space="preserve">El margen EBITDA pasa del 28,9 % de FY2026e (el EBITDA non-GAAP del consenso, 1.323 M, menos 2,3 puntos de ventas) al 31,5 % en FY2034e [57]. El punto de partida es el 29,7 % del 3T26 [3]; el 31,5 % final equivale al máximo histórico (31,2 % en FY2019) y se apoya en los ahorros de la reorganización de los servicios centrales del 4T25 [8]. El supuesto es que CooperVision mantiene su margen de segmento (35 % en el 3T26) y CooperSurgical sube desde el 22 % de FY2025, sin la salida de línea de producto [1, 2]. Nuestro EBITDA de FY2027e (1.282 M) y FY2028e (1.356 M) queda un 1 % por encima y un 1 % por debajo del consenso en la misma base [57].</w:t>
      </w:r>
    </w:p>
    <w:p>
      <w:pPr>
        <w:keepNext/>
        <w:spacing w:after="100"/>
      </w:pPr>
      <w:r>
        <w:rPr>
          <w:b/>
          <w:bCs/>
        </w:rPr>
        <w:t xml:space="preserve">Inversión y circulante.</w:t>
      </w:r>
    </w:p>
    <w:p>
      <w:pPr>
        <w:spacing w:after="100"/>
      </w:pPr>
      <w:r>
        <w:t xml:space="preserve">El capex baja del 8,0 % de las ventas en FY2026e al 7,0 % desde FY2031e. Fue del 10,9 % y 10,8 % en FY2023-FY2024 por la ampliación de capacidad de lentes diarias, del 8,9 % en FY2025 y del 6,4 % en el 3T26 [1, 2]. La amortización baja del 9,0 % al 7,0 %: la de intangibles adquiridos (199 M en FY2025, el 4,9 % de las ventas) se va agotando [1]. El circulante comercial es el 33 % de las ventas (33,6 % en FY2025, con 74 días de cobro): el plan de inventario y logística podría liberar caja, pero no lo suponemos [4]. Impuestos del 18-19 % sobre el EBIT, por encima del 13-15 % non-GAAP de FY2025-3T26 que permite el traspaso de la propiedad intelectual al Reino Unido, porque el EBIT ya resta la amortización de intangibles y por el impuesto mínimo global [3, 8].</w:t>
      </w:r>
    </w:p>
    <w:p>
      <w:pPr>
        <w:keepNext/>
        <w:spacing w:after="100"/>
      </w:pPr>
      <w:r>
        <w:rPr>
          <w:b/>
          <w:bCs/>
        </w:rPr>
        <w:t xml:space="preserve">Coste del capital.</w:t>
      </w:r>
    </w:p>
    <w:p>
      <w:pPr>
        <w:spacing w:after="100"/>
      </w:pPr>
      <w:r>
        <w:t xml:space="preserve">Tasa libre del 5,28 %: el Tesoro a 10 años del 7-oct-2026, último dato de FRED [61]. </w:t>
      </w:r>
      <w:r>
        <w:rPr>
          <w:b/>
        </w:rPr>
        <w:t xml:space="preserve">Beta de 0,89</w:t>
      </w:r>
      <w:r>
        <w:t xml:space="preserve">, ajustada mensual a cinco años frente al S&amp;P 500, tras comparar tres índices: frente al S&amp;P 500 sale 0,84 mensual y 0,98 semanal a cinco años (0,61 a dos años); frente a tecnología médica (IHI), 1,07; frente a salud (XLV), 1,39 [56]. Las dos últimas miden el comovimiento con el sector, no el riesgo de mercado del inversor diversificado; la de dos años está hundida por caídas propias (revisión estratégica). Con la semanal de 0,98, el WACC subiría al entorno del 9,6 % y el valor a unos 55 USD. Prima de mercado del 5,5 %, sin prima adicional. Deuda al 6,4 % antes de impuestos, estimación de su coste marginal: hoy paga un 4,5-4,7 % variable sobre SOFR, con 1.300 M cubiertos, y no tiene rating publicado [2]. Peso de la deuda del 20 % a mercado. Coste del capital propio del 10,18 % y WACC del 9,15 %.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y del crecimiento previsto del mercado de lentes (5,3 %) [24]. El valor terminal pesa el 60 % y equivale a 10 veces el EBITDA de FY2035e, en línea con las 10,3 veces actuales y muy por debajo del mínimo de los cierres de ejercicio de nueve años (14,7x): no contamos con que vuelva el múltiplo de 2017-2024. En el último año el capex iguala la amortización (7,0 %) y el circulante sigue en el 33 %.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M (3 % del NOPAT)</w:t>
            </w:r>
          </w:p>
        </w:tc>
      </w:tr>
    </w:tbl>
    <w:p>
      <w:pPr>
        <w:spacing w:after="160" w:before="0"/>
      </w:pPr>
    </w:p>
    <w:p>
      <w:pPr>
        <w:spacing w:after="100"/>
      </w:pPr>
      <w:r>
        <w:t xml:space="preserve">La proyección apenas necesita inversión neta de la amortización (reinversión acumulada de 318 M, el 3 % del NOPAT, con un capex bruto medio del 7,3 %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9 de septiembre: orgánico del 2-3 % (CooperVision 1-2 %, con el desestocaje del canal de EE. UU.; CooperSurgical 4-5 %); el resto es divisa [3]. El reparto entre precio y volumen es estimación propia: los cuatro fabricantes suben precios cada año [19,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el desestocaje, pero Asia-Pacífico cae un 5 % orgánico y CooperVision crece por debajo de su mercado [3, 17]; el consenso espera un 4,0 % [57].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debajo del mercado de lentes (5,3 % previsto [24]); fertilidad al 5 % orgánico [3] y Paragard con Miudella como rival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Diarias de silicona hidrogel y MiSight; CooperVision creció un 9 % y un 5 % orgánico en FY2024 y FY2025 [8, 14].</w:t>
            </w:r>
          </w:p>
        </w:tc>
      </w:tr>
    </w:tbl>
    <w:p>
      <w:pPr>
        <w:spacing w:after="160" w:before="0"/>
      </w:pPr>
    </w:p>
    <w:p>
      <w:pPr>
        <w:spacing w:after="100"/>
      </w:pPr>
      <w:r>
        <w:t xml:space="preserve">Sí para el caso base, porque pide menos que el mercado. El foso es estrecho pero real: cuatro fabricantes con más del 75 % de las lentes, barreras regulatorias y de fabricación, y subidas de precio anuales que Alcon y J&amp;J confirman [1, 19, 21]. CooperVision creció un 9 % y un 5 % orgánico en FY2024-FY2025 [8, 14]. La proyección (3,8 % anual) casi no reinvierte, así que la prueba es la cuota: con las ventas de CooperVision al ritmo del grupo y el mercado al 5,3 % [24], su cuota bajaría del 26,6 % al 23 % en FY2035e (estimación propia). Si la pérdida de cuota del 3T26 es estructural [3], eso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9,2 %)</w:t>
            </w:r>
          </w:p>
        </w:tc>
      </w:tr>
    </w:tbl>
    <w:p>
      <w:pPr>
        <w:spacing w:after="160" w:before="0"/>
      </w:pPr>
    </w:p>
    <w:p>
      <w:pPr>
        <w:spacing w:after="100"/>
      </w:pPr>
      <w:r>
        <w:t xml:space="preserve">El DCF da </w:t>
      </w:r>
      <w:r>
        <w:rPr>
          <w:b/>
        </w:rPr>
        <w:t xml:space="preserve">60,01 USD por acción</w:t>
      </w:r>
      <w:r>
        <w:t xml:space="preserve">, un 10,5 % sobre el precio, con un valor terminal que pesa el 60 %. </w:t>
      </w:r>
      <w:r>
        <w:rPr>
          <w:b/>
        </w:rPr>
        <w:t xml:space="preserve">El DCF inverso dice que el precio descuenta un crecimiento de las ventas del 2,3 % anual en FY2027e-FY2035e</w:t>
      </w:r>
      <w:r>
        <w:t xml:space="preserve">, frente al 3,8 % de nuestro caso base y al 5,3 % previsto para el mercado de lentes, </w:t>
      </w:r>
      <w:r>
        <w:rPr>
          <w:b/>
        </w:rPr>
        <w:t xml:space="preserve">o un margen EBITDA del 29,7 %</w:t>
      </w:r>
      <w:r>
        <w:t xml:space="preserve"> frente al 31,5 %: el del 3T26, sin mejora en diez años. Es decir, el mercado paga una Cooper que sigue perdiendo cuota y crece a la mitad que su mercado, cuando creció un 8 % orgánico en FY2024 y un 4 % en FY2025 [8]. La rentabilidad implícita en el precio es del 9,7 %, por encima de nuestro WACC (9,15 %) y del que pide hoy el mercado (8,2 %). No es un precio exigente, pero tampoco hay margen amplio: medio punto más de WACC baja el valor a 54,42 USD, medio punto menos de crecimiento terminal a 56,46 USD y dos puntos menos de margen en todos los años a 53,52 USD. Con la prima implícita del mercado (4,20 %), el WACC baja al 8,23 % y el DCF sube a 73,20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CooperVision sigue perdiendo cuota en diarias de silicona hidrogel frente a J&amp;J y Alcon, como en FY2025-FY2026 (el orgánico pasó del 9 % al 1-2 %), el desestocaje se alarga a FY2027 y Miudella se lleva parte de Paragard. Crecimiento dos puntos menor (3,5 menos en FY2027e), margen dos puntos menor y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desestocaje termina en el 4T26, CooperVision vuelve al 3-4 % con más fuerza comercial y CooperSurgical crece un 4-5 % con la fertilidad. El margen sube 0,3-0,5 puntos al año con los programas de costes, hasta el máximo histórico del 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CooperVision vuelve a crecer con su mercado (5-6 %) con MyDay, MiSight y la red comercial ampliada, y la fertilidad acelera. Crecimiento 1,5 puntos mayor y margen 1,5 puntos mayor. No incluye una venta de CooperSurgical ni una oferta por el grupo.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58,70 USD (+8,1 %).</w:t>
      </w:r>
    </w:p>
    <w:p>
      <w:pPr>
        <w:spacing w:after="100"/>
      </w:pPr>
      <w:r>
        <w:t xml:space="preserve">Con nuestro coste de capital el reparto compensa poco: el alcista vale 71,61 USD (+31,9 %) y el bajista 43,17 USD (−20,5 %), una asimetría de 1,56 veces; el valor ponderado (25/50/25) es de 58,70 USD. El bajista no es cosmético: es prolongar lo que ya ha pasado, con el crecimiento orgánico de CooperVision cayendo del 9 % de FY2024 al −2 % a 0 % guiado para el 4T26 [3, 8]. El alcista no supone nada que Cooper no haya hecho: crecer con su mercado, como hasta FY2024. Ninguno incluye una operación corporativa; Jana pide vender CooperSurgical y buscar comprador para CooperVision [54], y en la última compra de una cotizada del sector (Hologic) se pagó un 46 % de prima [65]. Con la prima que hoy pide el mercado, el bajista queda en 52,27 USD (−3,7 %) y el alcista en 87,18 USD (+60,6 %).</w:t>
      </w:r>
    </w:p>
    <w:p>
      <w:pPr>
        <w:pStyle w:val="Heading1"/>
      </w:pPr>
      <w:r>
        <w:t xml:space="preserve">22. Suma de partes</w:t>
      </w:r>
    </w:p>
    <w:p>
      <w:pPr>
        <w:pStyle w:val="Confianza"/>
        <w:spacing w:after="100"/>
      </w:pPr>
      <w:r>
        <w:t xml:space="preserve">Confianza: Media</w:t>
      </w:r>
    </w:p>
    <w:p>
      <w:pPr>
        <w:spacing w:after="100"/>
      </w:pPr>
      <w:r>
        <w:t xml:space="preserve">La suma de partes da 52,81 USD por acción, un 2,7 % por debajo del precio. CooperVision, a 10,5 veces sus 978 M de EBITDA de FY2026e (estimación propia), vale unos 10.270 M; CooperSurgical, a 10 veces 351 M, unos 3.510 M; los costes centrales restan unos 1.040 M. El valor empresa resultante (unos 12.740 M) es casi el de mercado (13.022 M). La lectura es que </w:t>
      </w:r>
      <w:r>
        <w:rPr>
          <w:b/>
        </w:rPr>
        <w:t xml:space="preserve">no hay descuento de conglomerado escondido</w:t>
      </w:r>
      <w:r>
        <w:t xml:space="preserve">: el precio ya paga cada negocio al múltiplo de sus pares, y por eso la venta de CooperSurgical no encontró comprador a un precio que mejorara el valor del accionista [4]. Para que la suma de partes diera un 20 % sobre el precio, CooperSurgical tendría que valer unas 16-17 veces su EBITDA, más que lo pagado por Hologic con prima de control (13,7x) [65]. La venta solo crearía valor si la caja se recomprara por debajo del valor intrínseco de CooperVision. Sin descuento de holding: los dos negocios comparten solo los servicios centrales.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Lentes de contacto: 2.835 M USD de ventas en FY2026e (guía) con un margen EBITDA del 34,5 %, estimación propia a partir del 35,0 % del 3T26 y el 32,9 % de FY2025 [1, 2, 3]. 10,5 veces: entre Bausch + Lomb (9,5x) y Alcon (10,6x), los dos rivales cotizados en lentes [57]. Más margen que ellos, pero hoy crece por debajo (1-2 % orgánico en FY2026 frente al 5-6 % de Alcon y J&amp;J) [3, 19].</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salud de la mujer: 1.405 M USD de ventas en FY2026e (guía) con un margen EBITDA del 25 %, estimación propia (25,9 % en el 3T26) [2, 3]. 10 veces: por debajo de Vitrolife (11,1x) y de las 13,7 veces que pagaron Blackstone y TPG por Hologic con prima de control [57, 65], porque el consejo no recibió en 2026 ofertas aceptables y Paragard tendrá competidor desde finales de 2026 [4, 26].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FY2026e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centrales no asignados (90,1 M en FY2025 y 24,6 M en el 3T26) [1, 2], capitalizados al múltiplo medio ponderado de los dos negocios.</w:t>
            </w:r>
          </w:p>
        </w:tc>
      </w:tr>
    </w:tbl>
    <w:p>
      <w:pPr>
        <w:spacing w:after="160" w:before="0"/>
      </w:pPr>
    </w:p>
    <w:p>
      <w:pPr>
        <w:spacing w:after="100"/>
      </w:pPr>
      <w:r>
        <w:rPr>
          <w:b/>
          <w:bCs/>
        </w:rPr>
        <w:t xml:space="preserve">Valor por acción por suma de partes:</w:t>
      </w:r>
      <w:r>
        <w:t xml:space="preserve"> 52,81 (-2,7 %); con ±1x en los múltiplos, 42,79 – 62,84.</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57,10 USD (+5,2 % sobre 54,30).</w:t>
      </w:r>
    </w:p>
    <w:p>
      <w:pPr>
        <w:spacing w:after="100"/>
      </w:pPr>
      <w:r>
        <w:t xml:space="preserve">El valor objetivo es de </w:t>
      </w:r>
      <w:r>
        <w:rPr>
          <w:b/>
        </w:rPr>
        <w:t xml:space="preserve">57,10 USD</w:t>
      </w:r>
      <w:r>
        <w:t xml:space="preserve"> (+5,2 %): DCF 40 %, escenarios ponderados 30 %, comparables 15 % y suma de partes 15 %. Mandan el DCF y los escenarios porque la pregunta es de flujos a largo plazo: cuánto crece CooperVision cuando acabe el desestocaje. Los comparables (50,46 USD) y la suma de partes (52,81 USD) son controles y dicen lo mismo: a múltiplos de sus pares, Cooper vale lo que cotiza o algo menos. Las transacciones no pesan: solo la de Hologic publica múltiplo de EBITDA (13,7x) y lleva prima de control; por ventas darían 85,12 USD. La dispersión es pequeña: los métodos ponderados quedan entre 50,46 y 60,01 USD, a menos de un 11 % del precio. El puente resta la deuda financiera (2.542,0 M), los arrendamientos financieros (2,2 M), las pensiones netas (10,1 M), los minoritarios (0,2 M) y los 272,7 M del litigio de fertilidad pagados en agosto, y suma la caja (154,7 M), todo a 31-jul-2026 [2]: deuda neta ajustada de 2.672 M, 2,2 veces el EBITDA. Sin arrendamientos operativos (US GAAP). Con la prima del mercado (4,20 %), el objetivo sube a 66,21 USD; el de 17 analistas está en 65,80 USD [58].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(20.1x) × 1.1 (tope: la mediana de 5 años, 46.2x,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+81,7 %</w:t>
            </w:r>
          </w:p>
        </w:tc>
      </w:tr>
    </w:tbl>
    <w:p>
      <w:pPr>
        <w:spacing w:after="160" w:before="0"/>
      </w:pPr>
    </w:p>
    <w:p>
      <w:pPr>
        <w:spacing w:after="100"/>
      </w:pPr>
      <w:r>
        <w:rPr>
          <w:b/>
          <w:bCs/>
        </w:rPr>
        <w:t xml:space="preserve">Objetivo a 12 meses (ponderado):</w:t>
      </w:r>
      <w:r>
        <w:t xml:space="preserve"> 68,35 USD · rentabilidad +25,9 % (base +20,5 %) · señal Comprar.</w:t>
      </w:r>
    </w:p>
    <w:p>
      <w:pPr>
        <w:spacing w:after="100"/>
      </w:pPr>
      <w:r>
        <w:t xml:space="preserve">Para comparar, con la regla v2 (historia al cierre, mismo precio): 17,1x / 20,1x / 26,1x, 14,1 % Mantener; con el tope anterior del base (×1,3, 14-oct mediodía): 48,8 % Comprar. Decide la regla vigente (v3 con tope ×1,1; METODO-VIGENTE.md).</w:t>
      </w:r>
    </w:p>
    <w:p>
      <w:pPr>
        <w:keepNext/>
        <w:spacing w:after="100"/>
      </w:pPr>
      <w:r>
        <w:rPr>
          <w:b/>
          <w:bCs/>
        </w:rPr>
        <w:t xml:space="preserve">Frente al consenso (solo contraste).</w:t>
      </w:r>
    </w:p>
    <w:p>
      <w:pPr>
        <w:spacing w:after="100"/>
      </w:pPr>
      <w:r>
        <w:t xml:space="preserve">Nuestro BPA base de FY2028e (2,96) se separa un -26,4 % del consenso (4,02) y nuestro precio base (59,50) un -9,6 % del objetivo medio de los analistas (65,80).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57,10 (+5,2 %) frente al objetivo a 12 meses ponderado 61,95 (+14,1 % con dividendo; base +9,6 %).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diciembre de 2026 (fecha sin anunciar)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tras el desestocaje: un orgánico de CooperVision del 3 % o más validaría el caso base; por debajo del 2 %,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del consejo a Jana Partners (nuevo consejero delegado y presidente, venta de negocios)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relevo o una venta de CooperSurgical cambiaría el perfil de la tesis; Browning West queda libre poco antes del plazo de candidaturas de 2027 [40, 54].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quedan unos 1.500 M USD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Equivalen al 14,5 % de la capitalización; a 54 USD compran por debajo de nuestro DCF (60,01 USD)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Miudella (Sebela, licencia de Organon), primer DIU no hormonal rival de Paragard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consulta y cirugía (824 M de ventas en FY2025); la empresa no desglosa Paragard [1,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juicio piloto por las roturas de Paragard (4.156 casos federales)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primero (feb-2026) fue a favor de Teva; un fallo adverso abriría una provisión hoy inexistente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el tribunal fiscal británico por la compra de Sauflon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posible de 0 a 71,7 M GBP más intereses, sin provisionar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 sigue perdiendo cuota en lentes diarias de silicona hidrogel frente a J&amp;J y Alcon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MyDay y MiSight, red comercial ampliada y el centro de I+D abierto en septiembre de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CooperVision por debajo del 3 % en el 1T27 y el 2T27, con Alcon y J&amp;J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desestocaje del canal de EE. UU. dura más o llega a EMEA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(un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mitad ya se hizo en el 3T26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en negativo en el 1T27; días de inventario del canal sin publicar.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estancado: los programas de costes no compensan aranceles, divisa y costes de fabricación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(dos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los servicios centrales del 4T25 y margen operativo non-GAAP del 26 % en el 3T26 [3,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non-GAAP por debajo del 66 %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Paragard: competidor nuevo (Miudella) y litigio por roturas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(estimación propia: caída de un tercio de las ventas de Paragard)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Paragard es el único DIU de cobre con diez años de uso en EE. UU.; el primer juicio piloto lo ganó Teva [26,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consulta y cirugía en negativo; fallo del juicio de abril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que rente por debajo de su coste, como las de CooperSurgical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2.000 M a un ROIC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dado prioridad a las recompras y el consejo tiene dos consejeros nuevos propuestos por accionistas [4, 40].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superior a 1.000 M o deuda neta por encima de 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o de la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−9,3 % (WACC + 0,5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1,9 veces el EBITDA, con 1.300 M cubiertos con permutas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fin de las ventajas del traspaso de la propiedad intelectual al Reino Unido o impuesto mínimo global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(estimación propia: tres puntos más de tipo efectivo)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inspección de HMRC cerró en 2026 sin ajustes y liberó una reserva de 307,2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non-GAAP por encima del 18 % en la guía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Inestabilidad de la dirección por el activismo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casi veinte años en la empresa; consejo renovado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consejero delegado o del director financiero sin sucesor.</w:t>
            </w:r>
          </w:p>
        </w:tc>
      </w:tr>
    </w:tbl>
    <w:p>
      <w:pPr>
        <w:spacing w:after="160" w:before="0"/>
      </w:pPr>
    </w:p>
    <w:p>
      <w:pPr>
        <w:pStyle w:val="Heading2"/>
      </w:pPr>
      <w:r>
        <w:t xml:space="preserve">Pre-mortem</w:t>
      </w:r>
    </w:p>
    <w:p>
      <w:pPr>
        <w:spacing w:after="100"/>
      </w:pPr>
      <w:r>
        <w:t xml:space="preserve">Octubre de 2029: la acción vale unos 33 USD, un 40 % menos. Empezó con la guía de diciembre de 2026: el desestocaje no fue el final, sino la primera señal. Las ópticas de EE. UU. habían reducido inventario porque J&amp;J y Alcon les daban mejores condiciones en diarias de silicona hidrogel, y CooperVision creció un 1 % en FY2027 y un 2 % en FY2028, con Asia-Pacífico en negativo. MyDay perdió los contratos de las grandes cadenas en la renovación. Para defender volumen, Cooper bajó precios y el margen EBITDA retrocedió al 27 %. En CooperSurgical, Miudella se llevó un tercio de Paragard y el segundo juicio por roturas acabó en una provisión. Ante la presión de Jana, el consejo cambió de consejero delegado en 2027; el nuevo equipo vendió CooperSurgical a 9 veces el EBITDA y gastó la caja en recompras a 60 USD. El mercado pasó a valorar a Cooper como Bausch + Lomb: a 8 veces el EBITDA. Las señales estaban a la vista: un orgánico de CooperVision por debajo del de Alcon tres trimestres seguidos, los días de cobro subiendo (de 64 en FY2021 a 74 en FY2025) y el silencio de la dirección sobre el inventario del canal [1, 17].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la seguridad y calidad de producto: la retirada de tres lotes del medio de cultivo LifeGlobal en diciembre de 2023 acabó en más de 140 demandas y más de 1.500 reclamantes, con un cargo neto de 272,0 M USD en los nueve meses a julio de 2026 (325,8 M de provisión menos 53,8 M de seguros) [2]. El segundo es la responsabilidad por producto en Paragard, con 4.156 demandas por roturas del DIU en la vía federal (agosto de 2026) [28]. El tercero, los plásticos de un solo uso: el paso a diarias multiplica envases y residuos, y Cooper advierte de que la regulación sobre plásticos y envases puede encarecer la fabricación [1]; su informe de sostenibilidad de 2025 publica por primera vez las emisiones de alcance 3 y se alinea por primera vez con el TCFD, además de seguir el estándar SASB [34]. También pesan la fiscalidad (litigio con la HMRC por Sauflon, hasta 71,7 M GBP más intereses) [2] y el gobierno corporativo, reforzado con dos consejeros nuevos tras la presión de los accionistas [4].</w:t>
      </w:r>
    </w:p>
    <w:p>
      <w:pPr>
        <w:pStyle w:val="Heading2"/>
      </w:pPr>
      <w:r>
        <w:t xml:space="preserve">Controversias</w:t>
      </w:r>
    </w:p>
    <w:p>
      <w:pPr>
        <w:spacing w:after="100"/>
      </w:pPr>
      <w:r>
        <w:t xml:space="preserve">Medio de cultivo LifeGlobal: retirada voluntaria en diciembre de 2023; en agosto de 2026 se pagaron 306,8 M USD (43,8 M por el seguro) para cerrar casi todas las reclamaciones [2]. Paragard: litigio federal consolidado por roturas del DIU en el distrito norte de Georgia, en el que Teva, que lo vendió a CooperSurgical en 2017, figura como demandada; Cooper no lo cuantifica en sus cuentas [1]; el primer juicio piloto terminó el 3 de febrero de 2026 con veredicto favorable a Teva, el segundo está fijado para el 12 de abril de 2027 y había otro juicio estatal en Nueva Jersey previsto para el 14 de septiembre de 2026 [28, 33]. Fiscalidad: el tribunal fiscal británico dio la razón a la HMRC el 2 de marzo de 2026 sobre retenciones en la compra de Sauflon; Cooper recurre y no ha provisionado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inventario tenía el canal de EE. UU. antes y después del desestocaje, y por qué se acumuló?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1-2 % de FY2026 es un bache o una pérdida de cuota; la diferencia entre el caso base y el bajista son 17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CooperVision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precio y de volumen tuvo CooperVision en FY2026, por gama (diarias de silicona hidrogel, mensuales, esféricas)?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Alcon y J&amp;J crecen con subidas de precio; si Cooper crece solo con precio, el volumen ya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dejaría el consejo de recomprar y qué hará con la caja si no se vende CooperSurgical?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Quedan unos 1.500 M autorizados, el 14,5 % de la capitalización: a 54 USD compran por debajo del valor; a 70 USD, por encima.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CooperSurgical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vende Paragard y qué cuota espera perder frente a Miudella?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desglosa; es la parte de más margen de consulta y cirugía (824 M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estratégica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rango de ofertas recibió el consejo por CooperSurgical y por qué no las aceptó?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Nuestra suma de partes da 10 veces el EBITDA a CooperSurgical; una oferta por encima de 12 veces habría creado valor si se recompraba con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tiene el consejo para el consejero delegado, en el cargo desde 2018, y cómo responderá a la carta de Jana?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sucesor designado y Jana pide una búsqueda externa; el acuerdo de cooperación con Browning West vence antes de la junta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de caja espera en FY2027-FY2030 tras el impuesto mínimo global?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tres puntos de tipo efectivo restan en torno al 4 %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puede liberar el nuevo plan de inventario y logística?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es el 33,6 % de las ventas y los días de cobro han pasado de 64 a 74 en cuatro años.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1 explicados. Fuentes: 68 (49 primarias); citas distintas en el texto: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33,6 % real: genera una variación de circulante de 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737 M de flujo libre medio en sus tres primeros años, frente a 312 M de media real en los tres últimos: justifica el salto (circulante, inversión, márgenes) o ajusta los supuestos. Explicación: La caja de FY2023-FY2025 está deprimida por un capex del 10,8-10,9 % de las ventas (capacidad de lentes diarias) y por la reorganización; en FY2025 ya fue del 8,9 % y el flujo libre subió a 434 M. La empresa se compromete a más de 2.200 M de flujo libre en FY2026-FY2028 (unos 733 M al año); nuestro flujo antes de intereses (737 M de media) deja unos 650 M después de intereses, por debajo de ese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14,1 %: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del 10-K de FY2025 y del 10-Q del 3T26: no citan calificación; 2) 8-K de la enmienda del préstamo de febrero de 2026: permite fijar el precio por rating, pero no da la nota; 3) búsqueda de calificaciones de Moody's y S&amp;P: sin resultados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Paragard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y análisis de gestión del 10-K de FY2025: solo cualitativo; 2) notas de resultados de los ocho trimestres: no la desglosan; 3) transcripciones del 2T26 y del 3T26: solo dicen que está plana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pagado en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 de los 10-K de FY2019, FY2022 y FY2025: precio y asignación, sin EBITDA de la adquirida; 2) Company Facts XBRL: sin datos pro forma de EBITDA; 3) no se puede derivar sin el EBITDA de cada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calificación de Morningstar Sustainalytics de The Cooper Companies (se carga con JavaScript y no muestra la puntuación ni la fecha); 2) búsqueda de la calificación de MSCI y de la puntuación de CDP y agregador KnowESG (sin letra de MSCI publicada; KnowESG responde 403); 3) nota de prensa del informe de sostenibilidad de 2025 de la compañía (no cita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Jana Partners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ningún Schedule 13D ni 13G de Jana Partners sobre Cooper, por lo que no supera el 5 %; 2) artículos de MD+DI y MassDevice que la citan: acceso denegado (403); 3) MedTech Dive y Goldesel describen la carta de septiembre de 2026 sin dar la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del ejercicio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diciembre de 2020: solo guía del primer trimestre por la COVID-19; 2) nota del tercer trimestre de 2021 no revisada porque la empresa declaró que no daba guía anual; 3) 10-K de 2021 no contiene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(solo gráfico, sin cifras); 2) Stock Analysis, previsiones (sin histórico gratuito); 3) derivado de la evolución de la guía de la empresa en las cuatro notas de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del cuarto trimestre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8-K de la empresa en EDGAR (sin anuncio); 2) calendario de MarketScreener (sin eventos futuros); 3) derivada del calendario habitual: los del ejercicio 2025 se publicaron el 4 de diciembre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(cerrado el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https://www.sec.gov/Archives/edgar/data/711404/000162828025055615/coo-20251031.htm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tercer trimestre fiscal 2026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https://www.sec.gov/Archives/edgar/data/711404/000162828026061160/coo-20260731.htm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cierre de la revisión estratégica y ampliación de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https://www.sec.gov/Archives/edgar/data/711404/000162828026061155/cooperq32026pressreleaseex.htm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https://www.sec.gov/Archives/edgar/data/711404/000071140422000053/coo-20221031.htm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https://www.sec.gov/Archives/edgar/data/711404/000071140419000051/coo20191031-10k.htm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The Cooper Companies (CIK 711404)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https://data.sec.gov/api/xbrl/companyfacts/CIK0000711404.json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https://www.sec.gov/Archives/edgar/data/711404/000162828026040823/cooperq22026pressrelease.htm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https://www.sec.gov/Archives/edgar/data/711404/000162828026015231/cooperq12026pressrelease.htm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tercer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https://www.sec.gov/Archives/edgar/data/711404/000071140425000046/cooperq32025pressrelease.htm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segundo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https://www.sec.gov/Archives/edgar/data/711404/000071140425000036/cooperq22025pressrelease.htm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primer trimestre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https://www.sec.gov/Archives/edgar/data/711404/000071140425000010/cooperq12025pressrelease.htm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cuarto trimestre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https://www.sec.gov/Archives/edgar/data/711404/000071140424000069/cooperq42024pressrelease.htm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enmienda n.º 3 del préstamo a plazo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https://www.sec.gov/Archives/edgar/data/711404/000119312526036476/d24828d8k.htm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nueva presidenta del consejo e inicio de la revisión estratégica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 SEC EDGAR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https://www.sec.gov/Archives/edgar/data/711404/000162828025055405/cooperq42025pressreleaseex.htm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3T26 (9-sep-2026)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https://www.tradingkey.com/news/transcripts/262159666-tradingkey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 (4-jun-2026)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https://www.fool.com/earnings/call-transcripts/2026/06/05/cooper-coo-q2-2026-earnings-transcript/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https://www.sec.gov/Archives/edgar/data/1167379/000116737926000014/alc-20251231.htm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https://www.sec.gov/Archives/edgar/data/1860742/000186074226000007/blco-20251231.htm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https://www.sec.gov/Archives/edgar/data/200406/000020040626000016/jnj-20251228.htm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Vitrolife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https://mb.cision.com/Main/1031/4325108/4006207.pdf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 Contact Lenses Market Size, 2025-2034 (GMI13281)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https://www.gminsights.com/industry-analysis/soft-contact-lenses-market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Contact Lens Market to Reach $14.57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https://www.meticulousresearch.com/pressrelease/1127/contact-lens-market-2032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IVF Devices and Consumables Market Report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https://www.imarcgroup.com/ivf-devices-consumables-market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 Completes Agreement to License MIUDELLA, Sebela Pharmaceuticals' Hormone-Free Intrauterine Device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https://www.organon.com/news/organon-completes-agreement-to-license-miudella-sebela-pharmaceuticals-hormone-free-intrauterine-device/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guidance on employer fertility benefits (DOL, HHS y Tesoro)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Labor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https://www.dol.gov/newsroom/releases/osec/osec20251016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Paragard IUD Bellwether Trial Rescheduled for April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Examiner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https://www.legalexaminer.com/lestaffer/health/second-paragard-iud-bellwether-trial-rescheduled-for-april-2027/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Swedish Kronor to U.S. Dollar Spot Exchange Rate, media anual (AEXSDUS)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https://fred.stlouisfed.org/series/AEXSDUS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https://www.sec.gov/Archives/edgar/data/711404/000071140417000044/coo_20171031-10k.htm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https://www.sec.gov/Archives/edgar/data/711404/000071140423000072/coo-20231031.htm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https://www.sec.gov/Archives/edgar/data/711404/000071140421000038/coo-20211031.htm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Teva Pharmaceutical Industries Ltd.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https://www.sec.gov/Archives/edgar/data/818686/000119312526323619/d118828d10q.htm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Releases 2025 Corporate Sustainability Report With Scope 3 Emissions Disclosure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https://www.visionmonday.com/eyecare/article/coopercompanies-releases-2025-corporate-sustainability-report-with-scope-3-emissions-disclosure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https://www.sec.gov/Archives/edgar/data/711404/000162828026011110/coo-20260224.htm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https://www.sec.gov/Archives/edgar/data/711404/000162828026024273/coo-20260407.htm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https://www.sec.gov/Archives/edgar/data/711404/000071140425000022/coo-20250402.htm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https://www.sec.gov/Archives/edgar/data/711404/000071140424000021/coo-20240319.htm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Robert Weiss como presidente y nombramiento de Colleen Jay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https://www.sec.gov/Archives/edgar/data/711404/000162828025055405/coo-20251204.htm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con Browning West y nombramiento de Walter Rosebrough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https://www.sec.gov/Archives/edgar/data/711404/000119312525331117/d96045d8k.htm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Brian Andrews asume el cargo de principal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https://www.sec.gov/Archives/edgar/data/711404/000162828025056796/coo-20251209.htm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Paul Keel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https://www.sec.gov/Archives/edgar/data/711404/000162828026029853/coo-20260504.htm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Barbara Carbone como consejera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https://www.sec.gov/Archives/edgar/data/711404/000071140425000027/coo-20250430.htm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retirada del consejero William Kozy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https://www.sec.gov/Archives/edgar/data/711404/000071140425000001/coo-20250131.htm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2023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https://www.sec.gov/Archives/edgar/data/711404/000071140423000068/cooperq42023pressrelease.htm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2022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https://www.sec.gov/Archives/edgar/data/711404/000071140422000046/cooperq42022pressrelease.htm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https://www.sec.gov/Archives/edgar/data/711404/000071140421000030/cooperq42021pressrelease.htm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cuarto trimestre y del ejercicio 2020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https://www.sec.gov/Archives/edgar/data/711404/000071140420000037/cooperq42020pressrelea.htm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The Cooper Companies, 9 de octubre de 2025 a 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https://www.sec.gov/cgi-bin/browse-edgar?action=getcompany&amp;CIK=0000711404&amp;type=4&amp;dateb=&amp;owner=include&amp;count=40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https://www.sec.gov/Archives/edgar/data/711404/000210011926000305/xslSCHEDULE_13G_X02/primary_doc.xml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https://www.sec.gov/Archives/edgar/data/711404/000010290926001076/xslSCHEDULE_13G_X02/primary_doc.xml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sobre The Cooper Companies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https://www.sec.gov/Archives/edgar/data/711404/000142284926000091/xslSCHEDULE_13G_X02/primary_doc.xml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Browning West urges contact lens maker Cooper Cos to refresh board or face proxy fight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reproducido por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https://www.itiger.com/news/2584947143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urges Cooper Companies to replace CEO, sell some 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MedTech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https://www.medtechdive.com/news/activist-investor-urges-cooper-companies-to-replace-ceo-sell-some-assets/830910/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Jana Partners drängt Cooper Companies zur Prüfung eines Verkaufs der Kerngeschäfte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https://goldesel.de/aktien/news/jana-partners-drangt-cooper-companies-zur-prufung-eines-verkaufs-der-kerngeschafte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COO, SPY, XLV, IHI y ^GSPC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y datos financieros de Cooper, Alcon, Bausch + Lomb, EssilorLuxottica, STAAR Surgical, Vitrolife, Align Technology y Haleon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COO y de los comparables (capitalización, acciones, ROIC, FCF yield, posiciones cortas)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 for $1.6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 for up to $79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Announces Financial Results for Fourth Quarter of Fiscal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https://www.sec.gov/Archives/edgar/data/859737/000114036125040182/ef20058177_ex99-1.htm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Alcon to acquire STAAR Surgical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STAAR Surgical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https://www.sec.gov/Archives/edgar/data/718937/000119312525173090/d30729dex991.htm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(Nasdaq: COO), en dólares, como las cuentas (US GAAP). El ejercicio va de noviembre a octubre y se nombra por el año en que termina (FY2025 = nov-2024 a oct-2025). El precio es el cierre del 8-oct-2026 (54,30 USD), comprobado en tres proveedores: a la fecha de corte la sesión del 9 de octubre en Nueva York no había abierto [56]. Las acciones (190,6 M diluidas) son las de la portada del 10-Q (3-sep-2026) más la dilución del 3T26; el puente es del 31-jul-2026 e incluye como deuda los 272,7 M del litigio de los medios de fertilidad, pagados en agosto [2]. </w:t>
      </w:r>
      <w:r>
        <w:rPr>
          <w:b/>
        </w:rPr>
        <w:t xml:space="preserve">El EBITDA de todo el informe es el contable más las partidas no recurrentes</w:t>
      </w:r>
      <w:r>
        <w:t xml:space="preserve"> (litigio de fertilidad, salida de una línea de producto, revisión estratégica); queda 2,3 puntos de ventas por debajo del EBITDA non-GAAP de la empresa y del consenso, que excluyen también integración, regulación europea y reorganización, partidas que se repiten cada año; el consenso se ajusta con esa diferencia, medida en los últimos 12 meses. El BPA de las cuentas es el contable; el non-GAAP de la empresa (sin amortización de intangibles adquiridos) solo aparece en los textos y se dice. El consenso de BPA de MarketScreener es contable; el non-GAAP sale de Stock Analysis [57, 59]. Los arrendamientos operativos no van a la deuda, al puente ni al capital invertido. El BPA y las acciones de FY2017-FY2021 están ajustados por el desdoblamiento 4 por 1 de 2024. El bono a 10 años es el del 7-oct-2026, último dato de FRED [61]. No hay transcripción oficial de las conferencias: se han usado las de terceros [17, 18]. El EBITDA de los últimos y próximos 12 meses de los comparables pondera dos ejercicios de MarketScreener [57].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The Cooper Companies, Inc. (COO)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CooperVision</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1674.1</c:v>
                </c:pt>
                <c:pt idx="1">
                  <c:v>1882</c:v>
                </c:pt>
                <c:pt idx="2">
                  <c:v>1972.9</c:v>
                </c:pt>
                <c:pt idx="3">
                  <c:v>1843</c:v>
                </c:pt>
                <c:pt idx="4">
                  <c:v>2152</c:v>
                </c:pt>
                <c:pt idx="5">
                  <c:v>2243.3</c:v>
                </c:pt>
                <c:pt idx="6">
                  <c:v>2423.7</c:v>
                </c:pt>
                <c:pt idx="7">
                  <c:v>2609.4</c:v>
                </c:pt>
                <c:pt idx="8">
                  <c:v>2743.8</c:v>
                </c:pt>
              </c:numCache>
            </c:numRef>
          </c:val>
        </c:ser>
        <c:ser>
          <c:idx val="1"/>
          <c:order val="1"/>
          <c:tx>
            <c:strRef>
              <c:f>Hoja1!$C$1</c:f>
              <c:strCache>
                <c:ptCount val="1"/>
                <c:pt idx="0">
                  <c:v>CooperSurgical</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464.9</c:v>
                </c:pt>
                <c:pt idx="1">
                  <c:v>650.8</c:v>
                </c:pt>
                <c:pt idx="2">
                  <c:v>680.5</c:v>
                </c:pt>
                <c:pt idx="3">
                  <c:v>587.9</c:v>
                </c:pt>
                <c:pt idx="4">
                  <c:v>770.5</c:v>
                </c:pt>
                <c:pt idx="5">
                  <c:v>1065.1</c:v>
                </c:pt>
                <c:pt idx="6">
                  <c:v>1169.5</c:v>
                </c:pt>
                <c:pt idx="7">
                  <c:v>1286</c:v>
                </c:pt>
                <c:pt idx="8">
                  <c:v>1348.6</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0</c:v>
                </c:pt>
                <c:pt idx="3">
                  <c:v>0</c:v>
                </c:pt>
                <c:pt idx="4">
                  <c:v>0</c:v>
                </c:pt>
                <c:pt idx="5">
                  <c:v>0</c:v>
                </c:pt>
                <c:pt idx="6">
                  <c:v>0</c:v>
                </c:pt>
                <c:pt idx="7">
                  <c:v>0</c:v>
                </c:pt>
                <c:pt idx="8">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CooperVision</c:v>
                </c:pt>
                <c:pt idx="1">
                  <c:v>CooperSurgical</c:v>
                </c:pt>
                <c:pt idx="2">
                  <c:v>Corporativo</c:v>
                </c:pt>
              </c:strCache>
            </c:strRef>
          </c:cat>
          <c:val>
            <c:numRef>
              <c:f>Hoja1!$B$2:$B$4</c:f>
              <c:numCache>
                <c:formatCode>General</c:formatCode>
                <c:ptCount val="3"/>
                <c:pt idx="0">
                  <c:v>67</c:v>
                </c:pt>
                <c:pt idx="1">
                  <c:v>33</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50.2</c:v>
                </c:pt>
                <c:pt idx="1">
                  <c:v>30.6</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(2026e-2030e: estimación propia al 5,3 % anual de Meticulous Research sobre la base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10300</c:v>
                </c:pt>
                <c:pt idx="1">
                  <c:v>10846</c:v>
                </c:pt>
                <c:pt idx="2">
                  <c:v>11421</c:v>
                </c:pt>
                <c:pt idx="3">
                  <c:v>12026</c:v>
                </c:pt>
                <c:pt idx="4">
                  <c:v>12663</c:v>
                </c:pt>
                <c:pt idx="5">
                  <c:v>13334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Johnson &amp; Johnson (Vision, ACUVUE)</c:v>
                </c:pt>
                <c:pt idx="2">
                  <c:v>Alcon (Vision Care)</c:v>
                </c:pt>
                <c:pt idx="3">
                  <c:v>Bausch + Lomb (Vision Care)</c:v>
                </c:pt>
                <c:pt idx="4">
                  <c:v>Vitrolife Group</c:v>
                </c:pt>
                <c:pt idx="5">
                  <c:v>Organon / Sebela (Miudella)</c:v>
                </c:pt>
              </c:strCache>
            </c:strRef>
          </c:cat>
          <c:val>
            <c:numRef>
              <c:f>Hoja1!$B$2:$B$7</c:f>
              <c:numCache>
                <c:formatCode>0.0"%"</c:formatCode>
                <c:ptCount val="6"/>
                <c:pt idx="0">
                  <c:v>18</c:v>
                </c:pt>
                <c:pt idx="1">
                  <c:v>12.2</c:v>
                </c:pt>
                <c:pt idx="2">
                  <c:v>21.5</c:v>
                </c:pt>
                <c:pt idx="3">
                  <c:v>29</c:v>
                </c:pt>
                <c:pt idx="4">
                  <c:v>15.2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2139</c:v>
                </c:pt>
                <c:pt idx="1">
                  <c:v>2532.8</c:v>
                </c:pt>
                <c:pt idx="2">
                  <c:v>2653.4</c:v>
                </c:pt>
                <c:pt idx="3">
                  <c:v>2430.9</c:v>
                </c:pt>
                <c:pt idx="4">
                  <c:v>2922.5</c:v>
                </c:pt>
                <c:pt idx="5">
                  <c:v>3308.4</c:v>
                </c:pt>
                <c:pt idx="6">
                  <c:v>3593.2</c:v>
                </c:pt>
                <c:pt idx="7">
                  <c:v>3895.4</c:v>
                </c:pt>
                <c:pt idx="8">
                  <c:v>4092.4</c:v>
                </c:pt>
                <c:pt idx="9">
                  <c:v>4241</c:v>
                </c:pt>
                <c:pt idx="10">
                  <c:v>4389</c:v>
                </c:pt>
                <c:pt idx="11">
                  <c:v>4565</c:v>
                </c:pt>
                <c:pt idx="12">
                  <c:v>4770</c:v>
                </c:pt>
                <c:pt idx="13">
                  <c:v>4985</c:v>
                </c:pt>
                <c:pt idx="14">
                  <c:v>5194</c:v>
                </c:pt>
                <c:pt idx="15">
                  <c:v>5391</c:v>
                </c:pt>
                <c:pt idx="16">
                  <c:v>5580</c:v>
                </c:pt>
                <c:pt idx="17">
                  <c:v>5759</c:v>
                </c:pt>
                <c:pt idx="18">
                  <c:v>5931</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617.5</c:v>
                </c:pt>
                <c:pt idx="1">
                  <c:v>678.2</c:v>
                </c:pt>
                <c:pt idx="2">
                  <c:v>827.5</c:v>
                </c:pt>
                <c:pt idx="3">
                  <c:v>598.9</c:v>
                </c:pt>
                <c:pt idx="4">
                  <c:v>815.1</c:v>
                </c:pt>
                <c:pt idx="5">
                  <c:v>853.7</c:v>
                </c:pt>
                <c:pt idx="6">
                  <c:v>932.8</c:v>
                </c:pt>
                <c:pt idx="7">
                  <c:v>1084.8</c:v>
                </c:pt>
                <c:pt idx="8">
                  <c:v>1112.1</c:v>
                </c:pt>
                <c:pt idx="9">
                  <c:v>1226</c:v>
                </c:pt>
                <c:pt idx="10">
                  <c:v>1282</c:v>
                </c:pt>
                <c:pt idx="11">
                  <c:v>1356</c:v>
                </c:pt>
                <c:pt idx="12">
                  <c:v>1441</c:v>
                </c:pt>
                <c:pt idx="13">
                  <c:v>1525</c:v>
                </c:pt>
                <c:pt idx="14">
                  <c:v>1605</c:v>
                </c:pt>
                <c:pt idx="15">
                  <c:v>1677</c:v>
                </c:pt>
                <c:pt idx="16">
                  <c:v>1747</c:v>
                </c:pt>
                <c:pt idx="17">
                  <c:v>1814</c:v>
                </c:pt>
                <c:pt idx="18">
                  <c:v>1868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63.9</c:v>
                </c:pt>
                <c:pt idx="1">
                  <c:v>64.4</c:v>
                </c:pt>
                <c:pt idx="2">
                  <c:v>66.2</c:v>
                </c:pt>
                <c:pt idx="3">
                  <c:v>63.1</c:v>
                </c:pt>
                <c:pt idx="4">
                  <c:v>66.9</c:v>
                </c:pt>
                <c:pt idx="5">
                  <c:v>64.7</c:v>
                </c:pt>
                <c:pt idx="6">
                  <c:v>65.6</c:v>
                </c:pt>
                <c:pt idx="7">
                  <c:v>66.6</c:v>
                </c:pt>
                <c:pt idx="8">
                  <c:v>65.5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28.9</c:v>
                </c:pt>
                <c:pt idx="1">
                  <c:v>26.8</c:v>
                </c:pt>
                <c:pt idx="2">
                  <c:v>31.2</c:v>
                </c:pt>
                <c:pt idx="3">
                  <c:v>24.6</c:v>
                </c:pt>
                <c:pt idx="4">
                  <c:v>27.9</c:v>
                </c:pt>
                <c:pt idx="5">
                  <c:v>25.8</c:v>
                </c:pt>
                <c:pt idx="6">
                  <c:v>26</c:v>
                </c:pt>
                <c:pt idx="7">
                  <c:v>27.8</c:v>
                </c:pt>
                <c:pt idx="8">
                  <c:v>27.2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20.1</c:v>
                </c:pt>
                <c:pt idx="1">
                  <c:v>15.9</c:v>
                </c:pt>
                <c:pt idx="2">
                  <c:v>20.6</c:v>
                </c:pt>
                <c:pt idx="3">
                  <c:v>12.8</c:v>
                </c:pt>
                <c:pt idx="4">
                  <c:v>17.3</c:v>
                </c:pt>
                <c:pt idx="5">
                  <c:v>15.3</c:v>
                </c:pt>
                <c:pt idx="6">
                  <c:v>15.7</c:v>
                </c:pt>
                <c:pt idx="7">
                  <c:v>18.2</c:v>
                </c:pt>
                <c:pt idx="8">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17.4</c:v>
                </c:pt>
                <c:pt idx="1">
                  <c:v>5.5</c:v>
                </c:pt>
                <c:pt idx="2">
                  <c:v>17.6</c:v>
                </c:pt>
                <c:pt idx="3">
                  <c:v>9.8</c:v>
                </c:pt>
                <c:pt idx="4">
                  <c:v>100.8</c:v>
                </c:pt>
                <c:pt idx="5">
                  <c:v>11.7</c:v>
                </c:pt>
                <c:pt idx="6">
                  <c:v>8.2</c:v>
                </c:pt>
                <c:pt idx="7">
                  <c:v>10.1</c:v>
                </c:pt>
                <c:pt idx="8">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10</c:v>
                </c:pt>
                <c:pt idx="1">
                  <c:v>4</c:v>
                </c:pt>
                <c:pt idx="2">
                  <c:v>6</c:v>
                </c:pt>
                <c:pt idx="3">
                  <c:v>6</c:v>
                </c:pt>
                <c:pt idx="4">
                  <c:v>5</c:v>
                </c:pt>
                <c:pt idx="5">
                  <c:v>6</c:v>
                </c:pt>
                <c:pt idx="6">
                  <c:v>8</c:v>
                </c:pt>
                <c:pt idx="7">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c:v>
                </c:pt>
                <c:pt idx="1">
                  <c:v>5</c:v>
                </c:pt>
                <c:pt idx="2">
                  <c:v>7</c:v>
                </c:pt>
                <c:pt idx="3">
                  <c:v>2</c:v>
                </c:pt>
                <c:pt idx="4">
                  <c:v>3</c:v>
                </c:pt>
                <c:pt idx="5">
                  <c:v>3</c:v>
                </c:pt>
                <c:pt idx="6">
                  <c:v>5</c:v>
                </c:pt>
                <c:pt idx="7">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54</c:v>
                </c:pt>
                <c:pt idx="1">
                  <c:v>54</c:v>
                </c:pt>
                <c:pt idx="2">
                  <c:v>60</c:v>
                </c:pt>
                <c:pt idx="3">
                  <c:v>65</c:v>
                </c:pt>
                <c:pt idx="4">
                  <c:v>64</c:v>
                </c:pt>
                <c:pt idx="5">
                  <c:v>62</c:v>
                </c:pt>
                <c:pt idx="6">
                  <c:v>62</c:v>
                </c:pt>
                <c:pt idx="7">
                  <c:v>67</c:v>
                </c:pt>
                <c:pt idx="8">
                  <c:v>74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214</c:v>
                </c:pt>
                <c:pt idx="1">
                  <c:v>190</c:v>
                </c:pt>
                <c:pt idx="2">
                  <c:v>206</c:v>
                </c:pt>
                <c:pt idx="3">
                  <c:v>232</c:v>
                </c:pt>
                <c:pt idx="4">
                  <c:v>221</c:v>
                </c:pt>
                <c:pt idx="5">
                  <c:v>196</c:v>
                </c:pt>
                <c:pt idx="6">
                  <c:v>217</c:v>
                </c:pt>
                <c:pt idx="7">
                  <c:v>225</c:v>
                </c:pt>
                <c:pt idx="8">
                  <c:v>219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67</c:v>
                </c:pt>
                <c:pt idx="1">
                  <c:v>59</c:v>
                </c:pt>
                <c:pt idx="2">
                  <c:v>61</c:v>
                </c:pt>
                <c:pt idx="3">
                  <c:v>72</c:v>
                </c:pt>
                <c:pt idx="4">
                  <c:v>61</c:v>
                </c:pt>
                <c:pt idx="5">
                  <c:v>78</c:v>
                </c:pt>
                <c:pt idx="6">
                  <c:v>77</c:v>
                </c:pt>
                <c:pt idx="7">
                  <c:v>73</c:v>
                </c:pt>
                <c:pt idx="8">
                  <c:v>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466.40000000000003</c:v>
                </c:pt>
                <c:pt idx="1">
                  <c:v>475.29999999999995</c:v>
                </c:pt>
                <c:pt idx="2">
                  <c:v>421.1</c:v>
                </c:pt>
                <c:pt idx="3">
                  <c:v>176.20000000000005</c:v>
                </c:pt>
                <c:pt idx="4">
                  <c:v>524.2</c:v>
                </c:pt>
                <c:pt idx="5">
                  <c:v>450.4</c:v>
                </c:pt>
                <c:pt idx="6">
                  <c:v>215</c:v>
                </c:pt>
                <c:pt idx="7">
                  <c:v>288.09999999999997</c:v>
                </c:pt>
                <c:pt idx="8">
                  <c:v>433.70000000000005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372.9</c:v>
                </c:pt>
                <c:pt idx="1">
                  <c:v>139.9</c:v>
                </c:pt>
                <c:pt idx="2">
                  <c:v>466.7</c:v>
                </c:pt>
                <c:pt idx="3">
                  <c:v>238.4</c:v>
                </c:pt>
                <c:pt idx="4">
                  <c:v>2944.7</c:v>
                </c:pt>
                <c:pt idx="5">
                  <c:v>385.8</c:v>
                </c:pt>
                <c:pt idx="6">
                  <c:v>294.2</c:v>
                </c:pt>
                <c:pt idx="7">
                  <c:v>392.3</c:v>
                </c:pt>
                <c:pt idx="8">
                  <c:v>374.9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9.5</c:v>
                </c:pt>
                <c:pt idx="1">
                  <c:v>5.1</c:v>
                </c:pt>
                <c:pt idx="2">
                  <c:v>10.1</c:v>
                </c:pt>
                <c:pt idx="3">
                  <c:v>5.1</c:v>
                </c:pt>
                <c:pt idx="4">
                  <c:v>7.3</c:v>
                </c:pt>
                <c:pt idx="5">
                  <c:v>4.5</c:v>
                </c:pt>
                <c:pt idx="6">
                  <c:v>4.1</c:v>
                </c:pt>
                <c:pt idx="7">
                  <c:v>4.7</c:v>
                </c:pt>
                <c:pt idx="8">
                  <c:v>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9.2</c:v>
                </c:pt>
                <c:pt idx="1">
                  <c:v>9.2</c:v>
                </c:pt>
                <c:pt idx="2">
                  <c:v>9.2</c:v>
                </c:pt>
                <c:pt idx="3">
                  <c:v>9.2</c:v>
                </c:pt>
                <c:pt idx="4">
                  <c:v>9.2</c:v>
                </c:pt>
                <c:pt idx="5">
                  <c:v>9.2</c:v>
                </c:pt>
                <c:pt idx="6">
                  <c:v>9.2</c:v>
                </c:pt>
                <c:pt idx="7">
                  <c:v>9.2</c:v>
                </c:pt>
                <c:pt idx="8">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11.7</c:v>
                </c:pt>
                <c:pt idx="1">
                  <c:v>4.3</c:v>
                </c:pt>
                <c:pt idx="2">
                  <c:v>13.5</c:v>
                </c:pt>
                <c:pt idx="3">
                  <c:v>6.4</c:v>
                </c:pt>
                <c:pt idx="4">
                  <c:v>54.7</c:v>
                </c:pt>
                <c:pt idx="5">
                  <c:v>5.5</c:v>
                </c:pt>
                <c:pt idx="6">
                  <c:v>4</c:v>
                </c:pt>
                <c:pt idx="7">
                  <c:v>5</c:v>
                </c:pt>
                <c:pt idx="8">
                  <c:v>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1.76</c:v>
                </c:pt>
                <c:pt idx="1">
                  <c:v>2.87</c:v>
                </c:pt>
                <c:pt idx="2">
                  <c:v>2.1</c:v>
                </c:pt>
                <c:pt idx="3">
                  <c:v>2.8</c:v>
                </c:pt>
                <c:pt idx="4">
                  <c:v>1.7</c:v>
                </c:pt>
                <c:pt idx="5">
                  <c:v>3.07</c:v>
                </c:pt>
                <c:pt idx="6">
                  <c:v>2.62</c:v>
                </c:pt>
                <c:pt idx="7">
                  <c:v>2.28</c:v>
                </c:pt>
                <c:pt idx="8">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FY2026 (corto plazo, otros)</c:v>
                </c:pt>
                <c:pt idx="1">
                  <c:v>FY2027 (préstamo a plazo, 17-dic-2026)</c:v>
                </c:pt>
                <c:pt idx="2">
                  <c:v>FY2029 (crédito revolving, 1-may-2029)</c:v>
                </c:pt>
                <c:pt idx="3">
                  <c:v>FY2031 (préstamo a plazo, 3-feb-2031)</c:v>
                </c:pt>
              </c:strCache>
            </c:strRef>
          </c:cat>
          <c:val>
            <c:numRef>
              <c:f>Hoja1!$B$2:$B$5</c:f>
              <c:numCache>
                <c:formatCode>#,##0</c:formatCode>
                <c:ptCount val="4"/>
                <c:pt idx="0">
                  <c:v>77.5</c:v>
                </c:pt>
                <c:pt idx="1">
                  <c:v>550</c:v>
                </c:pt>
                <c:pt idx="2">
                  <c:v>966.7</c:v>
                </c:pt>
                <c:pt idx="3">
                  <c:v>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254.1</c:v>
                </c:pt>
                <c:pt idx="1">
                  <c:v>1323.9</c:v>
                </c:pt>
                <c:pt idx="2">
                  <c:v>59.2</c:v>
                </c:pt>
                <c:pt idx="3">
                  <c:v>54.1</c:v>
                </c:pt>
                <c:pt idx="4">
                  <c:v>235.9</c:v>
                </c:pt>
                <c:pt idx="5">
                  <c:v>1641.3</c:v>
                </c:pt>
                <c:pt idx="6">
                  <c:v>56.5</c:v>
                </c:pt>
                <c:pt idx="7">
                  <c:v>343.4</c:v>
                </c:pt>
                <c:pt idx="8">
                  <c:v>57.6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2.9</c:v>
                </c:pt>
                <c:pt idx="1">
                  <c:v>2.9</c:v>
                </c:pt>
                <c:pt idx="2">
                  <c:v>3</c:v>
                </c:pt>
                <c:pt idx="3">
                  <c:v>3</c:v>
                </c:pt>
                <c:pt idx="4">
                  <c:v>3</c:v>
                </c:pt>
                <c:pt idx="5">
                  <c:v>3</c:v>
                </c:pt>
                <c:pt idx="6">
                  <c:v>3</c:v>
                </c:pt>
                <c:pt idx="7">
                  <c:v>0</c:v>
                </c:pt>
                <c:pt idx="8">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55</c:v>
                </c:pt>
                <c:pt idx="1">
                  <c:v>0</c:v>
                </c:pt>
                <c:pt idx="2">
                  <c:v>156.1</c:v>
                </c:pt>
                <c:pt idx="3">
                  <c:v>47.8</c:v>
                </c:pt>
                <c:pt idx="4">
                  <c:v>24.8</c:v>
                </c:pt>
                <c:pt idx="5">
                  <c:v>78.5</c:v>
                </c:pt>
                <c:pt idx="6">
                  <c:v>0</c:v>
                </c:pt>
                <c:pt idx="7">
                  <c:v>0</c:v>
                </c:pt>
                <c:pt idx="8">
                  <c:v>290.1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Vanguard Capital Management</c:v>
                </c:pt>
                <c:pt idx="1">
                  <c:v>BlackRock, Inc.</c:v>
                </c:pt>
                <c:pt idx="2">
                  <c:v>Capital World Investors</c:v>
                </c:pt>
                <c:pt idx="3">
                  <c:v>Browning West, LP</c:v>
                </c:pt>
                <c:pt idx="4">
                  <c:v>Jana Partners</c:v>
                </c:pt>
                <c:pt idx="5">
                  <c:v>Consejeros y directivos (13 personas)</c:v>
                </c:pt>
                <c:pt idx="6">
                  <c:v>Autocartera</c:v>
                </c:pt>
              </c:strCache>
            </c:strRef>
          </c:cat>
          <c:val>
            <c:numRef>
              <c:f>Hoja1!$B$2:$B$8</c:f>
              <c:numCache>
                <c:formatCode>0.0"%"</c:formatCode>
                <c:ptCount val="7"/>
                <c:pt idx="0">
                  <c:v>7.51</c:v>
                </c:pt>
                <c:pt idx="1">
                  <c:v>7.1</c:v>
                </c:pt>
                <c:pt idx="2">
                  <c:v>4</c:v>
                </c:pt>
                <c:pt idx="3">
                  <c:v>4</c:v>
                </c:pt>
                <c:pt idx="5">
                  <c:v>2.08</c:v>
                </c:pt>
                <c:pt idx="6">
                  <c:v>12.76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30.4</c:v>
                </c:pt>
                <c:pt idx="1">
                  <c:v>24.6</c:v>
                </c:pt>
                <c:pt idx="2">
                  <c:v>16.8</c:v>
                </c:pt>
                <c:pt idx="3">
                  <c:v>26.3</c:v>
                </c:pt>
                <c:pt idx="4">
                  <c:v>13.1</c:v>
                </c:pt>
                <c:pt idx="5">
                  <c:v>15.3</c:v>
                </c:pt>
                <c:pt idx="6">
                  <c:v>-21.1</c:v>
                </c:pt>
                <c:pt idx="7">
                  <c:v>14.5</c:v>
                </c:pt>
                <c:pt idx="8">
                  <c:v>-2.8</c:v>
                </c:pt>
                <c:pt idx="9">
                  <c:v>-10.8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21.1</c:v>
                </c:pt>
                <c:pt idx="2">
                  <c:v>21.8</c:v>
                </c:pt>
                <c:pt idx="3">
                  <c:v>19.7</c:v>
                </c:pt>
                <c:pt idx="4">
                  <c:v>29.2</c:v>
                </c:pt>
                <c:pt idx="5">
                  <c:v>27.2</c:v>
                </c:pt>
                <c:pt idx="6">
                  <c:v>19</c:v>
                </c:pt>
                <c:pt idx="7">
                  <c:v>19.3</c:v>
                </c:pt>
                <c:pt idx="8">
                  <c:v>21.6</c:v>
                </c:pt>
                <c:pt idx="9">
                  <c:v>14.7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21.1</c:v>
                </c:pt>
                <c:pt idx="1">
                  <c:v>21.1</c:v>
                </c:pt>
                <c:pt idx="2">
                  <c:v>21.1</c:v>
                </c:pt>
                <c:pt idx="3">
                  <c:v>21.1</c:v>
                </c:pt>
                <c:pt idx="4">
                  <c:v>21.1</c:v>
                </c:pt>
                <c:pt idx="5">
                  <c:v>21.1</c:v>
                </c:pt>
                <c:pt idx="6">
                  <c:v>21.1</c:v>
                </c:pt>
                <c:pt idx="7">
                  <c:v>21.1</c:v>
                </c:pt>
                <c:pt idx="8">
                  <c:v>21.1</c:v>
                </c:pt>
                <c:pt idx="9">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Cooper</c:v>
                </c:pt>
                <c:pt idx="1">
                  <c:v>Alcon</c:v>
                </c:pt>
                <c:pt idx="2">
                  <c:v>Bausch + Lomb</c:v>
                </c:pt>
                <c:pt idx="3">
                  <c:v>EssilorLuxottica</c:v>
                </c:pt>
                <c:pt idx="4">
                  <c:v>Vitrolife</c:v>
                </c:pt>
                <c:pt idx="5">
                  <c:v>Align Technology</c:v>
                </c:pt>
              </c:strCache>
            </c:strRef>
          </c:cat>
          <c:val>
            <c:numRef>
              <c:f>Hoja1!$B$2:$B$7</c:f>
              <c:numCache>
                <c:formatCode>0.0"x"</c:formatCode>
                <c:ptCount val="6"/>
                <c:pt idx="0">
                  <c:v>10.3</c:v>
                </c:pt>
                <c:pt idx="1">
                  <c:v>10.6</c:v>
                </c:pt>
                <c:pt idx="2">
                  <c:v>9.5</c:v>
                </c:pt>
                <c:pt idx="3">
                  <c:v>9.7</c:v>
                </c:pt>
                <c:pt idx="4">
                  <c:v>11.1</c:v>
                </c:pt>
                <c:pt idx="5">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Cooper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3.2</c:v>
                </c:pt>
              </c:numCache>
            </c:numRef>
          </c:xVal>
          <c:yVal>
            <c:numRef>
              <c:f>Hoja1!$C$2</c:f>
              <c:numCache>
                <c:formatCode>0.0"x"</c:formatCode>
                <c:ptCount val="1"/>
                <c:pt idx="0">
                  <c:v>10.3</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6.3</c:v>
                </c:pt>
              </c:numCache>
            </c:numRef>
          </c:xVal>
          <c:yVal>
            <c:numRef>
              <c:f>Hoja1!$C$4</c:f>
              <c:numCache>
                <c:formatCode>0.0"x"</c:formatCode>
                <c:ptCount val="1"/>
                <c:pt idx="0">
                  <c:v>9.5</c:v>
                </c:pt>
              </c:numCache>
            </c:numRef>
          </c:yVal>
          <c:smooth val="0"/>
        </c:ser>
        <c:ser>
          <c:idx val="3"/>
          <c:order val="3"/>
          <c:tx>
            <c:strRef>
              <c:f>Hoja1!$A$5</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7.5</c:v>
                </c:pt>
              </c:numCache>
            </c:numRef>
          </c:xVal>
          <c:yVal>
            <c:numRef>
              <c:f>Hoja1!$C$5</c:f>
              <c:numCache>
                <c:formatCode>0.0"x"</c:formatCode>
                <c:ptCount val="1"/>
                <c:pt idx="0">
                  <c:v>9.7</c:v>
                </c:pt>
              </c:numCache>
            </c:numRef>
          </c:yVal>
          <c:smooth val="0"/>
        </c:ser>
        <c:ser>
          <c:idx val="4"/>
          <c:order val="4"/>
          <c:tx>
            <c:strRef>
              <c:f>Hoja1!$A$6</c:f>
              <c:strCache>
                <c:ptCount val="1"/>
                <c:pt idx="0">
                  <c:v>Vitrolife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11.1</c:v>
                </c:pt>
              </c:numCache>
            </c:numRef>
          </c:yVal>
          <c:smooth val="0"/>
        </c:ser>
        <c:ser>
          <c:idx val="5"/>
          <c:order val="5"/>
          <c:tx>
            <c:strRef>
              <c:f>Hoja1!$A$7</c:f>
              <c:strCache>
                <c:ptCount val="1"/>
                <c:pt idx="0">
                  <c:v>Align Technology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7.4</c:v>
                </c:pt>
              </c:numCache>
            </c:numRef>
          </c:yVal>
          <c:smooth val="0"/>
        </c:ser>
        <c:axId val="10"/>
        <c:axId val="20"/>
      </c:scatterChart>
      <c:valAx>
        <c:axId val="10"/>
        <c:scaling>
          <c:orientation val="minMax"/>
          <c:max val="9"/>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Generate Life Sciences</c:v>
                </c:pt>
                <c:pt idx="1">
                  <c:v>Xiidra, libvatrep y AcuStream (Novartis)</c:v>
                </c:pt>
                <c:pt idx="2">
                  <c:v>Hologic</c:v>
                </c:pt>
                <c:pt idx="3">
                  <c:v>STAAR Surgical</c:v>
                </c:pt>
              </c:strCache>
            </c:strRef>
          </c:cat>
          <c:val>
            <c:numRef>
              <c:f>Hoja1!$B$2:$B$5</c:f>
              <c:numCache>
                <c:formatCode>0.0"x"</c:formatCode>
                <c:ptCount val="4"/>
                <c:pt idx="2">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710</c:v>
                </c:pt>
                <c:pt idx="1">
                  <c:v>729</c:v>
                </c:pt>
                <c:pt idx="2">
                  <c:v>772</c:v>
                </c:pt>
                <c:pt idx="3">
                  <c:v>826</c:v>
                </c:pt>
                <c:pt idx="4">
                  <c:v>881</c:v>
                </c:pt>
                <c:pt idx="5">
                  <c:v>942</c:v>
                </c:pt>
                <c:pt idx="6">
                  <c:v>991</c:v>
                </c:pt>
                <c:pt idx="7">
                  <c:v>1038</c:v>
                </c:pt>
                <c:pt idx="8">
                  <c:v>1084</c:v>
                </c:pt>
                <c:pt idx="9">
                  <c:v>1120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5626</c:v>
                </c:pt>
                <c:pt idx="1">
                  <c:v>8484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54,30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43.17</c:v>
                </c:pt>
                <c:pt idx="1">
                  <c:v>60.01</c:v>
                </c:pt>
                <c:pt idx="2">
                  <c:v>71.61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54,30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Hoja1!$B$2:$B$10</c:f>
              <c:numCache>
                <c:formatCode>#,##0</c:formatCode>
                <c:ptCount val="9"/>
                <c:pt idx="0">
                  <c:v>51.01</c:v>
                </c:pt>
                <c:pt idx="1">
                  <c:v>58</c:v>
                </c:pt>
                <c:pt idx="2">
                  <c:v>49.13</c:v>
                </c:pt>
                <c:pt idx="3">
                  <c:v>75.45</c:v>
                </c:pt>
                <c:pt idx="4">
                  <c:v>51.48</c:v>
                </c:pt>
                <c:pt idx="5">
                  <c:v>43.17</c:v>
                </c:pt>
                <c:pt idx="6">
                  <c:v>42.79</c:v>
                </c:pt>
                <c:pt idx="7">
                  <c:v>65.54</c:v>
                </c:pt>
                <c:pt idx="8">
                  <c:v>54.03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(51,01 – 89,83)</c:v>
                </c:pt>
                <c:pt idx="1">
                  <c:v>Precio objetivo de los analistas (58,00 – 75,00)</c:v>
                </c:pt>
                <c:pt idx="2">
                  <c:v>Comparables: EV/EBITDA NTM (49,13 – 56,44)</c:v>
                </c:pt>
                <c:pt idx="3">
                  <c:v>Transacciones precedentes (EV/ventas) (75,45 – 106,68)</c:v>
                </c:pt>
                <c:pt idx="4">
                  <c:v>DCF (WACC y g ± 0,5) (51,48 – 71,77)</c:v>
                </c:pt>
                <c:pt idx="5">
                  <c:v>Escenarios (bajista – alcista) (43,17 – 71,61)</c:v>
                </c:pt>
                <c:pt idx="6">
                  <c:v>Suma de partes (42,79 – 62,84)</c:v>
                </c:pt>
                <c:pt idx="7">
                  <c:v>DCF con la prima implícita del mercado (4,2 %)</c:v>
                </c:pt>
                <c:pt idx="8">
                  <c:v>Precio actual (54,30)</c:v>
                </c:pt>
              </c:strCache>
            </c:strRef>
          </c:cat>
          <c:val>
            <c:numRef>
              <c:f>Hoja1!$C$2:$C$10</c:f>
              <c:numCache>
                <c:formatCode>#,##0</c:formatCode>
                <c:ptCount val="9"/>
                <c:pt idx="0">
                  <c:v>38.82</c:v>
                </c:pt>
                <c:pt idx="1">
                  <c:v>17</c:v>
                </c:pt>
                <c:pt idx="2">
                  <c:v>7.309999999999995</c:v>
                </c:pt>
                <c:pt idx="3">
                  <c:v>31.230000000000004</c:v>
                </c:pt>
                <c:pt idx="4">
                  <c:v>20.29</c:v>
                </c:pt>
                <c:pt idx="5">
                  <c:v>28.439999999999998</c:v>
                </c:pt>
                <c:pt idx="6">
                  <c:v>20.050000000000004</c:v>
                </c:pt>
                <c:pt idx="7">
                  <c:v>16.959999999999994</c:v>
                </c:pt>
                <c:pt idx="8">
                  <c:v>0.5399999999999991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