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Grifols, S.A.</w:t>
      </w:r>
    </w:p>
    <w:p>
      <w:pPr>
        <w:spacing w:after="60"/>
        <w:rPr>
          <w:color w:val="52514E"/>
          <w:sz w:val="22"/>
          <w:szCs w:val="22"/>
        </w:rPr>
      </w:pPr>
      <w:r>
        <w:rPr>
          <w:color w:val="52514E"/>
          <w:sz w:val="22"/>
          <w:szCs w:val="22"/>
        </w:rPr>
        <w:t xml:space="preserve">GRF · Bolsas españolas (Mercado Continuo, SIBE) · ISIN ES0171996087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9,88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11,87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+22,4 % (base +29,9 %)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13,99 EUR · mercado 18,65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5.913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Grifols,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GRF / ES0171996087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españolas (Mercado Continuo, SIBE)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Biotecnología (hemoderivados)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 Cugat del Vallès (Barcelona) · 1909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https://www.grifols.com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9,88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8,43 – 12,20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5.913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17.242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14,6 M EUR/día (3 meses, clase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11,87 EUR</w:t>
      </w:r>
      <w:r>
        <w:t xml:space="preserve"> frente a 9,88 · Rentabilidad a 12 meses </w:t>
      </w:r>
      <w:r>
        <w:rPr>
          <w:b/>
          <w:bCs/>
        </w:rPr>
        <w:t xml:space="preserve">+22,4 % (base +29,9 %)</w:t>
      </w:r>
      <w:r>
        <w:t xml:space="preserve"> · Valor intrínseco 13,99 EUR · con la prima implícita del mercado: 18,65 (+88,8 %) · Alcista / bajista +88,8 % / -82,0 %</w:t>
      </w:r>
    </w:p>
    <w:p>
      <w:pPr>
        <w:spacing w:after="100"/>
      </w:pPr>
      <w:r>
        <w:rPr>
          <w:b/>
        </w:rPr>
        <w:t xml:space="preserve">La recomendación y por qué.</w:t>
      </w:r>
      <w:r>
        <w:t xml:space="preserve"> Comprar, con convicción media. El valor objetivo es de 13,99 EUR por acción A, un 41,6 % por encima del precio de 9,88 EUR (cierre del 9-oct-2026), y con el dividendo la rentabilidad total esperada a 12 meses es del 43,9 %. Las dos reglas dan Comprar, con asimetría pobre: alcista +88,8 %, bajista −82,0 % (1,08 veces). La razón en una frase: el precio descuenta que el margen de Grifols se queda donde está, y con 4,9 veces de deuda cada punto de margen vale un 16 % del valor. La convicción es media, la que sugieren los criterios, porque el bajista casi borra las acciones; subiría si el flujo libre de 2026 llega a la guía (500-575 M) y bajaría si el margen ajustado de 2026 se queda por debajo del 25 %.</w:t>
      </w:r>
    </w:p>
    <w:p>
      <w:pPr>
        <w:spacing w:after="100"/>
      </w:pPr>
      <w:r>
        <w:rPr>
          <w:b/>
        </w:rPr>
        <w:t xml:space="preserve">El negocio.</w:t>
      </w:r>
      <w:r>
        <w:t xml:space="preserve"> Grifols es el tercer productor mundial de hemoderivados (cuota estimada del 18,2 %) [1], pero no cubre su coste de capital: ROIC del 6,6 % frente a un WACC del 8,2 %, y margen EBITDA del 24,3 % sin ajustes, 4 puntos por debajo del de 2016-2019 [1]. La calidad de la empresa sostiene en parte el crecimiento que proyectamos (3,8 % anual, por debajo del 6,5 % del mercado): necesita poca inversión nueva, pero un ROIC incremental del 4,4 % no demuestra que el capital ya invertido rinda.</w:t>
      </w:r>
    </w:p>
    <w:p>
      <w:pPr>
        <w:spacing w:after="100"/>
      </w:pPr>
      <w:r>
        <w:rPr>
          <w:b/>
        </w:rPr>
        <w:t xml:space="preserve">Finanzas.</w:t>
      </w:r>
      <w:r>
        <w:t xml:space="preserve"> Ingresos de 7.524 M en 2025 (+7,0 % a tipo constante) y flujo libre de 505 M tras arrendamientos e intereses, el mejor de la década [1, 9]. La deuda neta ajustada es de 9.305 M (5,1 veces el EBITDA) y el primer semestre de 2026 solo generó 91 M de caja, con 184 M más de existencias [7]. El siguiente vencimiento grande son los 2.037 M de 2028 [7]. En 2024 hubo reexpresión y debilidad material de control interno, ya subsanada [2].</w:t>
      </w:r>
    </w:p>
    <w:p>
      <w:pPr>
        <w:spacing w:after="100"/>
      </w:pPr>
      <w:r>
        <w:rPr>
          <w:b/>
        </w:rPr>
        <w:t xml:space="preserve">Equipo y gobierno.</w:t>
      </w:r>
      <w:r>
        <w:t xml:space="preserve"> Resta. La dirección nueva cumplió la guía de 2025 [1], pero la familia vota en torno al 51 % de los presentes en la junta, hay operaciones vinculadas de calado con Scranton (Haema, BPC, sede, marca) y dos clases de acciones [1]. Lo recogemos con un punto de prima en el WACC.</w:t>
      </w:r>
    </w:p>
    <w:p>
      <w:pPr>
        <w:spacing w:after="100"/>
      </w:pPr>
      <w:r>
        <w:rPr>
          <w:b/>
        </w:rPr>
        <w:t xml:space="preserve">Valoración.</w:t>
      </w:r>
      <w:r>
        <w:t xml:space="preserve"> El DCF da 14,21 EUR (+43,8 %). El DCF inverso dice que el precio supone un crecimiento del 0,2 % anual hasta 2033e frente al 3,8 % de nuestro caso base, o un margen final del 23,3 % en vez del 25,5 %: comprar hoy rinde un 9,1 % anual. Cotiza a 9,0 veces el EBITDA de los próximos 12 meses, la mitad de su media histórica. Nuestro caso base está entre un 2,5 % y un 6 % por debajo del consenso en EBITDA y el valor objetivo coincide con el precio objetivo medio de los analistas (14,76 EUR) [44, 45]. Con la prima de riesgo que hoy pide el mercado, el objetivo sube a 18,65 EUR.</w:t>
      </w:r>
    </w:p>
    <w:p>
      <w:pPr>
        <w:spacing w:after="100"/>
      </w:pPr>
      <w:r>
        <w:rPr>
          <w:b/>
        </w:rPr>
        <w:t xml:space="preserve">Riesgos y catalizadores.</w:t>
      </w:r>
      <w:r>
        <w:t xml:space="preserve"> El primero es el margen: si la competencia de los anti-FcRn y el exceso de plasma bajan el precio de las inmunoglobulinas, el margen vuelve al 21 % y la acción vale 1,78 EUR. El segundo, la deuda: medio punto más de WACC quita un 19 %. Catalizadores: resultados del 3T26 (4-nov, estimada), la guía de 2027 en febrero y la posible salida a bolsa de Biopharma EE. UU. [33].</w:t>
      </w:r>
    </w:p>
    <w:p>
      <w:pPr>
        <w:spacing w:after="100"/>
      </w:pPr>
      <w:r>
        <w:rPr>
          <w:b/>
        </w:rPr>
        <w:t xml:space="preserve">Qué cambiaría la decisión.</w:t>
      </w:r>
      <w:r>
        <w:t xml:space="preserve"> Compraríamos por debajo de 13,54 EUR y venderíamos por encima de 18,89 EUR. Pasaríamos a Mantener si el flujo libre de 2026 queda por debajo de 450 M o el apalancamiento según el contrato no baja de 4,0x a finales de 2026, y a Vender si el margen ajustado cae por debajo del 23 %.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11,87 EUR</w:t>
      </w:r>
      <w:r>
        <w:t xml:space="preserve"> (rentabilidad +22,4 % (base +29,9 %)) · Valor intrínseco: 13,99 EUR (+41,6 % sobre 9,88) · con la prima implícita del mercado: 18,65 (+88,8 %)</w:t>
      </w:r>
    </w:p>
    <w:p>
      <w:pPr>
        <w:spacing w:after="100"/>
      </w:pPr>
      <w:r>
        <w:t xml:space="preserve">Grifols es el tercer productor mundial de medicamentos derivados del plasma, con 7.524 M de ingresos en 2025, la mayor red privada de recogida de plasma y posiciones fuertes en inmunoglobulinas (26 % del volumen de EE. UU.) y alfa-1 (más del 69 % del mercado mundial) [1]. Es un negocio con barreras de entrada altas en un mercado que crece un 6-7 % al año, pero que tras la pandemia perdió 8 puntos de margen y se endeudó para comprar Biotest y centros de plasma [1, 20].</w:t>
      </w:r>
    </w:p>
    <w:p>
      <w:pPr>
        <w:spacing w:after="100"/>
      </w:pPr>
      <w:r>
        <w:t xml:space="preserve">El precio descuenta que nada mejora. A 9,88 EUR, el DCF inverso dice que el mercado supone un crecimiento del 0,2 % anual hasta 2033e o un margen EBITDA final del 23,3 %, el de hoy. Cotiza a 9,0 veces el EBITDA de los próximos 12 meses, la mitad de su media histórica, con 4,9 veces de deuda neta y un ROIC del 6,6 %, por debajo del coste de capital.</w:t>
      </w:r>
    </w:p>
    <w:p>
      <w:pPr>
        <w:spacing w:after="100"/>
      </w:pPr>
      <w:r>
        <w:t xml:space="preserve">Para invertir hay que creer que la nueva dirección devuelve el margen ajustado al 25-27 % que pide la guía y el consenso, con plasma más barato (Egipto) y eficiencias, y que el flujo libre de 500-575 M de 2026 baja la deuda hacia 3,5x en 2027 [9, 44]. Si lo hace, el valor de las acciones sube mucho por el apalancamiento: nuestro DCF da 14,21 EUR. Si el margen vuelve al 21 %, como en 2021-2023, las acciones valen casi nada. Es una apuesta asimétrica a la baja en el bajista, compensada por su probabilidad.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 × 0,46 = 4,92 · 13,4x × 0,94 = 12,60 · 18,1x × 1,13 = 20,45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 / 29,9 %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 (nuestro base -14,6 %)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88,8 % / -82,0 %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8,2 % y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(2026e-2033e)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 frente a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1,08 (&lt; 2); bajista del -82,0 %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10,52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10,52 y 13,44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13,44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flujo libre antes de M&amp;A de 2026 queda por debajo de 450 M, pasaríamos a Mantener.</w:t>
      </w:r>
    </w:p>
    <w:p>
      <w:pPr>
        <w:pStyle w:val="ListParagraph"/>
        <w:numPr>
          <w:ilvl w:val="0"/>
          <w:numId w:val="2"/>
        </w:numPr>
        <w:spacing w:after="60"/>
      </w:pPr>
      <w:r>
        <w:t xml:space="preserve">Si el apalancamiento según el contrato de crédito no baja de 4,0x a finales de 2026, pasaríamos a Mantener.</w:t>
      </w:r>
    </w:p>
    <w:p>
      <w:pPr>
        <w:pStyle w:val="ListParagraph"/>
        <w:numPr>
          <w:ilvl w:val="0"/>
          <w:numId w:val="2"/>
        </w:numPr>
        <w:spacing w:after="60"/>
      </w:pPr>
      <w:r>
        <w:t xml:space="preserve">Si el margen EBITDA ajustado de 2026 cae por debajo del 23 %, pasaríamos a Vender.</w:t>
      </w:r>
    </w:p>
    <w:p>
      <w:pPr>
        <w:pStyle w:val="ListParagraph"/>
        <w:numPr>
          <w:ilvl w:val="0"/>
          <w:numId w:val="2"/>
        </w:numPr>
        <w:spacing w:after="60"/>
      </w:pPr>
      <w:r>
        <w:t xml:space="preserve">Si se recompran Haema y BPC a Scranton sin informe independiente o con deuda nueva, revisaríamos la prima de gobierno.</w:t>
      </w:r>
    </w:p>
    <w:p>
      <w:pPr>
        <w:pStyle w:val="ListParagraph"/>
        <w:numPr>
          <w:ilvl w:val="0"/>
          <w:numId w:val="2"/>
        </w:numPr>
        <w:spacing w:after="60"/>
      </w:pPr>
      <w:r>
        <w:t xml:space="preserve">Si la acción supera 18,89 EUR sin cambios en los supuestos, pasaríamos a Mantener.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EBITDA se queda en el 23-24 % de hoy, que la deuda no baja lo bastante deprisa y que el gobierno (familia, Scranton, CNMV) justifica un descuento permanente: 9,0 veces el EBITDA, la mitad de su media histórica.</w:t>
      </w:r>
    </w:p>
    <w:p>
      <w:pPr>
        <w:keepNext/>
        <w:spacing w:after="100"/>
      </w:pPr>
      <w:r>
        <w:rPr>
          <w:b/>
          <w:bCs/>
        </w:rPr>
        <w:t xml:space="preserve">Lo que creemos nosotros.</w:t>
      </w:r>
    </w:p>
    <w:p>
      <w:pPr>
        <w:spacing w:after="100"/>
      </w:pPr>
      <w:r>
        <w:t xml:space="preserve">El margen sube al 25,5 % publicado (unos 27 % ajustado) en 2030, por debajo de lo que espera el consenso, y la deuda baja hacia 4x en 2027-2028 con un flujo libre de 500-600 M al año. No es un caso de crecimiento: crecemos un 3,8 % anual, menos que el mercado.</w:t>
      </w:r>
    </w:p>
    <w:p>
      <w:pPr>
        <w:keepNext/>
        <w:spacing w:after="100"/>
      </w:pPr>
      <w:r>
        <w:rPr>
          <w:b/>
          <w:bCs/>
        </w:rPr>
        <w:t xml:space="preserve">Por qué podemos tener razón.</w:t>
      </w:r>
    </w:p>
    <w:p>
      <w:pPr>
        <w:spacing w:after="100"/>
      </w:pPr>
      <w:r>
        <w:t xml:space="preserve">La guía de 2025 se cumplió, el flujo libre de 2025 (468 M según la empresa) superó la guía y los vencimientos de 2027 ya están refinanciados [7, 9]. Con tanta deuda, poca mejora de margen basta para que el valor de las acciones suba mucho: el precio no descuenta ni esa poca mejora.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9,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crecimiento casi nulo</w:t>
      </w:r>
      <w:r>
        <w:t xml:space="preserve">: el DCF inverso pide un 0,2 % anual frente a nuestro 3,8 %.</w:t>
      </w:r>
    </w:p>
    <w:p>
      <w:pPr>
        <w:pStyle w:val="ListParagraph"/>
        <w:numPr>
          <w:ilvl w:val="0"/>
          <w:numId w:val="2"/>
        </w:numPr>
        <w:spacing w:after="60"/>
      </w:pPr>
      <w:r>
        <w:rPr>
          <w:b/>
        </w:rPr>
        <w:t xml:space="preserve">Múltiplo en mínimos de la década</w:t>
      </w:r>
      <w:r>
        <w:t xml:space="preserve">: 9,5 veces el EBITDA de los últimos 12 meses, frente a una media de 18,2.</w:t>
      </w:r>
    </w:p>
    <w:p>
      <w:pPr>
        <w:pStyle w:val="ListParagraph"/>
        <w:numPr>
          <w:ilvl w:val="0"/>
          <w:numId w:val="2"/>
        </w:numPr>
        <w:spacing w:after="60"/>
      </w:pPr>
      <w:r>
        <w:rPr>
          <w:b/>
        </w:rPr>
        <w:t xml:space="preserve">Flujo libre en mejora</w:t>
      </w:r>
      <w:r>
        <w:t xml:space="preserve">: 505 M en 2025 tras arrendamientos e intereses, frente a −209 M en 2023 [1].</w:t>
      </w:r>
    </w:p>
    <w:p>
      <w:pPr>
        <w:pStyle w:val="ListParagraph"/>
        <w:numPr>
          <w:ilvl w:val="0"/>
          <w:numId w:val="2"/>
        </w:numPr>
        <w:spacing w:after="60"/>
      </w:pPr>
      <w:r>
        <w:rPr>
          <w:b/>
        </w:rPr>
        <w:t xml:space="preserve">Posición de mercado difícil de copiar</w:t>
      </w:r>
      <w:r>
        <w:t xml:space="preserve">: más de 400 centros de plasma y el 26 % del volumen de inmunoglobulinas de EE. UU. [1].</w:t>
      </w:r>
    </w:p>
    <w:p>
      <w:pPr>
        <w:pStyle w:val="ListParagraph"/>
        <w:numPr>
          <w:ilvl w:val="0"/>
          <w:numId w:val="2"/>
        </w:numPr>
        <w:spacing w:after="60"/>
      </w:pPr>
      <w:r>
        <w:rPr>
          <w:b/>
        </w:rPr>
        <w:t xml:space="preserve">Deuda refinanciada hasta 2028</w:t>
      </w:r>
      <w:r>
        <w:t xml:space="preserve"> y liquidez de 2.030 M [7].</w:t>
      </w:r>
    </w:p>
    <w:p>
      <w:pPr>
        <w:pStyle w:val="Heading2"/>
      </w:pPr>
      <w:r>
        <w:t xml:space="preserve">En contra</w:t>
      </w:r>
    </w:p>
    <w:p>
      <w:pPr>
        <w:pStyle w:val="ListParagraph"/>
        <w:numPr>
          <w:ilvl w:val="0"/>
          <w:numId w:val="2"/>
        </w:numPr>
        <w:spacing w:after="60"/>
      </w:pPr>
      <w:r>
        <w:rPr>
          <w:b/>
        </w:rPr>
        <w:t xml:space="preserve">Apalancamiento</w:t>
      </w:r>
      <w:r>
        <w:t xml:space="preserve">: 4,9 veces de deuda neta; el bajista deja la acción en 1,78 EUR (−82,0 %).</w:t>
      </w:r>
    </w:p>
    <w:p>
      <w:pPr>
        <w:pStyle w:val="ListParagraph"/>
        <w:numPr>
          <w:ilvl w:val="0"/>
          <w:numId w:val="2"/>
        </w:numPr>
        <w:spacing w:after="60"/>
      </w:pPr>
      <w:r>
        <w:rPr>
          <w:b/>
        </w:rPr>
        <w:t xml:space="preserve">No cubre su coste de capital</w:t>
      </w:r>
      <w:r>
        <w:t xml:space="preserve">: ROIC del 6,6 % frente a un WACC del 8,2 % y ROIC incremental del 4,4 %.</w:t>
      </w:r>
    </w:p>
    <w:p>
      <w:pPr>
        <w:pStyle w:val="ListParagraph"/>
        <w:numPr>
          <w:ilvl w:val="0"/>
          <w:numId w:val="2"/>
        </w:numPr>
        <w:spacing w:after="60"/>
      </w:pPr>
      <w:r>
        <w:rPr>
          <w:b/>
        </w:rPr>
        <w:t xml:space="preserve">Caja del semestre débil</w:t>
      </w:r>
      <w:r>
        <w:t xml:space="preserve">: 91 M de flujo libre en el 1S26 frente a una guía anual de 500-575 M [7].</w:t>
      </w:r>
    </w:p>
    <w:p>
      <w:pPr>
        <w:pStyle w:val="ListParagraph"/>
        <w:numPr>
          <w:ilvl w:val="0"/>
          <w:numId w:val="2"/>
        </w:numPr>
        <w:spacing w:after="60"/>
      </w:pPr>
      <w:r>
        <w:rPr>
          <w:b/>
        </w:rPr>
        <w:t xml:space="preserve">Gobierno</w:t>
      </w:r>
      <w:r>
        <w:t xml:space="preserve">: control familiar (≈ 51 % de los votos presentes) y operaciones vinculadas con Scranton [1, 27].</w:t>
      </w:r>
    </w:p>
    <w:p>
      <w:pPr>
        <w:pStyle w:val="ListParagraph"/>
        <w:numPr>
          <w:ilvl w:val="0"/>
          <w:numId w:val="2"/>
        </w:numPr>
        <w:spacing w:after="60"/>
      </w:pPr>
      <w:r>
        <w:rPr>
          <w:b/>
        </w:rPr>
        <w:t xml:space="preserve">Competencia en inmunoglobulinas</w:t>
      </w:r>
      <w:r>
        <w:t xml:space="preserve">: los anti-FcRn crecen deprisa en CIDP (Vyvgart, 4.200 M USD en 2025) [19].</w:t>
      </w:r>
    </w:p>
    <w:p>
      <w:pPr>
        <w:pStyle w:val="Heading2"/>
      </w:pPr>
      <w:r>
        <w:t xml:space="preserve">Qué tiene que pasar para que la tesis funcione</w:t>
      </w:r>
    </w:p>
    <w:p>
      <w:pPr>
        <w:spacing w:after="100"/>
      </w:pPr>
      <w:r>
        <w:t xml:space="preserve">La tesis depende de que el margen EBITDA ajustado de 2026 llegue al 25 % y de que el flujo libre del año entre en la guía de 500-575 M, para que la deuda baje hacia 3,5x en 2027. La señal de que no se cumple sería un 3T26 con el flujo libre acumulado por debajo de 250 M o un margen ajustado del 2S26 por debajo del 25 %.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antes de M&amp;A (definición de la empresa)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M en el 1S26; 468 M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 la bajada de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 en el 1S26; 24,3 %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supuesto que más mueve 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según el contrato de crédito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 a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4,0x a dic-2026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3,5x en 2027 y refinanciación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Inmunoglobulinas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motor del crecimiento y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3.296 M a dic-2025 (+184 M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3.600 M a dic-2026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comen la caja.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15,0x / 10,1x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4,9x · 5,1x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Grifols nace en Barcelona en 1909 como laboratorio de análisis clínicos de Josep Antoni Grifols i Roig; en 1940 se fundan los Laboratorios Grifols, dedicados al plasma liofilizado [11]. En 1951 la familia publica la primera aplicación sistemática de la plasmaféresis en humanos y en 1958 pone en marcha su primera planta de fraccionamiento [11]. La transformación llega con la compra de centros de plasma en EE. UU. (SeraCare, 2002) y de la planta de Alpha Therapeutics en Los Ángeles (2003, 104 M USD) [1, 11]. Sale a bolsa en mayo de 2006 y entra en el IBEX 35 en 2008 [1]. </w:t>
      </w:r>
      <w:r>
        <w:rPr>
          <w:b/>
        </w:rPr>
        <w:t xml:space="preserve">Talecris (2011, 3.700 M USD)</w:t>
      </w:r>
      <w:r>
        <w:t xml:space="preserve"> la convierte en el tercer fabricante mundial y le da las acciones B y el ADR en el NASDAQ [1, 11]. Después diversifica en diagnóstico (Novartis 2014, Hologic 2017) y en plasma europeo (Haema 2018, Biotest 2022) [1]. Desde 2024 vive el informe de Gotham City, la investigación de la CNMV, la venta del 20 % de Shanghai RAAS a Haier para reducir deuda y la oferta indicativa de Brookfield con la familia, que el consejo rechazó [1,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Josep Antoni Grifols i Roig funda en Barcelona el Instituto Central de Análisis Clínicos, Bacteriológicos y Químicos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los Laboratorios Grifols con sus hijos Josep Antoni y Víctor Grifols i Lucas: plasma liofilizado y análisis clínicos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1951-1958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publicación de la plasmaféresis sistemática en humanos (British Medical Journal, 320 donantes) y primera planta de fraccionamiento en Barcelona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empresa española con licencia de la FDA para una planta (Parets del Vallès) y un biológico (albúmina)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SeraCare (hoy Biomat, 43 centros de plasma en EE. UU.) y de los activos de Alpha Therapeutics, con la planta de Los Ángeles, por 104 M USD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las acciones A el 17 de mayo de 2006; IBEX 35 desde enero de 2008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Talecris Biotherapeutics por 3.700 M USD, pagada en parte con acciones B sin voto; Grifols pasa a ser el tercer fabricante mundial y cotiza en el NASDAQ (GRFS)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transfusional de Novartis (1.700 M USD, 2014) y unidad NAT de cribado de donantes de Hologic (1.900 M USD, cerrada en enero de 2017)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Haema (220 M EUR) y BPC Plasma (286 M USD) en 2018; alianza con Shanghai RAAS (26,58 % a cambio del 45 % económico de GDS, 2020); planta de Montreal y 11 centros de GC Pharma (457 M USD, 2020)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GIC de preferentes de Biomat USA y Biomat Newco por 990 M USD (2021); compra de Biotest Holdings por 1.090,5 M EUR (abril de 2022)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Gotham City (9 de enero) e investigación de la CNMV, que concluye que no hacía falta reexpresar (21 de marzo) pero abre expediente sancionador (25 de septiembre); venta del 20 % de Shanghai RAAS a Haier por unos 1.800 M USD (18 de junio); el consejo no recomienda la oferta indicativa de Brookfield y la familia (6.450 M EUR, 10,50 EUR por acción A y 7,62 EUR por acción B, 19 de noviembre) y las conversaciones terminan el 27 de noviembre [1,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los 14 centros restantes de ImmunoTek (281 M USD), 50,1 % de Canadian Plasma Resources (unos 19 M EUR) y certificación de la EMA para toda la cadena de Grifols Egypt (inversión conjunta de 280 M EUR)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Grifols es un fabricante verticalmente integrado de medicamentos derivados del plasma: obtiene el plasma en su propia red de más de 400 centros de donación (310 en EE. UU., 97 en Europa y 8 en el resto del mundo), lo fracciona y vende las proteínas purificadas a hospitales, farmacias especializadas, organizaciones de compras (GPO), gobiernos y distribuidores de más de 100 países [1]. </w:t>
      </w:r>
      <w:r>
        <w:rPr>
          <w:b/>
        </w:rPr>
        <w:t xml:space="preserve">Biopharma</w:t>
      </w:r>
      <w:r>
        <w:t xml:space="preserve"> aportó 6.487 M EUR en 2025, el 86,2 % de unas ventas de 7.524 M EUR; sus productos principales son inmunoglobulinas (Gamunex-C, Flebogamma, Xembify, Yimmugo), albúmina (Albutein), alfa-1 antitripsina (Prolastin) y factores de coagulación [1]. </w:t>
      </w:r>
      <w:r>
        <w:rPr>
          <w:b/>
        </w:rPr>
        <w:t xml:space="preserve">Diagnostic</w:t>
      </w:r>
      <w:r>
        <w:t xml:space="preserve"> (640 M EUR, 8,5 %) vende tarjetas de gel e instrumentos de tipaje sanguíneo y pruebas NAT de cribado de donaciones; </w:t>
      </w:r>
      <w:r>
        <w:rPr>
          <w:b/>
        </w:rPr>
        <w:t xml:space="preserve">Bio Supplies</w:t>
      </w:r>
      <w:r>
        <w:t xml:space="preserve"> (154 M EUR) y </w:t>
      </w:r>
      <w:r>
        <w:rPr>
          <w:b/>
        </w:rPr>
        <w:t xml:space="preserve">Others</w:t>
      </w:r>
      <w:r>
        <w:t xml:space="preserve"> (243 M EUR) completan el grupo [1]. EE. UU. y Canadá suponen el 56,5 % de las ventas, la UE el 21,5 % y el resto del mundo el 22,0 % [1]. Tiene 2 plantas de fabricación en EE. UU. (Clayton y Los Ángeles) y 5 fuera, entre ellas Parets del Vallès y Dreieich (Biotest); Montreal empezó con albúmina en 2025 y espera fraccionar desde 2027 [1, 7].</w:t>
      </w:r>
    </w:p>
    <w:p>
      <w:pPr>
        <w:pStyle w:val="Heading2"/>
      </w:pPr>
      <w:r>
        <w:t xml:space="preserve">Cómo gana dinero</w:t>
      </w:r>
    </w:p>
    <w:p>
      <w:pPr>
        <w:spacing w:after="100"/>
      </w:pPr>
      <w:r>
        <w:t xml:space="preserve">El negocio es de coste de materia prima: el plasma de donantes remunerados es el principal coste y cada litro se reparte entre varias proteínas, de modo que el margen depende del coste por litro, del rendimiento por litro y del precio de la proteína que tira de la demanda, la inmunoglobulina (≈63 % de Biopharma) [1]. La albúmina y otras proteínas aprovechan el mismo litro. El margen bruto fue del 38,0 % en 2025 (38,7 % en 2024), lastrado por la ley IRA, reclasificaciones de descuentos y la caída de precios de la albúmina en China [1]. El ciclo de producción es largo: las existencias rotan en 273 días (junio de 2026), lo que retrasa unos 9-12 meses el efecto de los cambios en el coste del plasma [7]. Las ventas son recurrentes (pacientes crónicos con inmunodeficiencias, CIDP o déficit de alfa-1) y sin estacionalidad relevante [1]. El apalancamiento operativo es alto: el resultado de explotación pasó de 782 M EUR en 2023 a 1.243 M EUR en 2025 con ventas un 14 % mayores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Biopharma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Diagnostic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 Supplies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Biopharma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Diagnostic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 Supplies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relevante: ningún cliente superó el 10 % de las ventas brutas en 2024 ni en 2025; en 2023 uno de Biopharma llegó al 10,37 % [1]. En EE. UU. vende a través de distribuidores, mayoristas, farmacias especializadas y GPO que negocian precio y volumen para sus hospitales, y participa en Medicaid, Medicare, 340B y Tricare, con descuentos y reembolsos que se restan de las ventas brutas [1]. En Europa y China los precios están intervenidos o se fijan por concurso [1]. </w:t>
      </w:r>
      <w:r>
        <w:rPr>
          <w:b/>
        </w:rPr>
        <w:t xml:space="preserve">Poder de precios</w:t>
      </w:r>
      <w:r>
        <w:t xml:space="preserve">: limitado y desigual. En inmunoglobulinas la demanda supera a la oferta y Grifols tiene el 26,0 % del volumen de EE. UU. (12 meses a septiembre de 2025, PPTA), pero el 20-F advierte de descuentos de competidores y clientes más sensibles al precio [1]. En albúmina las medidas de contención de China bajaron sus ventas un 7,7 % en 2025 [1]. En alfa-1 tiene más del 69 % del mercado mundial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donación de plasma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400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400 (310 EE. UU., 97 Europa, 8 resto;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en curso: ~280 centros en Biopharma EE. UU. y 130+ en resto del mundo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Inmunoglobulinas sobre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 +12,8 % a tipo constante en el primer semestre de 2026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 M (24,7 %;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 M (24,3 %;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Absorbe 108 M de la IRA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antes de M&amp;A (definición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resta arrendamientos; guía 2026: 500-575 M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según contrato de crédito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 (2025; 4,2x en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EBITDA publicado y deuda de balance: 5,6x y 5,2x [7,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Plasma recogido en Egipto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M de litros previstos en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objetivo de hasta 3 M de litros en 2029</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centros (13 operativos); la planta empieza a operar en 2026 [1,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proteínas terapéuticas derivadas del plasma humano (inmunoglobulinas IV y SC, albúmina, alfa-1 antitripsina, factores de coagulación e hiperinmunes), sin productos recombinantes, en todo el mundo. Usamos como cifra principal la del </w:t>
      </w:r>
      <w:r>
        <w:rPr>
          <w:b/>
        </w:rPr>
        <w:t xml:space="preserve">Marketing Research Bureau (MRB)</w:t>
      </w:r>
      <w:r>
        <w:t xml:space="preserve">, la referencia que citan Grifols, CSL o ADMA: más de 35.000 M USD en 2024 [1]. Como contraste, Coherent Market Insights estima 33.990 M USD en 2025 con otra metodología [20]. Norteamérica es el mayor mercado: más de 20.000 M USD en 2024 según el MRB [8]; solo las inmunoglobulinas en EE. UU. vendieron unos 13.000 M USD en 2024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Más de 35.000 M USD en 2024 (MRB) [1]; 33.990 M USD estimados para 2025 por Coherent Market Insights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RB; 2018 derivado y 2029e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inmunoglobulinas (inmunodeficiencias primarias y secundarias, CIDP) y paso a la vía subcutánea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inmunoglobulinas de Grifols crecieron un 11,5 % en 2025 (14,7 % a tipo constante) y la subcutánea un 55,4 % [1]; CSL espera para su ejercicio 2027 un crecimiento de las inmunoglobulinas de un dígito medio-alto, en línea con el mercado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Sustitutos no plasmáticos: anti-FcRn en CIDP y miastenia, emicizumab en hemofilia, albúmina recombinante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Vyvgart (efgartigimod) pasaron de 2.200 M USD en 2024 a 4.200 M USD en 2025 [19]; la FDA aprobó su versión subcutánea para CIDP en 2024 y China aprobó la primera albúmina recombinante (Healthgen) en julio de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Recogida de plasma en EE. UU. (centros, donantes, nomogramas)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tiene más de 1.000 centros con licencia de la FDA [16]; alrededor del 25 % del plasma estadounidense de Grifols se usa para ventas fuera de EE. UU. [8]; Grifols superó el millón de donantes únicos en 2025 y tiene el nomograma individualizado en el 80 % de sus centros de EE. UU.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Ley IRA y rediseño de Medicare Parte 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de Grifols bajó al 38,0 % en 2025 (38,7 % en 2024) en parte por costes de la IRA [1]; CSL atribuye a los cambios de Medicare Parte D que sus ventas de inmunoglobulinas (6.248 M USD) no crecieran en su ejercicio 2026 [13,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Contención de precios de la albúmina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albúmina de Grifols cayó un 7,7 % en 2025 [1] y la de CSL un 17 % en su ejercicio 2026, hasta 1.115 M USD, aunque CSL ve el mercado chino estabilizándose [13,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producción local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20-F señala el riesgo de aranceles recíprocos entre EE. UU., la UE y China [1]; Grifols tiene en EE. UU. una cadena completa con unos 280 centros y 2 plantas, y su plan es dedicar el plasma estadounidense a la demanda estadounidense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CSL, Takeda y Grifols son los tres primeros y los cinco mayores suman en torno al 87 % del mercado (estimación propia) [1, 13, 15]; pero en inmunoglobulinas hay seis fabricantes con producto al 10 % en EE. UU. y el 20-F reconoce descuentos de precio de competidores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GPO, distribuidores y pagadores públicos (Medicare, Medicaid, 340B) negocian precio y volumen en EE. UU.; en Europa y China los precios están intervenidos [1]. Ningún cliente supera el 10 % de las ventas de Grifols [1]. La albúmina china cayó un 17 % en CSL por las medidas del Gobierno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plasma es el principal coste y depende de donantes remunerados; su compensación y su disponibilidad (pandemias, inmigración) mueven el coste por litro [1]. Grifols mitiga con más de 400 centros propios y más de un millón de donantes únicos [1]. Los equipos de plasmaféresis vienen de pocos fabricantes: CSL pasa parte de su flota en EE. UU. a la última generación de Haemonetics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altas: licencias FDA y EMA de centros y plantas, solo plasma de centros aprobados por la FDA para vender en EE. UU. y fuertes inversiones [1]. Solo una proteína plasmática nueva (plasminógeno) en diez años [1]. Entradas recientes pequeñas: GC Biopharma (Alyglo) llegó a EE. UU. en 2024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Vyvgart (anti-FcRn) vendió 4.200 M USD en 2025 y compite en CIDP con las inmunoglobulinas [1, 19]; factores recombinantes, Hemlibra y la terapia génica ya dominan la hemofilia; hay cinco albúminas recombinantes en desarrollo (tres chinas y dos indias) y alfa-1 recombinante en camino (Sanofi) [1].</w:t>
            </w:r>
          </w:p>
        </w:tc>
      </w:tr>
    </w:tbl>
    <w:p>
      <w:pPr>
        <w:spacing w:after="160" w:before="0"/>
      </w:pPr>
    </w:p>
    <w:p>
      <w:pPr>
        <w:pStyle w:val="Heading2"/>
      </w:pPr>
      <w:r>
        <w:t xml:space="preserve">Ciclo</w:t>
      </w:r>
    </w:p>
    <w:p>
      <w:pPr>
        <w:spacing w:after="100"/>
      </w:pPr>
      <w:r>
        <w:t xml:space="preserve">La demanda es poco cíclica: los tratamientos no pueden interrumpirse sin riesgo vital, y el mercado creció un 7,3 % anual entre 2018 y 2021 a pesar de la pandemia [1, 3]. El ciclo está en la oferta: la COVID-19 recortó la recogida de plasma por las restricciones de movilidad y el coste por litro solo se normalizó al reanudarse las donaciones en EE. UU. [3]. Desde 2024 los márgenes se recuperan: el resultado de explotación de Grifols pasó de 782 M EUR en 2023 a 1.243 M EUR en 2025 [1] y Octapharma subió el suyo un 8,5 % en 2025 [17]. CSL llama a su ejercicio 2026 un año de reajuste, con caída del 1 % en ventas de Behring [13].</w:t>
      </w:r>
    </w:p>
    <w:p>
      <w:pPr>
        <w:pStyle w:val="Heading2"/>
      </w:pPr>
      <w:r>
        <w:t xml:space="preserve">Regulación</w:t>
      </w:r>
    </w:p>
    <w:p>
      <w:pPr>
        <w:spacing w:after="100"/>
      </w:pPr>
      <w:r>
        <w:t xml:space="preserve">La FDA y la EMA licencian centros, plantas y productos; en EE. UU. solo se venden proteínas obtenidas de plasma de centros aprobados por la FDA [1]. La </w:t>
      </w:r>
      <w:r>
        <w:rPr>
          <w:b/>
        </w:rPr>
        <w:t xml:space="preserve">ley IRA</w:t>
      </w:r>
      <w:r>
        <w:t xml:space="preserve"> de 2022 permite a Medicare negociar precios en la Parte D desde 2026 y en la Parte B desde 2028, y penaliza subidas por encima de la inflación; los productos plasmáticos han quedado fuera de algunos aspectos, pero el riesgo sigue [1]. En la UE, el </w:t>
      </w:r>
      <w:r>
        <w:rPr>
          <w:b/>
        </w:rPr>
        <w:t xml:space="preserve">Reglamento (UE) 2024/1938 sobre sustancias de origen humano (SoHO)</w:t>
      </w:r>
      <w:r>
        <w:t xml:space="preserve"> se aplica desde el 7 de agosto de 2027: la donación debe ser voluntaria y no remunerada, aunque admite compensar las pérdidas del donante con neutralidad financiera [21]. China contiene el precio de la albúmina [1]. Los aranceles recíprocos entre EE. UU., la UE y China son un riesgo abierto [1].</w:t>
      </w:r>
    </w:p>
    <w:p>
      <w:pPr>
        <w:pStyle w:val="Heading2"/>
      </w:pPr>
      <w:r>
        <w:t xml:space="preserve">Tendencias y disrupción</w:t>
      </w:r>
    </w:p>
    <w:p>
      <w:pPr>
        <w:spacing w:after="100"/>
      </w:pPr>
      <w:r>
        <w:t xml:space="preserve">Tres tendencias marcan el sector. </w:t>
      </w:r>
      <w:r>
        <w:rPr>
          <w:b/>
        </w:rPr>
        <w:t xml:space="preserve">Productividad del plasma</w:t>
      </w:r>
      <w:r>
        <w:t xml:space="preserve">: nomogramas individualizados, nuevas máquinas de plasmaféresis y mejoras de rendimiento; CSL invertirá unos 1.500 M USD en EE. UU., incluido su programa Horizon 2 [13], y Grifols tiene el nomograma en el 80 % de sus centros [7]. </w:t>
      </w:r>
      <w:r>
        <w:rPr>
          <w:b/>
        </w:rPr>
        <w:t xml:space="preserve">Autosuficiencia nacional</w:t>
      </w:r>
      <w:r>
        <w:t xml:space="preserve">: Egipto (con Grifols, hasta 3 millones de litros en 2029) y Canadá (600.000 litros anuales de centros de Grifols) buscan plasma propio [1, 7]. </w:t>
      </w:r>
      <w:r>
        <w:rPr>
          <w:b/>
        </w:rPr>
        <w:t xml:space="preserve">Sustitución parcial</w:t>
      </w:r>
      <w:r>
        <w:t xml:space="preserve"> por anti-FcRn, terapias génicas y albúmina recombinante [1, 19]. Grifols gana con la autosuficiencia y la vía subcutánea (Xembify +55 % en 2025) y pierde si los anti-FcRn ganan cuota en CIDP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Tercer productor mundial de hemoderivados por ventas, tras CSL y Takeda [1]. Cuota estimada del 18,2 % en 2024 (Biopharma, 6.143 M EUR, sobre un mercado MRB de más de 35.000 M USD) y en torno al 20 % en 2025 (estimación propia) [1]. Por producto: 26,0 % del volumen de inmunoglobulinas en EE. UU. (PPTA, 12 meses a septiembre de 2025), más del 69 % del mercado mundial de alfa-1 antitripsina y 17,6 % del volumen mundial de albúmina [1]. Tiene la mayor red privada de recogida de plasma del mundo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 (CSL Limited)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Ventas de 11.387 M USD en el ejercicio a junio de 2026 (−1 %), con inmunoglobulinas de 6.248 M USD planas y albúmina −17 % [13, 14]. El margen es el EBIT subyacente del grupo CSL (estimación propia: resultado operativo 6.763 menos I+D 1.223 y estructura 920 sobre 15.797 M USD); el resultado de segmento de Behring antes de I+D y estructura fue del 40,5 % [14]. Pérdida contable de 2.579 M USD por deterioros de 7.100 M USD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 (Plasma-Derived Therapies)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4502</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productor: 1.057.500 M JPY en el ejercicio a marzo de 2026 (+2,4 %), de ellos 790.600 M JPY de inmunoglobulinas (Gammagard, HyQvia, Cuvitru) [15]. Takeda no publica el margen de la unidad: el margen operativo subyacente (core) del grupo fue del 26,0 % y el contable del 0,1 %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Octapharma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y no cotizada. Ventas de 3.640 M EUR en 2025 (+5 %) y resultado operativo de 577 M EUR (+8,5 %); margen bruto del 32,2 % [17]. Más de 180 centros de donación en EE. UU. y 21 en Alemania [17]. Compite en inmunoglobulinas IV y SC (Octagam, Panzyga, Cutaquig) y albúmina [15,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Kedrion Biopharma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Quinto productor mundial según la propia empresa, de capital privado y con bonos. Ventas de 1.650 M EUR en 2025 (+4,5 %), EBITDA ajustado de 341,4 M EUR (20,7 % de las ventas) y deuda neta de 853,3 M EUR; EE. UU. es el 61,2 % de sus ventas [18]. No publica el EBIT en la nota de resultados.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ADMA Biologics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Especialista en inmunoglobulinas (Asceniv, Bivigam) con centros propios. Ventas de 510,2 M USD en 2025 (+20 %) y resultado de explotación de 191,4 M USD [16]. Crece rápido desde una base pequeña.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el valor de una inmunoglobulina para un paciente no depende de cuántos la usen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pacientes crónicos estables y los médicos tienden a no cambiar de marca, y Prolastin conserva más del 69 % del mercado de alfa-1 [1]; pero GPO y concursos públicos cambian de proveedor por precio, y CSL perdió concursos en su ejercicio 2026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FDA y EMA de más de 400 centros y de las plantas de fraccionamiento, 76 licencias de alfa-1 en 29 países y solo una proteína plasmática nueva en diez años [1]. Las patentes pesan poco: los productos son de origen biológico y antiguos.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y mayor red privada de recogida [14], pero el margen de explotación de Grifols (16,5 % en 2025) [1] está muy por debajo del de CSL (29,2 % subyacente, estimación propia) [5] y de ADMA (37,5 %) [7], y en línea con Octapharma (15,9 %) [8]: no hay ventaja de costes demostrada.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productores dominan y los cinco mayores suman en torno al 87 % (estimación propia); entrar exige centros con licencia, años de validación y plantas de cientos de millones, y solo jugadores pequeños (ADMA, GC Biopharma) han entrado en EE. UU. en la última década [1, 7].</w:t>
            </w:r>
          </w:p>
        </w:tc>
      </w:tr>
    </w:tbl>
    <w:p>
      <w:pPr>
        <w:spacing w:after="160" w:before="0"/>
      </w:pPr>
    </w:p>
    <w:p>
      <w:pPr>
        <w:pStyle w:val="Heading2"/>
      </w:pPr>
      <w:r>
        <w:t xml:space="preserve">Amenazas</w:t>
      </w:r>
    </w:p>
    <w:p>
      <w:pPr>
        <w:spacing w:after="100"/>
      </w:pPr>
      <w:r>
        <w:t xml:space="preserve">La amenaza más clara son los </w:t>
      </w:r>
      <w:r>
        <w:rPr>
          <w:b/>
        </w:rPr>
        <w:t xml:space="preserve">anti-FcRn</w:t>
      </w:r>
      <w:r>
        <w:t xml:space="preserve"> en CIDP: Vyvgart casi duplicó sus ventas hasta 4.200 M USD en 2025 [19] y la CIDP es uno de los motores de las inmunoglobulinas de Grifols [1]; probabilidad alta de que limite el crecimiento en esa indicación, baja de que reduzca el volumen total a corto plazo. Segunda, la </w:t>
      </w:r>
      <w:r>
        <w:rPr>
          <w:b/>
        </w:rPr>
        <w:t xml:space="preserve">presión de precio</w:t>
      </w:r>
      <w:r>
        <w:t xml:space="preserve">: IRA y Medicare Parte D en EE. UU. y la contención de la albúmina en China, que ya restaron margen en 2025 [1, 13]. Tercera, la </w:t>
      </w:r>
      <w:r>
        <w:rPr>
          <w:b/>
        </w:rPr>
        <w:t xml:space="preserve">albúmina recombinante</w:t>
      </w:r>
      <w:r>
        <w:t xml:space="preserve"> en China e India, con la primera aprobación en julio de 2025 [1]. Cuarta, la </w:t>
      </w:r>
      <w:r>
        <w:rPr>
          <w:b/>
        </w:rPr>
        <w:t xml:space="preserve">alfa-1 recombinante</w:t>
      </w:r>
      <w:r>
        <w:t xml:space="preserve"> de Sanofi (INBRX-101) frente a Prolastin [1]. Por último, CSL invierte unos 1.500 M USD en EE. UU. para bajar su coste por litro [13].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2016-2025: ingresos </w:t>
      </w:r>
      <w:r>
        <w:rPr>
          <w:b/>
          <w:bCs/>
        </w:rPr>
        <w:t xml:space="preserve">7,1 %</w:t>
      </w:r>
      <w:r>
        <w:t xml:space="preserve">, EBITDA </w:t>
      </w:r>
      <w:r>
        <w:rPr>
          <w:b/>
          <w:bCs/>
        </w:rPr>
        <w:t xml:space="preserve">5,4 %</w:t>
      </w:r>
      <w:r>
        <w:t xml:space="preserve">, BPA </w:t>
      </w:r>
      <w:r>
        <w:rPr>
          <w:b/>
          <w:bCs/>
        </w:rPr>
        <w:t xml:space="preserve">-3,3 %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Ingresos de 4.050 M (2016) a 7.524 M (2025): el salto viene sobre todo de compras (Hologic NAT en 2017, centros de plasma 2018-2021, Biotest desde abril de 2022) [1, 3, 6]. En 2025 crecieron un 4,3 % publicado y un 7,0 % a tipo constante; sin el efecto de la IRA (108 M) y la reclasificación de comisiones a GPO (96 M), un 9,1 % a tipo constante [9]. El margen EBITDA publicado cayó del 28,2 % de 2016 al 19,4 % de 2021 y al 18,6 % de 2023, y se recupera al 22,5 % en 2025 [1, 4, 6]. Biopharma explica la mejora: su EBITDA pasa de 1.220 M (2023) a 1.746 M (2025) [1]. 2022 y 2023 están reexpresados (empresa conjunta con ImmunoTek y la participación en Shanghai RAAS) y no son comparables con las cifras publicadas en su día [2]. 2021 y 2022 tampoco son comparables con los años anteriores por Biotest y el depósito de la emisión de bonos. La cuenta de 2024-2025 incluye entre 45 y 69 M anuales de deterioros dentro del EBITDA [7, 9].</w:t>
      </w:r>
    </w:p>
    <w:p>
      <w:pPr>
        <w:pStyle w:val="Heading2"/>
      </w:pPr>
      <w:r>
        <w:t xml:space="preserve">Ajustes y partidas no recurrentes</w:t>
      </w:r>
    </w:p>
    <w:p>
      <w:pPr>
        <w:spacing w:after="100"/>
      </w:pPr>
      <w:r>
        <w:t xml:space="preserve">La cuenta usa cifras publicadas (EBITDA = resultado de explotación + amortizaciones). Grifols publica además un EBITDA ajustado que suma costes de reestructuración, de transacción, el proyecto «Next Level» de Biotest, otros y deterioros: 149 M en 2024 (1.630 frente a 1.779), 132 M en 2025 (83 M en caja y 49 M de deterioros; 1.693 frente a 1.825) y 159 M en los doce meses a junio de 2026 (90 M en caja y 69 M de deterioros) [7, 9]. Esos importes van en «no recurrentes», aunque se repiten todos los años. El EBITDA del contrato de crédito suma además 168 M de ahorros estimados a doce meses vista (1.852 M en 2025) [9]. El resultado de las participadas con actividad similar (Shanghai RAAS hasta 2024) está dentro del resultado de explotación: va en «participadas». El resultado financiero incluye el de las otras participadas. El primer semestre de 2026 lleva un ingreso financiero no recurrente de 109 M por la refinanciación (modificación de deuda según NIIF 9) y 45 M de gastos por amortizaciones anticipadas [7]. 2016-2018 se publicaron sin NIIF 16.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(7-may-2026).</w:t>
      </w:r>
      <w:r>
        <w:t xml:space="preserve"> Ingresos de 1.700 M (−4,8 % publicado, +3,3 % a tipo constante) y EBITDA ajustado de 381 M (+0,8 % a tipo constante), con el euro a 1,18 frente a 1,04 [8]. La dirección destacó tres cosas: Biopharma creció un 6,8 % a tipo constante, se refinanciaron todos los vencimientos de 2027 y se estudia sacar a bolsa una parte minoritaria de Biopharma EE. UU. También citó que la Sección 232 reconoce los hemoderivados como activo estratégico. Diagnostic cayó por la disolución anticipada del negocio conjunto con QuidelOrtho, compensada en parte con 65 M USD en 2026-2028 [8].</w:t>
      </w:r>
    </w:p>
    <w:p>
      <w:pPr>
        <w:spacing w:after="100"/>
      </w:pPr>
      <w:r>
        <w:rPr>
          <w:b/>
        </w:rPr>
        <w:t xml:space="preserve">2T26 (28-jul-2026).</w:t>
      </w:r>
      <w:r>
        <w:t xml:space="preserve"> Ingresos de 1.874 M (+1,9 % a tipo constante) y EBITDA ajustado de 472 M, con margen del 25,2 % [7]. En el semestre, las inmunoglobulinas crecieron un 12,8 % a tipo constante y la albúmina cayó un 14,2 % por la bajada de precio en China. Hubo unos 40 M de costes puntuales. El flujo libre antes de M&amp;A fue de 91 M y la palanca, de 4,2x [7]. Mantiene la guía de 2026: margen EBITDA ajustado ≥25 %, EBITDA ajustado +5-9 % a tipo constante y flujo libre de 500-575 M antes de M&amp;A y dividendos [7, 9]. Entre una conferencia y otra, el discurso pasa de la refinanciación a la reorganización en dos sistemas (Biopharma EE. UU. con ~280 centros y resto del mundo con 130+). Añade el plasma de Egipto (~1 M de litros en 2026 y hasta 3 M en 2029) como palanca del coste por litro [7]. No se han leído las transcripciones con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(2017: Unidad de cribado NAT de Hologic, comprada por 1.865 M USD con cierre el 31-ene-2017: once meses en la cuenta [6].; 2018: Haema AG (220 M EUR, jun-2018) y BPC Plasma (286 M USD, ago-2018), vendidas en dic-2018 a Scranton (vinculada) por 538 M USD y que Grifols sigue consolidando por control (opción de compra), con el 100 % como minoritarios [3, 5].; 2019: Interstate Blood Bank (51 % restante, 89 M EUR, abr-2019) y primer año de NIIF 16 (los arrendamientos entran en balance y en el EBITDA) [5].; 2020: Shanghai RAAS (26,2 %) entra por puesta en equivalencia a cambio del 45 % de Grifols Diagnostic Solutions (30-mar-2020); compra a GC Pharma de la planta de Montreal y 11 centros (457 M USD, oct-2020) y del 100 % de Alkahest (146 M USD) [3].; 2021: 25 centros de BPL (385 M USD), 7 de Kedplasma (55,2 M USD) y GigaGen (90,5 M USD); al cierre, ~2.000 M de la emisión de bonos para comprar Biotest estaban en caja/depósito: balance inflado sin cuenta [3, 4].; 2022: Biotest consolidada desde el 25-abr-2022 (ocho meses en la cuenta, balance completo; 1.090,5 M EUR por Biotest Holdings más la OPA) y Haema Plasma Kft consolidada por control desde 2022 [3].; 2024: Venta del 20 % de Shanghai RAAS a Haier por unos 1.800 M USD (cobro de 1.564 M en 2024); queda un 6,58 % como activo financiero [1, 3].; 2025: Compra de los 28 centros de la empresa conjunta con ImmunoTek (feb-2025) y de Canadian Plasma Resources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(sin arrendamientos y con la de GIC) pasó de 4.942 M en 2016 a 9.946 M en 2023 por Hologic, los centros de plasma y Biotest. Desde entonces baja a 8.561 M en 2025 gracias a la venta del 20 % de Shanghai RAAS (1.564 M cobrados en 2024) [1, 2]. La deuda neta con arrendamientos fue de 8.818 M en 2025 (5,2x el EBITDA publicado) y de 8.843 M en jun-2026 (5,4x); con la definición del contrato de crédito, de 7.798 M y 4,2x [7]. Las existencias pasaron de 1.643 M (2016) a 3.296 M (2025): unos 260 días de coste de ventas, por el ciclo largo del plasma. En el primer semestre de 2026 volvieron a subir 184 M [7]. Tras la refinanciación de abril de 2026 (préstamos B de 2.000 M USD y 1.250 M EUR a 2033), el siguiente vencimiento grande son los bonos no garantizados de 2028 (1.400 M EUR al 3,875 % y 705 M USD al 4,75 %). Antes, en mayo de 2026, amortizó 500 M del bono al 7,5 % de 2030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2.376</w:t>
      </w:r>
      <w:r>
        <w:t xml:space="preserve">, conversión </w:t>
      </w:r>
      <w:r>
        <w:rPr>
          <w:b/>
          <w:bCs/>
        </w:rPr>
        <w:t xml:space="preserve">59 %</w:t>
      </w:r>
      <w:r>
        <w:t xml:space="preserve"> del beneficio neto; adquisiciones 5.648, dividendos 1.454, recompras 142.</w:t>
      </w:r>
    </w:p>
    <w:p>
      <w:pPr>
        <w:spacing w:after="100"/>
      </w:pPr>
      <w:r>
        <w:t xml:space="preserve">Los intereses pagados van en el flujo operativo (532 M en 2025) [1]. El flujo libre después de capex, arrendamientos e intereses fue negativo en 2022 (−499 M) y 2023 (−209 M), por el aumento de existencias (600 M y 411 M) y de los intereses. Se recuperó en 2024 (419 M) y 2025 (505 M) [1, 2, 3]. El «flujo de caja libre antes de M&amp;A» de la empresa (468 M en 2025, 267 M en 2024) no resta los pagos de arrendamientos (119 M) [9]. En el primer semestre de 2026 fue de 91 M [7]. Guía para 2026: 500-575 M antes de M&amp;A y de dividendos [9]. La empresa no separa el capex de mantenimiento del de crecimiento. Dice que, tras el ciclo inversor, el capex actual se centra «en mantenimiento y optimización» (118 M de inmovilizado en el primer semestre de 2026) [7]. El capex total de 2025 fue de 423 M (265 M de material y 158 M de intangibles) [1]. Los intereses capitalizados (11 M en el primer semestre de 2026) van en el flujo operativo [7]. En 2018, 386 M de la venta de Haema y BPC a Scranton (sin pérdida de control) están en desinversiones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Auditores, S.L. (desde 2024; antes KPMG Auditores, de 1990 a 2023)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en las cuentas de 2025 y en el control interno a 31-dic-2025; cuestión clave: deterioro del fondo de comercio de la UGE Diagnostic (2.525 M de 6.833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Grifols reexpresó en las cuentas de 2024 los ejercicios 2022 y 2023 por dos errores. Primero, registró la empresa conjunta con ImmunoTek como inversión financiera y no como operación conjunta: resta 23 M al resultado de 2022 y 17 M al de 2023. Segundo, contabilizó mal los minoritarios de Shanghai RAAS en GDS: la participación y las reservas estaban sobrevaloradas en 457 M de 2020 a 2023 [2]. Esas cuentas reconocían una debilidad material de control interno por falta de medios para operaciones complejas. Las de 2025 salen con opinión favorable sobre el control interno [1, 2]. La CNMV concluyó en marzo de 2024, tras el informe de Gotham City, que no hacía falta reexpresar las cuentas y que las operaciones vinculadas se hicieron a precio de mercado. Después abrió un expediente sancionador de hasta 1 M, que Grifols recurre [2, 7]. Capitaliza gastos de desarrollo (158 M de altas de intangibles en 2025) e intereses (11 M en el primer semestre de 2026) [1, 7]. Los ajustes al EBITDA se repiten todos los años: 149 M en 2024, 132 M en 2025 y 159 M en los doce meses a junio de 2026 [7, 9]. Los datos de 2020-2021 de este informe restan los 457 M al patrimonio y al activo para que sean comparables.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2022-2023 y debilidad material de control interno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con ImmunoTek (−23 M y −17 M de resultado) y sobrevaloración de 457 M de la participación en Shanghai RAAS y de las reservas de 2020-2023; debilidad material declarada en el 20-F de 2024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de Gotham City (ene-2024) y CNMV</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CNMV no exigió reexpresar (21-mar-2024), pero abrió un expediente sancionador (sanción propuesta ≤1 M) recurrido ante la Audiencia Nacional [2,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sociedades de Scranton (vinculada) sin propiedad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Haema AG, BPC Plasma y Haema Plasma Kft se consolidan por control mediante opciones de compra, con el 100 % de minoritarios; hay saldos de cash pooling con Scranton (35 M a jun-2026) [3,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al EBITDA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149 M (2024), 132 M (2025) y 159 M (doce meses a jun-2026), entre ellos deterioros de 49-69 M; el EBITDA del contrato de crédito suma además 168 M de ahorros estimados [7,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desarrollo e intereses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158 M de altas de intangibles en 2025; 11 M de intereses capitalizados en el primer semestre de 2026 (14 M un año antes)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Cesión de cuentas a cobrar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14 M en 2025 (31 M en 2024): mejora el circulante publicado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auditor tras 34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KPMG auditó de 1990 a 2023; Deloitte desde 2024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4,4 % · </w:t>
      </w:r>
      <w:r>
        <w:rPr>
          <w:b/>
          <w:bCs/>
        </w:rPr>
        <w:t xml:space="preserve">WACC</w:t>
      </w:r>
      <w:r>
        <w:t xml:space="preserve">: 8,2 %.</w:t>
      </w:r>
    </w:p>
    <w:p>
      <w:pPr>
        <w:spacing w:after="100"/>
      </w:pPr>
      <w:r>
        <w:rPr>
          <w:b/>
        </w:rPr>
        <w:t xml:space="preserve">Grifols no cubre hoy su coste de capital.</w:t>
      </w:r>
      <w:r>
        <w:t xml:space="preserve"> El ROIC fue del 9,2-11,5 % en 2016-2018, cuando el margen EBITDA rondaba el 27-28 %, y cayó al 3,0-3,1 % en 2021-2023: el coste del plasma subió tras la pandemia y la compra de Biotest (1.090,5 M) y de centros de plasma infló el capital invertido [1, 3]. En 2025 se recupera al 6,6 %, aún por debajo del WACC del 8,2 % [1]. Lo mueve el margen, no la rotación, que lleva una década en 0,3-0,4 veces por el inventario de plasma (260 días de coste de ventas) [1]. El ROIC incremental (4,4 %) dice que el crecimiento de la década destruyó valor. La competencia hace más con menos: CSL Behring tiene un margen de segmento del 40,5 % y ADMA un margen EBIT del 37,5 % [14, 16]. Para crear valor, Grifols necesita volver a márgenes EBITDA del 26-27 % con el capital que ya tiene.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513 M + líneas no dispuestas 1.517 M = liquidez de 2.030 M; la línea revolving de 2.065 M USD (vence en oct-2032) tenía 351 M dispuestos [7]. A 31-dic-2025: caja 825 M + 853 M de líneas no dispuestas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 con perspectiva estable (subida de dos escalones); Moody's: B2 con perspectiva positiva (dic-2025); Fitch: B+ con perspectiva positiva (dic-2025). La deuda garantizada tiene BB- (S&amp;P), B1 (Moody's) y BB (Fitch) [1, 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deuda incluye 738 M con GIC (fondo soberano de Singapur) por las acciones preferentes de Biomat USA y Biomat Newco: dividendo preferente de 4,17 M USD por acción y rescate de una acción al año por 52,1 M USD; desde 2036 GIC puede pedir el rescate total [1, 2]. Covenant de deuda neta / EBITDA ajustado de 7,0x, que solo se mide si se dispone más del 40 % de la línea revolving (nuevo contrato: cada trimestre desde abr-2026) [1]. Haema AG, BPC Plasma y Haema Plasma Kft son de Scranton (vinculada a la familia), pero Grifols las consolida por opciones de compra, con el 100 % de minoritarios [3, 7]. Venta de cuentas a cobrar sin recurso (coste de 14 M en 2025) [1]. Provisiones de 154 M [1]. Expediente sancionador de la CNMV de no más de 1 M EUR, recurrido ante la Audiencia Nacional [7]. Arrendamientos de 1.082 M (1.045 M en jun-2026) [1, 7].</w:t>
      </w:r>
    </w:p>
    <w:p>
      <w:pPr>
        <w:pStyle w:val="Heading1"/>
      </w:pPr>
      <w:r>
        <w:t xml:space="preserve">12. Asignación de capital</w:t>
      </w:r>
    </w:p>
    <w:p>
      <w:pPr>
        <w:pStyle w:val="Confianza"/>
        <w:spacing w:after="100"/>
      </w:pPr>
      <w:r>
        <w:t xml:space="preserve">Confianza: Media</w:t>
      </w:r>
    </w:p>
    <w:p>
      <w:pPr>
        <w:spacing w:after="100"/>
      </w:pPr>
      <w:r>
        <w:t xml:space="preserve">Grifols no pagó dividendo con cargo a 2021-2024 [1]. Lo reanudó con un dividendo a cuenta de 2025 de 0,15 EUR por acción (102,1 M, ago-2025) y uno complementario de 56,1 M aprobado en junio de 2026: 158,2 M por 2025, más el preferente de 0,01 EUR por acción B [1, 7]. El nuevo contrato de crédito limita el dividendo al 4 % de la capitalización si la deuda neta supera 4,0x el EBITDA y al 6 % si no la supera [1]. No hay recompras en curso. La prioridad declarada es bajar deuda: apalancamiento según el contrato de 3,5x o menos a finales de 2027 y flujo libre acumulado 2024-2027 de 1.750-2.000 M antes de M&amp;A y dividendos [9]. Estudia sacar a bolsa una parte minoritaria de Biopharma EE. UU.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 de cribado NAT de Hologic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(préstamo B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1.865 M USD, convertido al cambio aproximado. Las ventas de Diagnostic bajan de 779 M (2021) a 640 M (2025) y su EBITDA de 177 M a 159 M (2023-2025). La UGE Diagnostic tiene 2.525 M de fondo de comercio, cuestión clave de la auditoría, sin deterioro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Haema AG (Alemania) y BPC Plasma (EE. UU.), centros de 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revendidas en dic-2018 a Scranton (vinculada) por 538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 M EUR + 286 M USD. Siguen consolidadas sin propiedad, con opción de recompra; su resultado se atribuye a minoritarios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Interstate Blood Bank (51 % restante; 26 centros de 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Grifols Bio Supplies [3,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26,2 % de Shanghai RAAS a cambio del 45 % de Grifols Diagnostic Solutions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2024 vendió el 20 % a Haier por unos 1.800 M USD (cobro de 1.564 M) y conserva el 6,58 %. El registro inicial sobrevaloró la participación en 457 M, reexpresados en 2024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de fraccionamiento de Montreal y 11 centros de GC Pharma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457 M USD, convertido al cambio aproximado; base del programa de autosuficiencia de Canadá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Alkahest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146 M USD. En 2025, deterioro de 10 M de su fondo de comercio y de 35 M de un proyecto de I+D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centros de plasma de BPL y 7 de Kedplasma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385 M USD y 55,2 M USD; un millón de litros al año en los centros de BPL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GigaGen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90,5 M USD; en I+D, sin ingresos [3,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Biotest AG (vía Biotest Holdings y 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oct-2021 (1.400 M EUR al 3,875 % y 705 M USD al 4,75 %, vencimiento 2028)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de Biotest Holdings; la OPA se pagó aparte (43 EUR por ordinaria y 37 EUR por preferente). Grifols tiene el 80,78 % del capital tras la exclusión forzosa de 2026. Biotest perdió 69 M después de impuestos en los doce meses a jun-2026 y sigue en reestructuración (proyecto Next Level, 25 M de costes en 2025)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centros de la empresa conjunta con ImmunoTek y Canadian Plasma Resources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108 M en 2025 por sociedades y negocios y de 129 M por minoritarios [1].</w:t>
            </w:r>
          </w:p>
        </w:tc>
      </w:tr>
    </w:tbl>
    <w:p>
      <w:pPr>
        <w:spacing w:after="160" w:before="0"/>
      </w:pPr>
    </w:p>
    <w:p>
      <w:pPr>
        <w:spacing w:after="100"/>
      </w:pPr>
      <w:r>
        <w:rPr>
          <w:b/>
        </w:rPr>
        <w:t xml:space="preserve">La asignación de capital de la última década ha sido mala para el accionista.</w:t>
      </w:r>
      <w:r>
        <w:t xml:space="preserve"> De 2016 a 2025, Grifols generó 2.376 M de flujo libre, gastó 5.648 M en compras y pagó 1.454 M de dividendos: la diferencia la pagó la deuda, que pasó de 4.942 M a 8.561 M [1, 6]. Las compras (Hologic, centros de plasma, Biotest) dejaron un ROIC incremental del 4,4 %, por debajo del WACC, y la operación con Scranton (venta de Haema y BPC en 2018 sin perder el control) creó la estructura vinculada que hoy pesa en el gobierno [1, 5]. Desde 2024 la nueva dirección ha cambiado el orden: venta del 20 % de Shanghai RAAS (1.564 M cobrados), flujo libre de 468 M en 2025, refinanciación de 2027 y un dividendo prudente (158,2 M por 2025, con el límite del 4-6 % de la capitalización del contrato de crédito) [1, 7, 34]. La prueba pendiente es llegar a 3,5x de apalancamiento a finales de 2027.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Ignacio (Nacho) Abia Buenache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febrero de 2024 y consejero delegado desde el 1 de abril de 2024; antes, más de diez años presidente y consejero delegado de Olympus Corporation of the Americas y COO y CSO de Olympus Corporation [1]. Con él al frente, 2025 cerró con ingresos de 7.524 M EUR (+7,0 % a tipo constante), EBITDA ajustado de 1.825 M EUR, flujo libre antes de M&amp;A de 468 M EUR (+201 M) y apalancamiento según el contrato de crédito de 4,6x a 4,2x [9]. Posee 117.807 acciones A (menos del 0,1 %)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Rahul Srinivasan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septiembre de 2024; más de 25 años en KPMG, Credit Suisse y Bank of America, donde dirigía Leveraged Finance y Capital Markets para EMEA [1]. Dirigió la refinanciación de los vencimientos de 2027 en abril de 2026 con un préstamo TLB de 2.000 M USD y 1.250 M EUR a siete años y una línea revolving de 2.065 M USD [34]. Posee 77.121 acciones 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Anne-Catherine Berner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desde junio de 2024 y presidenta no ejecutiva desde la junta de junio de 2025, tras la salida de Thomas Glanzmann [1]. Fue consejera delegada y presidenta de Vallila Interior (1989-2012), diputada y ministra en Finlandia; es consejera de Kühne+Nagel, SEB y Medicover [1, 23]. Preside la Comisión de Estrategia creada en septiembre de 2025 [29]. Cobró 380.000 EUR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Raimon Grifols Roura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(dominical, Deria)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2015 y antiguo consejero delegado solidario; representa en el consejo, con Víctor Grifols Deu, a Deria, S.L., primer accionista con el 15,20 % de los votos [1, 23]. Tiene 57.118 acciones A a título directo [1]. Su remuneración pasó de 3,98 M EUR en 2024 (aún con funciones ejecutivas) a 0,18 M EUR en 2025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Roland Wandeler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Biopharma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unidad Biopharma desde enero de 2024; antes fue director comercial de MorphoSys y ocupó 14 años puestos directivos en Amgen [1]. Biopharma es el negocio que explica el crecimiento del 7,0 % a tipo constante de 2025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Jordi Balsells Valls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Plasma Procurement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la unidad de obtención de plasma desde octubre de 2022; antes, director general de Merchandising y Licencias del FC Barcelona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Feb-2022: compromiso de apalancamiento por debajo de 4x en 2023 y de 3,5x en 2024 [39]; para 2022, ingresos combinados con Biotest de 5.800-6.000 M EUR y margen de EBITDA ajustado del 20-21 %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6.064 M EUR y EBITDA ajustado de 1.247 M EUR (20,6 % de margen), en línea con la guía; apalancamiento de 7,1x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ingresos del 8-10 % a tipo constante (Biopharma 10-12 %) y margen de EBITDA ajustado sin Biotest del 23-25 % en el segundo semestre [38]; apalancamiento por debajo de 4x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6.592 M EUR (+10,9 % a tipo constante); EBITDA ajustado de 1.474 M EUR, por encima de la guía, con margen del 24,0 % sin Biotest; apalancamiento de 6,3x frente al objetivo de menos de 4x [37]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+7 % o más a tipo constante (Biopharma 8-10 %), EBITDA ajustado con Biotest de 1.800 M EUR o más y margen sin Biotest del 27-28 % [37]; apalancamiento por debajo de 3,5x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7.212 M EUR (+10,3 % a tipo constante), EBITDA ajustado de 1.779 M EUR (24,7 %), flujo libre de 266 M EUR, por encima de la guía; apalancamiento de 4,6x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(feb-2025, a tipo de la guía): ingresos de 7.550-7.600 M EUR, EBITDA ajustado de 1.875-1.925 M EUR y flujo libre antes de M&amp;A y dividendos de 350-400 M EUR; en noviembre, ingresos de más de 7.600 M EUR y flujo libre de 400-425 M EUR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7.524 M EUR y EBITDA ajustado de 1.825 M EUR a tipos reales (1.892 M EUR a los tipos del presupuesto, según el IARC); flujo libre antes de M&amp;A de 468 M EUR, 68 M por encima del máximo original [9, 24]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libre antes de M&amp;A y dividendos de 500-575 M EUR, margen de EBITDA ajustado de al menos el 25 % con crecimiento del EBITDA ajustado del 5-9 % a tipo constante y menos apalancamiento; para 2027, 3,5x o menos y 1.750-2.000 M EUR de flujo libre acumulado en 2024-2027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1S26 la guía se confirma; apalancamiento de 4,2x a junio de 2026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actual es nueva: el consejero delegado (abril de 2024), el director financiero (septiembre de 2024) y la presidenta (junio de 2025) vienen de fuera de la familia, tras el informe de Gotham City y la investigación de la CNMV [1]. En 2024 y 2025 la empresa cumplió o superó sus guías de ingresos y flujo libre; en 2024 se quedó cerca en EBITDA ajustado (1.779 frente a 1.800 M EUR o más) [9, 12, 37]. Los objetivos de deuda de 2022 (menos de 4x en 2023 y de 3,5x en 2024) se incumplieron con holgura: 6,3x y 4,6x [12, 37, 39]. El contrato del consejero delegado dura tres años desde 2024 y no tiene plan a largo plazo; la renovación coincide con el plazo de 3,5x de apalancamiento de 2027 [9, 24]. En 2025 y 2026 el variable del consejero delegado ponderó la planificación de la sucesión del comité ejecutivo con un 10 % y un 5 % [1, 24].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Anne-Catherine Berner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(presidenta); 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Ignacio (Nacho) Abia Buenache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Raimon Grifols Roura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Víctor Grifols Deu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Grifols Coma-Cros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S. Herendeen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Tomás Dagá Gelabert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Montserrat Muñoz Abellana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Auditoría;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Susana González Rodríguez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Comunicación y Reputación (presidenta);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Ravery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Ester Masllorens Llinàs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(cooptación, junio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comunicada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Joanna Susan Le Couilliard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(cooptación, julio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Tomás Dagá Gelabert</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55,7 %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en las cuentas de 2025 y en el control interno a 31-dic-2025; cuestión clave: deterioro del fondo de comercio de la UGE Diagnostic (2.525 M de 6.833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Deria, S.L. (familia Grifols Roura)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(dominical: Raimon Grifols Roura y Víctor Grifols Deu)</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9,19 % al 15,20 % el 1-ago-2025 por absorción de Ralledor Holding Spain (6,15 %), sin cambio en el total de la familia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Scranton Enterprises B.V.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miembros de la familia Grifols y de consejeros (Tomás Dagá es accionista)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Ponder Trade,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(dominical: Albert Grifols Coma-Cros, su consejero delegado desde septiembre de 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Flat Footed LLC (Marc Andersen)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(representado por Paul S. Herendeen)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3,13 % del 20-F al 5,391 % en mayo de 2026, según la prensa con datos de la CNMV; no verificado en el registro de la CNMV [1,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(11,9 M de votos por acciones y 8,1 M por instrumentos)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4,315 % (ene-2025) al 3,816 % (may-2025) y de vuelta al 4,27 % a cierre de 2025; 4,706 % a la fecha del 20-F [1,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Goldman Sachs Group,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(13,1 M de los 15,3 M de votos por swaps y warrants)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del 6,442 % y mínimo del 0,170 % entre 2024 y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 of America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(11,3 M de los 13,9 M de votos por swaps)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en 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Mason Capital Master Fund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(representado por Paul S. Herendeen)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el 7-feb-2025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Armistice Capital Master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(umbral del 1 % por domicilio)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de variación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International Limited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de variación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3.778.222 acciones A y 3.201.374 acciones B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3.773.833 acciones A sin voto en la junta de junio de 2026 [23,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3,52 M EUR en 2025: 2,0 M de fijo en efectivo, 1,31 M de variable anual y 0,2 M en especie [1, 24]. Además recibe cada año acciones A por valor de 1,8 M EUR como parte del fijo, que solo se entregan al cumplirse los tres años del contrato [24]. El variable anual va del 0 % al 60 % del fijo en el objetivo y hasta el 90 % si se supera; en 2025 pesaron un 60 % las métricas económicas (EBITDA a tipo constante, flujo libre y ventas, un 20 % cada una), un 15 % ESG, un 10 % innovación y un 15 % sucesión y cumplimiento normativo; logro del 109,31 % y coeficiente de pago del 65,59 % [1, 24]. Para 2026: EBITDA ajustado (20 %), flujo libre (15 %), margen de EBITDA (25 %), rendimiento en inmunoglobulinas (10 %) y otros [24]. No tiene plan a largo plazo [24]. La indemnización equivale al fijo, el bonus y las acciones pendientes hasta el final de los tres años; hay cláusulas de recuperación del variable y política de recuperación de la SEC [1, 24]. El informe de remuneraciones obtuvo un 24,63 % en contra en 2024 y un 20,19 % en 2025 (por encima del 20 %, con el entonces presidente ejecutivo y la crisis de Gotham de fondo) y un 12,39 % en 2026 [25, 26, 27].</w:t>
      </w:r>
    </w:p>
    <w:p>
      <w:pPr>
        <w:pStyle w:val="Heading2"/>
      </w:pPr>
      <w:r>
        <w:t xml:space="preserve">Operaciones vinculadas, estructura de control y defensas</w:t>
      </w:r>
    </w:p>
    <w:p>
      <w:pPr>
        <w:spacing w:after="100"/>
      </w:pPr>
      <w:r>
        <w:t xml:space="preserve">Las acciones B no tienen voto y cobran un dividendo preferente de 0,01 EUR; si hay una OPA en la que no participan en igualdad con las A, pueden pedir el rescate [1]. Las familias Grifols y Scranton tienen en torno al 36 % de las acciones A, que concentran todo el voto [1]. El IAGC no recoge pactos ni acción concertada ni control según el artículo 5 de la Ley del Mercado de Valores [23]. Aun así, Deria, Scranton y Ponder Trade suman 130,8 M de votos: el 50,8 % de los presentes en la junta de 2026 y el 55,8 % en la de 2024 (estimación propia, suponiendo que asistieron) [1, 25, 27]. Hay operaciones vinculadas de calado con Scranton: control y consolidación de Haema y BPC Plasma sin capital, con opción de compra; préstamo al vendedor de 124 M EUR; suministro exclusivo de plasma a 30 años; alquiler de la sede (7 M EUR al año hasta 2045); y licencia de la marca Grifols (0,1 % de las ventas, 8 M EUR) [1]. Los activistas (Mason, Sachem Head, Flat Footed) tienen un consejero dominical por representación proporcional [1].</w:t>
      </w:r>
    </w:p>
    <w:p>
      <w:pPr>
        <w:pStyle w:val="Heading2"/>
      </w:pPr>
      <w:r>
        <w:t xml:space="preserve">Señales de alerta</w:t>
      </w:r>
    </w:p>
    <w:p>
      <w:pPr>
        <w:pStyle w:val="ListParagraph"/>
        <w:numPr>
          <w:ilvl w:val="0"/>
          <w:numId w:val="2"/>
        </w:numPr>
        <w:spacing w:after="60"/>
      </w:pPr>
      <w:r>
        <w:t xml:space="preserve">Gotham City Research publicó informes bajistas el 9-ene, el 20-feb y el 6-mar-2024; la acción A pasó de 14,24 EUR a 6,93 EUR. Grifols demandó a Gotham en Nueva York y el procedimiento sigue en fase de prueba [1].</w:t>
      </w:r>
    </w:p>
    <w:p>
      <w:pPr>
        <w:pStyle w:val="ListParagraph"/>
        <w:numPr>
          <w:ilvl w:val="0"/>
          <w:numId w:val="2"/>
        </w:numPr>
        <w:spacing w:after="60"/>
      </w:pPr>
      <w:r>
        <w:t xml:space="preserve">La CNMV concluyó el 21-mar-2024 que no había que reexpresar las cuentas, salvo ImmunoTek: debía registrarse como operación conjunta, lo que corrigió las comparativas de 2022 y 2023 en las cuentas de 2024 [1].</w:t>
      </w:r>
    </w:p>
    <w:p>
      <w:pPr>
        <w:pStyle w:val="ListParagraph"/>
        <w:numPr>
          <w:ilvl w:val="0"/>
          <w:numId w:val="2"/>
        </w:numPr>
        <w:spacing w:after="60"/>
      </w:pPr>
      <w:r>
        <w:t xml:space="preserve">La CNMV abrió expediente sancionador el 25-sep-2024 por la información financiera de 2021-2023 y las medidas alternativas de rendimiento. El 25-jun-2025 impuso multas de 1,36 M EUR a Grifols y a varios consejeros; está recurrido ante la Audiencia Nacional desde el 24-sep-2025 [1].</w:t>
      </w:r>
    </w:p>
    <w:p>
      <w:pPr>
        <w:pStyle w:val="ListParagraph"/>
        <w:numPr>
          <w:ilvl w:val="0"/>
          <w:numId w:val="2"/>
        </w:numPr>
        <w:spacing w:after="60"/>
      </w:pPr>
      <w:r>
        <w:t xml:space="preserve">En 2024 se detectó una debilidad material de control interno sobre transacciones complejas, que reexpresó las comparativas de 2022 y 2023; quedó subsanada a 31-dic-2025 [1].</w:t>
      </w:r>
    </w:p>
    <w:p>
      <w:pPr>
        <w:pStyle w:val="ListParagraph"/>
        <w:numPr>
          <w:ilvl w:val="0"/>
          <w:numId w:val="2"/>
        </w:numPr>
        <w:spacing w:after="60"/>
      </w:pPr>
      <w:r>
        <w:t xml:space="preserve">Brookfield, con la familia Grifols, propuso una OPA a 10,50 EUR por acción A (6.450 M EUR por el 100 %). El 19-nov-2024 el consejo la rechazó por infravalorar la compañía y el 27-nov-2024 Brookfield desistió [35, 36]. Brookfield no figura entre los accionistas significativos [1, 23].</w:t>
      </w:r>
    </w:p>
    <w:p>
      <w:pPr>
        <w:pStyle w:val="ListParagraph"/>
        <w:numPr>
          <w:ilvl w:val="0"/>
          <w:numId w:val="2"/>
        </w:numPr>
        <w:spacing w:after="60"/>
      </w:pPr>
      <w:r>
        <w:t xml:space="preserve">En enero de 2024 hubo anuncios de despachos estadounidenses que investigaban posibles demandas colectivas; el apartado de litigios del 20-F de 2025 no incluye ninguna demanda colectiva de accionistas [1, 42].</w:t>
      </w:r>
    </w:p>
    <w:p>
      <w:pPr>
        <w:pStyle w:val="ListParagraph"/>
        <w:numPr>
          <w:ilvl w:val="0"/>
          <w:numId w:val="2"/>
        </w:numPr>
        <w:spacing w:after="60"/>
      </w:pPr>
      <w:r>
        <w:t xml:space="preserve">Cambios en la cúpula: Glanzmann dejó la presidencia ejecutiva en septiembre de 2024, Abia es consejero delegado desde abril de 2024 y Berner preside desde junio de 2025 [1].</w:t>
      </w:r>
    </w:p>
    <w:p>
      <w:pPr>
        <w:pStyle w:val="ListParagraph"/>
        <w:numPr>
          <w:ilvl w:val="0"/>
          <w:numId w:val="2"/>
        </w:numPr>
        <w:spacing w:after="60"/>
      </w:pPr>
      <w:r>
        <w:t xml:space="preserve">Rotación del consejo en 2026: dimitieron por motivos profesionales Enriqueta Felip (19-jun) e Íñigo Sánchez-Asiaín (29-jul), presidente de Auditoría y del comité que evaluó la OPA [31, 32, 35].</w:t>
      </w:r>
    </w:p>
    <w:p>
      <w:pPr>
        <w:pStyle w:val="ListParagraph"/>
        <w:numPr>
          <w:ilvl w:val="0"/>
          <w:numId w:val="2"/>
        </w:numPr>
        <w:spacing w:after="60"/>
      </w:pPr>
      <w:r>
        <w:t xml:space="preserve">En la junta de 2026 no salió la convocatoria de juntas extraordinarias con 15 días de antelación: 54,71 % a favor sobre el capital con voto, por debajo de la mayoría necesaria [27, 28].</w:t>
      </w:r>
    </w:p>
    <w:p>
      <w:pPr>
        <w:pStyle w:val="ListParagraph"/>
        <w:numPr>
          <w:ilvl w:val="0"/>
          <w:numId w:val="2"/>
        </w:numPr>
        <w:spacing w:after="60"/>
      </w:pPr>
      <w:r>
        <w:t xml:space="preserve">Comisión de Nombramientos y Retribuciones con solo un 40 % de independientes; del Código de Buen Gobierno se cumplen 50 recomendaciones, 3 en parte (15, 25 y 47), 5 se explican (16, 48, 61, 62 y 64) y 6 no aplican [23].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(26-feb-2026) [9]: margen de EBITDA ajustado de al menos el 25 %, crecimiento del EBITDA ajustado del 5-9 % a tipo de cambio constante, flujo libre antes de M&amp;A y de dividendos de 500-575 M EUR y desapalancamiento continuado. Hitos de 2027 sin cambios: apalancamiento según el contrato de crédito de 3,5x o menos a cierre de 2027 y flujo libre acumulado antes de M&amp;A y dividendos de 1.750-2.000 M EUR en 2024-2027 [9]. El 28-jul-2026 Grifols confirmó la guía tras un 1S con ingresos de 3.574 M EUR (+2,6 % a tipo constante), EBITDA ajustado de 854 M EUR (23,9 % de margen), flujo libre antes de M&amp;A de 91 M EUR y apalancamiento de 4,2x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9-oct-2026 [44]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9-oct-2026 [44]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12 analistas, 9-oct-2026 [44]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 23,00</w:t>
            </w:r>
          </w:p>
        </w:tc>
      </w:tr>
    </w:tbl>
    <w:p>
      <w:pPr>
        <w:spacing w:after="160" w:before="0"/>
      </w:pPr>
    </w:p>
    <w:p>
      <w:pPr>
        <w:pStyle w:val="Heading2"/>
      </w:pPr>
      <w:r>
        <w:t xml:space="preserve">Revisiones de estimaciones</w:t>
      </w:r>
    </w:p>
    <w:p>
      <w:pPr>
        <w:spacing w:after="100"/>
      </w:pPr>
      <w:r>
        <w:t xml:space="preserve">Las fuentes gratuitas no publican la serie de revisiones del BPA y del EBITDA (MarketScreener solo la da en gráfico) [45]. Entre marzo y junio de 2026 varios bancos recortaron el precio objetivo: Morgan Stanley bajó a «igual ponderación» (10-mar), Baader/AlphaValue recortó previsiones y objetivo (6-abr), CaixaBank (25-may) y Bestinver (19-jun) rebajaron el objetivo manteniendo «comprar» [45]. El consenso de 2026 (EBITDA 1.890 M EUR, 24,7 % de margen) queda por debajo del margen mínimo del 25 % de la guía [9][44]. Investing coincide en 12 analistas, 8 comprar, 3 mantener y 1 vender, con objetivo medio de 14,758 EUR [46].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r>
    </w:tbl>
    <w:p>
      <w:pPr>
        <w:spacing w:after="160" w:before="0"/>
      </w:pPr>
    </w:p>
    <w:p>
      <w:pPr>
        <w:spacing w:after="100"/>
      </w:pPr>
      <w:r>
        <w:t xml:space="preserve">La acción A ha perdido un 16,4 % en un año, frente al +23,0 % del IBEX, y un 13,0 % anual en cinco años [43]. La caída máxima (−66,6 %) va del 14-oct-2021 al 6-mar-2024: primero el coste del plasma tras la pandemia y la deuda de Biotest, y después los informes de Gotham City de enero a marzo de 2024 [1, 43]. En 2024 cayó un 40,8 % y en 2025 subió un 17,0 %, muy por debajo del IBEX (+49,3 %) [43]. En 2026 marcó mínimo en 8,43 EUR el 23-mar y cayó un 4,1 % tras el semestre, con un flujo libre de 91 M [7, 43]. La beta mensual a cinco años es de 1,63 frente al IBEX y la volatilidad del 28,5 %: es una acción apalancada. Kintbury Capital tiene una posición corta del 1,81 % del capital, la única por encima del 0,5 % [70].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Grifols cotiza a 9,5 veces el EBITDA y 15,0 veces el beneficio de los últimos 12 meses, en el mínimo de su década y un 48 % y un 51 % por debajo de sus medias (18,2 y 30,5 veces). El descuento es estructural, no un error del mercado: en 2016-2023 el mercado pagaba un negocio de margen del 27-28 % y deuda de 4x; hoy paga un margen del 24 % con 4,9 veces de deuda neta, un ROIC del 6,6 % y la desconfianza que dejó Gotham [1]. Desde 2024 el múltiplo se ha quedado en 10 veces aunque el EBITDA ha mejorado: el mercado espera a ver la deuda bajar.</w:t>
      </w:r>
    </w:p>
    <w:p>
      <w:pPr>
        <w:pStyle w:val="Heading1"/>
      </w:pPr>
      <w:r>
        <w:t xml:space="preserve">18. Comparables cotizados</w:t>
      </w:r>
    </w:p>
    <w:p>
      <w:pPr>
        <w:pStyle w:val="Confianza"/>
        <w:spacing w:after="100"/>
      </w:pPr>
      <w:r>
        <w:t xml:space="preserve">Confianza: Media</w:t>
      </w:r>
    </w:p>
    <w:p>
      <w:pPr>
        <w:spacing w:after="100"/>
      </w:pPr>
      <w:r>
        <w:t xml:space="preserve">Fabricantes de hemoderivados cotizados con estimaciones gratuitas: CSL (Behring, líder mundial), Takeda (con su división de terapias derivadas del plasma dentro de una farmacéutica diversificada), ADMA Biologics y Kamada (especialistas pequeños en inmunoglobulinas e hiperinmunes) y los tres grandes chinos (Shanghai RAAS, Hualan y Tiantan/Sinopharm). Octapharma, Kedrion, LFB y BPL no cotizan; Biotest dejó de cotizar tras la oferta de exclusión de 2025 [53][54].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Grifols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ADMA Biologics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Shanghai RAAS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Hualan Biological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Tiantan Biological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Kamada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10,8x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11,5x / 16,4x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 / 21,9x / 25,7x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 / 4,5x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13,8 + -0,48 × crecimiento; R² = 0,52. Para el crecimiento esperado de la empresa (6,3 %), el múltiplo ajustado es 10,7x y el valor por acción, 15,38.</w:t>
      </w:r>
    </w:p>
    <w:p>
      <w:pPr>
        <w:spacing w:after="100"/>
      </w:pPr>
      <w:r>
        <w:t xml:space="preserve">Grifols cotiza a 9,0 veces el EBITDA de los próximos 12 meses y 10,1 veces el beneficio, frente a una mediana de los comparables de 10,8 y 21,9 veces [53]. El descuento en EV/EBITDA es pequeño (17 %) y se justifica: menos margen (24,3 % frente al 28,1 % de la mediana), ROIC por debajo del coste de capital y 4,9 veces de deuda frente a 0,6 veces [53]. El PER engaña: con tanta deuda, el beneficio por acción es muy sensible y el de 2026e lleva un ingreso financiero no recurrente de 109 M [7]. La regresión del múltiplo sobre el crecimiento (R² de 0,52) da 10,7 veces y 15,38 EUR por acción, pero la muestra es frágil (la mediana va de 9,5 a 12,0 veces según qué empresa se quite) y mezcla CSL con tres chinos que cotizan en su mercado local. Usamos el EV/EBITDA como contraste, con un peso del 15 %.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Shanghai RAAS (≈20 %)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Haier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12.500 M CNY por ≈20 % a 9,405 CNY por acción (prima del 14,96 % sobre la media ponderada de 20 sesiones, 8,181 CNY) [56]. Valor empresa implícito del 100 %: 62.500 M CNY de capital menos 4.197 M CNY de caja neta de 2023 = 58.303 M CNY (7.426 M EUR a 7,8509); múltiplos sobre ventas (7.964 M CNY) y EBITDA (2.473 M CNY) de 2023 de MarketScreener [54][60]. Paquete minoritario que dio a Haier el control.</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Biotest AG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Tiancheng de la sociedad con el 89,88 % de las ordinarias y el 1,08 % de las preferentes por ≈1.100 M EUR (acciones a 43,00 y 37,00 EUR más un préstamo de ≈313 M EUR a Biotest) y oferta al resto a los mismos precios; cerrada el 25-abr-2022; financiación prevista de 2.000 M EUR [57][59]. Grifols no publicó valor empresa ni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(oferta no presentada)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Brookfield con la familia Grifols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15.658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 oferta de 6.450 M EUR por el 100 % (10,50 EUR por acción A), rechazada por el consejo el 19-nov-2024 por infravalorar la compañía; Brookfield desistió el 27-nov-2024 [35][36]. Valor empresa = 6.450 + 9.208 M EUR de deuda financiera neta de balance a 30-sep-2024 (con arrendamientos, sin minoritarios); EBITDA ajustado LTM 3T24 1.697 M EUR y ventas LTM ≈7.007 M EUR [58]. No ejecutada: excluida.</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una operación del sector con múltiplo publicado: Haier pagó 23,6 veces el EBITDA por el 20 % de Shanghai RAAS en 2023, con prima del 15 %, por un activo chino con caja neta [56]. Biotest se compró sin múltiplo publicado y la oferta de Brookfield con la familia (10,50 EUR por acción A, ≈ 9,2 veces el EBITDA ajustado) se retiró en noviembre de 2024 sin llegar a presentarse [35, 36]. Ese precio, un 6 % por encima del actual, es la referencia más útil del valor de control: con la familia dentro, una opa a ese nivel ya no la aceptó el consejo. Las transacciones no pesan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−1,0 %: en el primer semestre los ingresos crecieron un 2,6 % a tipo constante pero cayeron un 2,8 % en euros, con el dólar un 13 % más débil [7, 8]; el consenso (+1,7 %) no parece recoger todo el efecto de la divisa [44]. Después, +5,5 % en 2027e-2028e, frente al 6,3 % y 5,7 % del consenso: inmunoglobulinas al +8-13 % a tipo constante, albúmina a la baja en China y Diagnostic sin el negocio conjunto con QuidelOrtho [7, 8]. Baja al 3 % en 2033e. La media (3,8 %) queda por debajo del 7,1 % anual de la década, que incluye compras, y del 6,5 % previsto para el mercado [20].</w:t>
      </w:r>
    </w:p>
    <w:p>
      <w:pPr>
        <w:keepNext/>
        <w:spacing w:after="100"/>
      </w:pPr>
      <w:r>
        <w:rPr>
          <w:b/>
          <w:bCs/>
        </w:rPr>
        <w:t xml:space="preserve">Márgenes.</w:t>
      </w:r>
    </w:p>
    <w:p>
      <w:pPr>
        <w:spacing w:after="100"/>
      </w:pPr>
      <w:r>
        <w:t xml:space="preserve">Margen EBITDA publicado del 23,0 % en 2026e, que sube al 25,5 % en 2030e. La guía pide un margen ajustado de al menos el 25 % en 2026 y el consenso da 24,7 %, 25,9 % y 26,9 % en 2026e-2028e [9, 44]. Nuestro margen queda 1,5-2 puntos por debajo porque los «no recurrentes» se repiten cada año (149 M en 2024, 132 M en 2025, 159 M en los últimos 12 meses) [7, 9]. El 25,5 % final está por debajo del 27-28 % de 2016-2019 y del margen de segmento de CSL Behring (40,5 %) [14]: supone recuperar parte del coste del plasma (Egipto, plan de eficiencias), no todo.</w:t>
      </w:r>
    </w:p>
    <w:p>
      <w:pPr>
        <w:keepNext/>
        <w:spacing w:after="100"/>
      </w:pPr>
      <w:r>
        <w:rPr>
          <w:b/>
          <w:bCs/>
        </w:rPr>
        <w:t xml:space="preserve">Inversión y circulante.</w:t>
      </w:r>
    </w:p>
    <w:p>
      <w:pPr>
        <w:spacing w:after="100"/>
      </w:pPr>
      <w:r>
        <w:t xml:space="preserve">Capex del 7,0 % de las ventas en 2026e-2027e que baja al 6,5 %: el capex de caja fue del 5,6 % en 2025 y se le suman los pagos de arrendamientos (1,6 %) como aproximación a las altas de derechos de uso (NIIF 16) [1]. Amortización del 6,0 %, la de 2025. Circulante del 41 % de las ventas, el de 2025 (existencias de 3.296 M, unos 260 días): cada euro de ventas nuevas consume 41 céntimos [1]. Tipo impositivo normalizado del 22 %, entre el 18,7 % de 2025 y el 25 % nominal español.</w:t>
      </w:r>
    </w:p>
    <w:p>
      <w:pPr>
        <w:keepNext/>
        <w:spacing w:after="100"/>
      </w:pPr>
      <w:r>
        <w:rPr>
          <w:b/>
          <w:bCs/>
        </w:rPr>
        <w:t xml:space="preserve">Coste del capital.</w:t>
      </w:r>
    </w:p>
    <w:p>
      <w:pPr>
        <w:spacing w:after="100"/>
      </w:pPr>
      <w:r>
        <w:t xml:space="preserve">Tasa libre del 3,53 %, el Bund a 10 años del 9-oct-2026 [50]. Beta de 1,42, la mensual a cinco años frente al IBEX ajustada (1,63 sin ajustar); la semanal da 0,98, pero con un 61 % de deuda a valor de mercado una beta de acciones por debajo de 1 no es creíble [43]. Prima de mercado del 5,5 % y 1 punto de prima adicional por el gobierno (control familiar, operaciones vinculadas con Scranton, expediente de la CNMV). Coste de la deuda del 6,5 % (bono garantizado de 2030 al 7,5 % y préstamos B a Euribor + 300 pb) [7] y un 55 % de deuda, entre el 61 % de hoy y el objetivo de 3,5x. Coste de las acciones del 12,3 % y WACC del 8,2 %.</w:t>
      </w:r>
    </w:p>
    <w:p>
      <w:pPr>
        <w:keepNext/>
        <w:spacing w:after="100"/>
      </w:pPr>
      <w:r>
        <w:rPr>
          <w:b/>
          <w:bCs/>
        </w:rPr>
        <w:t xml:space="preserve">Valor terminal.</w:t>
      </w:r>
    </w:p>
    <w:p>
      <w:pPr>
        <w:spacing w:after="100"/>
      </w:pPr>
      <w:r>
        <w:t xml:space="preserve">Crecimiento a perpetuidad del 2,5 %: inflación del euro del 2 % y algo de crecimiento real de la demanda de inmunoglobulinas, por debajo de la tasa libre menos medio punto (3,03 %). El múltiplo de salida implícito es de 9,5 veces el EBITDA, el de hoy y la mitad de su media histórica.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 M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 (hoy: 18,2 %)</w:t>
            </w:r>
          </w:p>
        </w:tc>
      </w:tr>
    </w:tbl>
    <w:p>
      <w:pPr>
        <w:spacing w:after="160" w:before="0"/>
      </w:pPr>
    </w:p>
    <w:p>
      <w:pPr>
        <w:spacing w:after="100"/>
      </w:pPr>
      <w:r>
        <w:t xml:space="preserve">La proyección apenas necesita inversión neta de la amortización (reinversión acumulada de 1.492 M, el 14 % del NOPAT, con un capex bruto medio del 6,7 % de las ventas). En un negocio de activos ligeros, el crecimiento medio del 3,8 % tiene que salir de subir precios y de ganar volumen sin capital nuevo, y la prueba es el poder de precios y la cuota (19,1 % del mercado en 2033e, frente al 18,2 %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+2,6 % a tipo constante, con inmunoglobulinas +12,8 % y albúmina −14,2 % por precio en China; la divisa resta unos 5 puntos (euro a 1,18 frente a 1,04) y Diagnostic pierde el negocio conjunto con QuidelOrtho; reparto entre volumen y precio, estimación propia [7,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inmunoglobulinas (26 % del volumen de EE. UU.) y de alfa-1; precio en EE. UU. limitado por la IRA en la Parte D; nuevos productos (fibrinógeno, Yimmugo) en otros [1,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Plasma de Egipto (hasta 3 M de litros en 2029) para crecer sin más centros en EE. UU.; consenso de ingresos de +5,7 % en 2028e [7, 44].</w:t>
            </w:r>
          </w:p>
        </w:tc>
      </w:tr>
    </w:tbl>
    <w:p>
      <w:pPr>
        <w:spacing w:after="160" w:before="0"/>
      </w:pPr>
    </w:p>
    <w:p>
      <w:pPr>
        <w:spacing w:after="100"/>
      </w:pPr>
      <w:r>
        <w:t xml:space="preserve">En parte. El crecimiento del 3,8 % anual está por debajo del mercado (6,5 %) y la cuota implícita apenas sube (19,1 % frente al 18,2 %) [1, 20]. Pero la proyección necesita poca inversión neta (un 14 % del beneficio operativo después de impuestos) para crecer, lo que supone que las plantas y los centros que ya tiene, pagados en 2018-2023, absorben el volumen; con un ROIC del 6,6 % y un ROIC incremental del 4,4 %, Grifols no ha demostrado que su capital rinda. El poder de precios es limitado: la IRA, la albúmina en China y los anti-FcRn presionan, y el margen de 2025 sigue 4 puntos por debajo del de 2016-2019 [1, 19]. Por eso el caso base queda por debajo del consenso y del mercado.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(base: 3,8 %)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8,2 %)</w:t>
            </w:r>
          </w:p>
        </w:tc>
      </w:tr>
    </w:tbl>
    <w:p>
      <w:pPr>
        <w:spacing w:after="160" w:before="0"/>
      </w:pPr>
    </w:p>
    <w:p>
      <w:pPr>
        <w:spacing w:after="100"/>
      </w:pPr>
      <w:r>
        <w:t xml:space="preserve">El DCF da 14,21 EUR por acción A, un 43,8 % por encima del precio, con un 69 % del valor en el terminal. </w:t>
      </w:r>
      <w:r>
        <w:rPr>
          <w:b/>
        </w:rPr>
        <w:t xml:space="preserve">El precio descuenta que Grifols no mejora.</w:t>
      </w:r>
      <w:r>
        <w:t xml:space="preserve"> El DCF inverso dice que los 9,88 EUR de hoy suponen un crecimiento de los ingresos del 0,2 % anual en 2026e-2033e, frente al 3,8 % de nuestro caso base, o, con nuestro crecimiento, un margen EBITDA final del 23,3 % en vez del 25,5 %: el margen de los últimos 12 meses (24,3 % sin ajustes) se quedaría donde está. Comprar hoy rinde un 9,1 % anual con nuestro caso base, frente a un WACC del 8,2 %. La otra cara es el apalancamiento: el valor de las acciones es solo un 43 % del valor empresa del DCF (8.504 de 19.833 M), así que cada medio punto de WACC mueve el valor un 19-23 % y el bajista deja la acción casi a cero. El caso es una apuesta apalancada a que el margen vuelva al 25-26 %, que es lo que pide la guía.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competencia en inmunoglobulinas (anti-FcRn en CIDP, más plasma de CSL y Takeda) baja precios en EE. UU. y el coste del plasma no cede: el margen vuelve hacia el 19-21 % de 2021-2023 y el crecimiento se queda en el 1-2 %. Con 4,9 veces de deuda, la refinanciación de 2028 se encarece. Margen final del 21,5 %, WACC del 8,7 % y crecimiento a perpetuidad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a grandes rasgos la guía: margen ajustado del 25 % en 2026, crecimiento del 5,5 % en 2027-2028 con las inmunoglobulinas tirando y la deuda bajando hacia 3,5x en 2027-2028. Crecimiento medio del 3,8 % y margen EBITDA publicado del 25,5 % desde 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plasma de Egipto y el plan de eficiencias bajan el coste por litro, el fibrinógeno y Yimmugo añaden ventas y la salida a bolsa de Biopharma EE. UU. cristaliza valor y baja deuda: crecimiento medio del 4,8 % y margen final del 27 %, el de 2016-2019.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9,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11,37 EUR (+15,1 %).</w:t>
      </w:r>
    </w:p>
    <w:p>
      <w:pPr>
        <w:spacing w:after="100"/>
      </w:pPr>
      <w:r>
        <w:t xml:space="preserve">La asimetría es pobre: el alcista vale 18,65 EUR (+88,8 %) y el bajista 1,78 EUR (−82,0 %), 1,08 veces. El bajista no es cosmético: deja el margen en el 21,5 %, todavía por encima del 18,6-19,7 % que Grifols tuvo de verdad en 2021-2023 [1], y con la deuda de hoy eso borra casi todo el valor de las acciones. Es el precio del apalancamiento: 4 puntos de margen menos se comen el 87 % del valor base. Con la prima de riesgo que hoy pide el mercado, el bajista vale 4,73 EUR y la asimetría sube a 2,97 veces. La probabilidad del bajista (30 %) es alta a propósito: ya ocurrió hace tres años.</w:t>
      </w:r>
    </w:p>
    <w:p>
      <w:pPr>
        <w:pStyle w:val="Heading1"/>
      </w:pPr>
      <w:r>
        <w:t xml:space="preserve">22. Suma de partes</w:t>
      </w:r>
    </w:p>
    <w:p>
      <w:pPr>
        <w:pStyle w:val="Confianza"/>
        <w:spacing w:after="100"/>
      </w:pPr>
      <w:r>
        <w:t xml:space="preserve">Confianza: Media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9,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13,99 EUR (+41,6 % sobre 9,88).</w:t>
      </w:r>
    </w:p>
    <w:p>
      <w:pPr>
        <w:spacing w:after="100"/>
      </w:pPr>
      <w:r>
        <w:t xml:space="preserve">Pesos: DCF 55 %, escenarios 30 %, comparables 15 %, transacciones y suma de partes 0 %. El DCF manda porque recoge el circulante (41 % de las ventas) y la inversión que los múltiplos no ven, y porque el valor depende del margen a largo plazo; los escenarios pesan un 30 % porque la deuda hace el riesgo muy asimétrico. Los comparables pesan poco: la muestra es frágil y mezcla CSL con empresas chinas en su mercado local. Las transacciones no pesan: solo hay una con múltiplo (Shanghai RAAS, con caja neta). La dispersión es grande: de 1,78 EUR (bajista) a 21,34 EUR (PER de los comparables). El consenso de los analistas (14,76 EUR) queda cerca de nuestro valor objetivo [45]; la oferta de Brookfield (10,50 EUR) es el suelo de valor de control que vio la familia en 2024 [35].</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(12.2x) × 1.1 (tope: la mediana de 5 años, 34.9x,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+109,3 %</w:t>
            </w:r>
          </w:p>
        </w:tc>
      </w:tr>
    </w:tbl>
    <w:p>
      <w:pPr>
        <w:spacing w:after="160" w:before="0"/>
      </w:pPr>
    </w:p>
    <w:p>
      <w:pPr>
        <w:spacing w:after="100"/>
      </w:pPr>
      <w:r>
        <w:rPr>
          <w:b/>
          <w:bCs/>
        </w:rPr>
        <w:t xml:space="preserve">Objetivo a 12 meses (ponderado):</w:t>
      </w:r>
      <w:r>
        <w:t xml:space="preserve"> 11,87 EUR · rentabilidad +22,4 % (base +29,9 %) · señal Comprar.</w:t>
      </w:r>
    </w:p>
    <w:p>
      <w:pPr>
        <w:spacing w:after="100"/>
      </w:pPr>
      <w:r>
        <w:t xml:space="preserve">Para comparar, con la regla v2 (historia al cierre, mismo precio): 10,4x / 12,2x / 15,9x, 11,3 % Mantener; con el tope anterior del base (×1,3, 14-oct mediodía): 44,7 % Comprar. Decide la regla vigente (v3 con tope ×1,1; METODO-VIGENTE.md).</w:t>
      </w:r>
    </w:p>
    <w:p>
      <w:pPr>
        <w:keepNext/>
        <w:spacing w:after="100"/>
      </w:pPr>
      <w:r>
        <w:rPr>
          <w:b/>
          <w:bCs/>
        </w:rPr>
        <w:t xml:space="preserve">Frente al consenso (solo contraste).</w:t>
      </w:r>
    </w:p>
    <w:p>
      <w:pPr>
        <w:spacing w:after="100"/>
      </w:pPr>
      <w:r>
        <w:t xml:space="preserve">Nuestro BPA base de 2028e (0,94) se separa un -34,7 % del consenso (1,44) y nuestro precio base (11,47) un -22,3 % del objetivo medio de los analistas (14,76).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13,99 (+41,6 %) frente al objetivo a 12 meses ponderado 10,76 (+11,2 % con dividendo; base +18,4 %).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de flujo libre (500-575 M) tras 91 M en el 1S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 25 % y camino a 3,5x de apalancamiento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salida a bolsa de una parte de Biopharma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Pondría precio a la mayor parte del negocio y bajaría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apalancamiento de 3,5x o menos (contrato de crédito)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la puerta a más dividendo y a mejor rating</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 los bonos no garantizados de 2028 (2.037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 la deuda decide el valor de las acciones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 ante la Audiencia Nacional por la multa de la CNMV y demanda contra Gotham en Nueva York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capítulo de 2024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y refinanciación: 4,9 veces de deuda neta y 2.037 M de bonos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 punto más de WACC: 11,51 EUR (−19 % sobre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de 2027 refinanciados, liquidez de 2.030 M, rating en mejora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según el contrato por encima de 4,0x a finales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 y de volumen en inmunoglobulinas (anti-FcRn en CIDP, más oferta de CSL y Takeda)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1,78 EUR (−87 % sobre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 del volumen de EE. UU. y mayor red privada de recogida de plasma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Inmunoglobulinas por debajo del +6 % a tipo constante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coste del plasma no baja y el margen no vuelve al 25-26 %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de margen ≈ 2,3 EUR por acción (−16 %), estimación propia con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Plasma de Egipto y plan de eficiencias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 2026 por debajo del 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familiar y operaciones vinculadas con Scranton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en el WACC (1 punto de prima adicional ≈ −2,5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consejero delegado independientes de la familia; activistas en el consejo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Haema y BPC a Scranton a un precio sin informe independiente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débil: el 56,5 % de las ventas está en EE. UU. y Canadá</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Resta unos 5 puntos de crecimiento en 2026e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en dólares (préstamo B) y costes del plasma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1,25 dólares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precios en EE. UU. (IRA en la Parte D desde 2026 y en la B desde 2028)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IRA restó 108 M de ingresos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y plasma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Inmunoglobulinas incluidas en la negociación de Medicare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contable y litigios (reexpresión, CNMV, Gotham)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Ampliaría la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nuevo (Deloitte) y debilidad material subsanada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salvedad o reexpresión</w:t>
            </w:r>
          </w:p>
        </w:tc>
      </w:tr>
    </w:tbl>
    <w:p>
      <w:pPr>
        <w:spacing w:after="160" w:before="0"/>
      </w:pPr>
    </w:p>
    <w:p>
      <w:pPr>
        <w:pStyle w:val="Heading2"/>
      </w:pPr>
      <w:r>
        <w:t xml:space="preserve">Pre-mortem</w:t>
      </w:r>
    </w:p>
    <w:p>
      <w:pPr>
        <w:spacing w:after="100"/>
      </w:pPr>
      <w:r>
        <w:t xml:space="preserve">Octubre de 2029: la acción A vale unos 6 EUR, un 40 % menos. La historia más probable empieza en 2027: los anti-FcRn se comen buena parte de la CIDP en EE. UU., CSL y Takeda tienen más plasma del que pueden vender y el precio de las inmunoglobulinas baja por primera vez en una década. Grifols, con el coste por litro más alto que CSL, no llega al 25 % de margen ajustado y su flujo libre se queda en 300-400 M. El apalancamiento no baja de 4x en 2027, las agencias congelan el rating y la refinanciación de los bonos de 2028 sale al 8-9 %. La familia vuelve a proponer una operación con un fondo, ahora a un precio más bajo, y el mercado la descuenta. La señal temprana habría sido un 3T26 o un 2026 con flujo libre por debajo de 500 M y un margen ajustado por debajo del 25 %.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 Ratings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ESG bajo (puntuación no publicada por la empresa)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 Corporate Rating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Platino (1 % superior)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(Dow Jones Best-in-Class World y Europe)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 primera biotecnológica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análisis de doble materialidad de 2025 prioriza tres asuntos [9]. </w:t>
      </w:r>
      <w:r>
        <w:rPr>
          <w:b/>
        </w:rPr>
        <w:t xml:space="preserve">Pacientes y profesionales sanitarios</w:t>
      </w:r>
      <w:r>
        <w:t xml:space="preserve">: calidad y seguridad del producto, con objetivos de mantener la tasa de reclamaciones de Biopharma por debajo de 1/50.000 y cero deficiencias críticas en inspecciones; un problema de calidad o una retirada afecta a ventas y licencias [9]. </w:t>
      </w:r>
      <w:r>
        <w:rPr>
          <w:b/>
        </w:rPr>
        <w:t xml:space="preserve">Donantes de plasma y comunidades</w:t>
      </w:r>
      <w:r>
        <w:t xml:space="preserve">: la salud del donante, su compensación y la frecuencia de donación, sujetas a la ley de cada país, sostienen el suministro y el coste por litro de una red de más de 400 centros y más de un millón de donantes únicos [1, 9]; el Reglamento SoHO europeo fija la donación no remunerada con compensación neutral desde 2027 [21]. </w:t>
      </w:r>
      <w:r>
        <w:rPr>
          <w:b/>
        </w:rPr>
        <w:t xml:space="preserve">Cambio climático</w:t>
      </w:r>
      <w:r>
        <w:t xml:space="preserve">: emisiones de alcance 1, 2 y 3, consumo energético y escasez de agua, con objetivos a corto plazo validados por SBTi [9].</w:t>
      </w:r>
    </w:p>
    <w:p>
      <w:pPr>
        <w:pStyle w:val="Heading2"/>
      </w:pPr>
      <w:r>
        <w:t xml:space="preserve">Controversias</w:t>
      </w:r>
    </w:p>
    <w:p>
      <w:pPr>
        <w:spacing w:after="100"/>
      </w:pPr>
      <w:r>
        <w:t xml:space="preserve">El 9 de enero de 2024 Gotham City publicó un informe bajista con acusaciones sobre las cuentas, la deuda y las operaciones vinculadas de Grifols, que la empresa calificó de falsas y engañosas [1]. La CNMV concluyó el 21 de marzo de 2024 que no hacía falta reexpresar las cuentas, pero el 25 de septiembre abrió un expediente sancionador por la información financiera de 2021-2023 y las medidas alternativas de rendimiento, con una sanción propuesta no superior a 1 M EUR; Grifols recurrió la resolución del 25 de junio de 2025 ante la Audiencia Nacional (recurso admitido el 7 de octubre de 2025) [1]. La CNMV también expedientó a Gotham y la Fiscalía abrió diligencias penales; Grifols demandó a Gotham en Nueva York (enero de 2024) y el juez dejó seguir parte de la demanda [1]. Una demanda colectiva en EE. UU. por datos biométricos de donantes (BIPA) se cerró con acuerdo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pasan de 91 M de flujo libre en el primer semestre a 500-575 M en el año, y cuánto es circulante que se revierte?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flujo libre es la base de la tesis de desapalancamiento.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Plasma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hoy el coste por litro frente a 2019 y cuánto lo bajará Egipto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final del DCF depende de recuperar parte de ese coste.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Scranton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ejercerá la opción de compra de Haema y BPC, a qué precio y con qué informe independiente?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operación vinculada pendiente y el foro la ve como catalizador.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a bolsa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Biopharma EE. UU. se colocaría y con qué uso del dinero?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Pondría precio al negocio y bajaría deuda, pero añadiría minoritarios.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Inmunoglobulinas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las inmunoglobulinas es CIDP y cuánto ha perdido frente a los anti-FcRn?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motor y el principal riesgo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dejarán de existir los costes de reestructuración que se excluyen cada año del EBITDA ajustado?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Explican 1,5-2 puntos de diferencia entre nuestro margen y el de la guía.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(día de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Gustó que se mantuviera la guía anual y la bajada de los intereses en caja; se criticó la conferencia con analistas, la escasa generación de caja del semestre y que no se hablara de la recompra de los centros de Haema y BPC [61,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(agosto)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que la acción está barata frente a su historia y a CSL, pero que el descuento se debe a la gestión y a Scranton; preocupan el efecto del dólar débil, el cierre de un centro de plasma en Canadá y si las inversiones comprometidas dejan caja para recomprar Haema y BPC [63, 64,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comparten noticias de AMBAR, del fibrinógeno y del cierre de la instrucción judicial ligada a Gotham; hay críticas a la gestión en Canadá y a la evolución de la cotización, y se espera que el 3T26 confirme la guía [66,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pide a la compañía noticias antes del 3T26, se propone ligar una recompra de acciones a amortizar deuda y hay escepticismo sobre los plazos de la venta de Haema y BPC; la refinanciación se da por descontada [68].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Investing.com España, comentarios de GRF</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cortos y sobre todo técnicos en torno a la resistencia de 10 euros; predomina el optimismo, con algunas sospechas de manipulación y una noticia sobre la refinanciación de Scranton vista por unos como catalizador y por otros como beneficio para la familia [69].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Infravaloración por múltiplo frente a su historia y a CSL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les dan la razón a medias: 9,0 veces el EBITDA de los próximos 12 meses frente a 18,2 de media histórica, pero con 4,9 veces de deuda y un ROIC del 6,6 %, por debajo del WACC; el descuento frente a los comparables en EV/EBITDA es solo del 17 % [1, 53].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de Haema y BPC a Scranton y operaciones vinculadas con la familia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ya consolida el 100 % de su EBITDA, con el 100 % como minoritarios (350 M en libros); recomprarlas no añade EBITDA, solo quita minoritarios a cambio de caja o deuda, y sigue el préstamo de 124-132 M a Scranton [1, 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Generación de caja, deuda y refinanciación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Preocupación justificada: el flujo libre del primer semestre fue de 91 M frente a una guía anual de 500-575 M, y las existencias subieron 184 M; la refinanciación de 2027 está hecha y el siguiente vencimiento grande es 2028 (2.037 M) [7].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comunicación con el mercado y control familiar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nueva ha cumplido la guía de 2025, pero la familia sigue votando en torno al 51 % de los presentes en la junta y el consejo ha perdido dos independientes en 2026 [1, 27, 31,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del tipo de cambio EUR/USD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euro a 1,18 frente a 1,04, los ingresos del 1T26 cayeron un 4,8 % aunque crecieron un 3,3 % a tipo constante; el 56,5 % de las ventas está en EE. UU. y Canadá [1, 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Regulador, proceso judicial ligado a Gotham y posiciones cortas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CNMV multó con 1,36 M a Grifols y a consejeros (recurrido) y la única posición corta notificada es del 1,81 % [1, 70].</w:t>
            </w:r>
          </w:p>
        </w:tc>
      </w:tr>
    </w:tbl>
    <w:p>
      <w:pPr>
        <w:spacing w:after="160" w:before="0"/>
      </w:pPr>
    </w:p>
    <w:p>
      <w:pPr>
        <w:spacing w:after="100"/>
      </w:pPr>
      <w:r>
        <w:t xml:space="preserve">El foro español (Rankia, Investing) está dividido y estable: cree que la acción está barata, pero no se fía de la caja ni de la familia [61, 62, 63, 64, 65, 66, 67, 68, 69]. Es la misma tensión que recoge el informe: el valor depende de que el EBITDA se convierta en caja y la deuda baje. Los foros dan peso a la recompra de Haema y BPC como catalizador; los datos no: ya están consolidadas y recomprarlas cuesta caja. El sentimiento no es extremo (ni capitulación ni euforia) y coincide con el de los analistas (8 de 12 recomiendan comprar) [45]. No hemos podido leer foros en inglés (403), así que falta la visión del accionista del ADR.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23 controles correctos y 3 explicados. Fuentes: 70 (43 primarias); citas distintas en el texto: 70.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52,1 %: explica la causa (créditos fiscales, regularizaciones, mezcla de países) y no lo proyectes en el DCF. Explicación: El 52,1 % de 2024 se debe a 32 M de impuestos extraordinarios por la venta de Shanghai RAAS y a una provisión fiscal en España por precios de transferencia que pasó de 76,6 M a 136,7 M [2]. El DCF usa un 22 %.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19,1 % en 2033e frente al 18,2 %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41,0 % frente a 41,3 % real: genera una variación de circulante de -52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925 M de flujo libre medio en sus tres primeros años, frente a 238 M de media real en los tres últimos: justifica el salto (circulante, inversión, márgenes) o ajusta los supuestos. Explicación: El DCF proyecta flujo libre de la empresa antes de intereses (FCFF); el histórico del motor es después de intereses, que Grifols paga dentro del flujo operativo (532 M en 2025) [1]. Sumando los intereses netos de impuestos, el flujo libre de 2025 equivale a ≈ 920 M, en línea con los 965 M de 2026e. Los 238 M de media de 2023-2025 incluyen el −209 M de 2023, con 411 M de existencias.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9,5x a 12,0x según qué comparable se quite (11,53 a 19,55 por acción): la muestra es frágil; explícalo y no le des mucho peso. Explicación: Siete comparables muy distintos (CSL, Takeda y tres chinos con múltiplos de mercado local); por eso pesan un 15 % y se contrastan con la regresión crecimiento-múltiplo.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11,3 %: para comprar o ampliar hace falta motivo de negocio propio; para mantener basta la vigente.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fuentes (43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de 3T24-2T25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3T25 (solo compara 3T25 con 3T24); 2) presentación de resultados de 2025 y de 1T26 (solo el trimestre del año anterior); 3) derivarlo de acumulados de 2024 (solo semestrales, no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1T26 y 1S26 (no citan consenso); 2) presentaciones de 3T25 y 2025 (tampoco); 3) sin fuente gratuita de consenso trimestral histórico a mano dentro del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los analistas en las conferencias de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de resultados (sin transcripción); 2) web de inversores de Grifols (solo audio/presentación); 3) no se lanzó búsqueda web para no gastar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dpa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2021 (sin DPA por ejercicio); 2) datos seleccionados del 20-F 2019 (llegan solo a 2019); 3) dividendos pagados del estado de flujos (113 M en 2020 y 259 M en 2021, sin dato por acción)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por litro y litros de plasma recogidos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(solo dice «estabilidad del coste por litro»); 2) presentaciones de 2025 y 1S26 (solo Egipto: ~1 M de litros en 2026); 3) 20-F 2024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LFB y Shanghai RAAS (ingresos y margen EBIT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LFB y de Shanghai RAAS (informe anual en chino); 2) búsqueda de resultados 2025 de LFB en francés (solo aparecen 2013 y 2015); 3) prensa sectorial sin cifras de 2025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margen EBIT de Takeda PDT y de Kedrion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Takeda (un solo segmento, sin resultado por unidad); 2) nota de resultados 2025 de Kedrion (solo EBITDA ajustado); 3) presentaciones de resultados de ambos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del mercado MRB 2019-2023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Grifols 2023, 2024 y 2025 (solo 2018, 2021 y 2024); 2) presentaciones de resultados 2026 (solo Norteamérica 2024); 3) informes de mercado gratuitos con otras definiciones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operaciones de directivos de la CNMV (OperacionesDirectivos, NIF A58389123): HTTP 403 con descargar.mjs y con WebFetch; 2) EDGAR: ningún Form 144 de Grifols entre octubre de 2025 y octubre de 2026 en la lista de presentaciones; 3) búsqueda en prensa de compras o ventas de consejeros: solo aparecen compras de marzo de 2024, fuera de los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(registro vigente de la CNMV a octubre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participaciones significativas de la CNMV: HTTP 403 con descargar.mjs; 2) la misma página con WebFetch: HTTP 403; 3) 20-F de 2025 (a la fecha de presentación, abril de 2026) e IAGC 2025, más prensa para Flat Footed en mayo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(mínimo 5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6-K de Grifols (Biotest 2021, Haier-SRAAS 2023, Brookfield 2024): solo SRAAS y Brookfield permiten múltiplo; 2) búsqueda web de Biotest y operaciones de Kedrion/BPL: sin múltiplo oficial; 3) cuentas de 2020 de Grifols (canje GDS-SRAAS): sin precio en caja ni múltiplo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RAAS: EBITDA y beneficio 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(estimaciones en imagen); 2) MarketScreener valuation y consensus (sin estimaciones en texto); 3) Stock Analysis forecast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(fecha oficial de Grifols)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grifols.com/en/investors/financial-calendar (404); 2) grifols.com/en/investors (sin fechas); 3) grifols.com/en/agenda (sin fechas). Se usa la de Stock Analysis (4-nov-2026)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ROE); 2) Stock Analysis (solo ADMA, 36,24 %); 3) sin más llamadas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(plataformas anglosajonas y comentarios de prensa)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GRFS (web y API): 403; 2) Seeking Alpha GRFS: 403, y la búsqueda no dio artículos de jul-oct 2026; 3) El Economista (403), Bolsamania (404) e Investing.com internacional (comentarios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(cuentas consolidadas auditadas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https://www.sec.gov/Archives/edgar/data/1438569/000110465926044901/grfs-20251231x20f.htm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2024 (con reexpresión de 2022-2023)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https://www.sec.gov/Archives/edgar/data/1438569/000110465925034245/grfs-20241231x20f.htm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https://www.sec.gov/Archives/edgar/data/1438569/000110465924049471/grfs-20231231x20f.htm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https://www.sec.gov/Archives/edgar/data/1438569/000110465922053197/grfs-20211231x20f.htm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https://www.sec.gov/Archives/edgar/data/1438569/000110465920043470/tm1919375d1-20f.htm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https://www.sec.gov/Archives/edgar/data/1438569/000110465918022787/a18-3837_120f.htm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semestre de 2026: nota de prensa, presentación y estados financieros intermedios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https://www.sec.gov/Archives/edgar/data/1438569/000110465926087634/tm2621481d1_6k.htm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2026: nota y presentación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https://www.sec.gov/Archives/edgar/data/1438569/000110465926056966/tm2613942d1_6k.htm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2025: nota, presentación y guía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https://www.sec.gov/Archives/edgar/data/1438569/000110465926020526/tm267368d1_6k.htm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tercer trimestre de 2025: presentación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https://www.sec.gov/Archives/edgar/data/1438569/000110465925106104/tm2530212d1_6k.htm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Nuestra historia (cronología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https://www.grifols.com/es/nuestra-historia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e informe de gestión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https://www.sec.gov/Archives/edgar/data/1438569/000110465925017501/tm257688d1_6k.htm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FY2026 Results (anuncio de resultados del ejercicio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https://investors.csl.com/pdf/80148cbc-d117-4b5c-9213-628b0d1de681/Platform/ListPage/CSL-FY2026-Results.pdf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Presentation for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https://investors.csl.com/pdf/3d18fc4f-6133-41c7-9188-ec992e930ca3/Platform/ListPage/CSL-Results-Presentation-for-FY2026.pdf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Pharmaceutical Annual Report on Form 20-F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https://www.sec.gov/Archives/edgar/data/1395064/000139506426000177/tak-20260331.htm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Annual Report on Form 10-K for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https://www.sec.gov/Archives/edgar/data/1368514/000114036126006815/ef20059416_10-k.htm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Octapharma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Octapharma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https://a.storyblok.com/f/54881/x/43b698dc9e/octapharma_ar2025_english.pdf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Kedrion delivers strong financial performance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Kedrion Biopharma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https://www.kedrion.com/kedrion-delivers-strong-financial-performance-in-2025/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SE Annual Report on Form 20-F for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https://www.sec.gov/Archives/edgar/data/1697862/000169786226000032/argx-20251231.htm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Plasma Protein Therapeutic Market worth US$ 52.82 billion by 2032 with 6.5% CAGR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Coherent Market Insights (BioSpace)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https://www.biospace.com/press-releases/plasma-protein-therapeutic-market-worth-us-52-82-billion-by-2032-with-6-5-cagr-coherent-market-insights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Reglamento (UE) 2024/1938 sobre normas de calidad y seguridad de las sustancias de origen humano (SoHO)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Parlamento Europeo y Consejo (EUR-Lex)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https://eur-lex.europa.eu/eli/reg/2024/1938/oj/eng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(versión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https://www.grifols.com/documents/3625622/8495360/2025+-+IAGC++-+EN+-+VF+3226332+1.pdf/e263e809-74fa-c0cc-f310-9a4e9be664eb?t=1778772959135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(versión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https://www.grifols.com/documents/3625622/8495360/2025+-+IAR+-+EN+-+VF+3226361+1+3226362+1.pdf/c5685929-32ec-c5e4-8a59-362e78efd055?t=1778772960610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Accionistas 14/06/2024: quórum y listado de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https://www.grifols.com/documents/3625622/6526730/listado-de-votaciones.pdf/6d2fdd16-40b6-3a8e-262b-a100efd8a176?t=1718629315348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de Accionistas 05/06/2025: quórum y listado de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https://www.grifols.com/documents/3625622/7475434/Junta+General+Ordinaria+de+Accionistas+2025.pdf/f5b6abd3-b4cf-d052-d29b-f600ab6ffa03?t=1749194639119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de Accionistas 18/06/2026: quórum y listado de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https://www.grifols.com/documents/3625622/8495360/Junta+General+Ordinaria+de+Accionistas+2026.pdf/cdadee3b-7fd3-9d46-4d66-ea012ce7eb97?t=1782799546250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acuerdos de la junta general de 18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https://www.sec.gov/Archives/edgar/data/1438569/000110465926075705/tm2618302d1_6k.htm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creación de la Comisión de Estrategia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https://www.sec.gov/Archives/edgar/data/1438569/000110465925094131/tm2527352d1_6k.htm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nueva secretaria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https://www.sec.gov/Archives/edgar/data/1438569/000110465926002077/tm262646d1_6k.htm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dimisión de Enriqueta Felip y cooptación de Ester Masllorens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https://www.sec.gov/Archives/edgar/data/1438569/000110465926076294/tm2618474d1_6k.htm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dimisión de Íñigo Sánchez-Asiaín y cooptación de Joanna Le Couilliard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https://www.sec.gov/Archives/edgar/data/1438569/000110465926088529/tm2621687d1_6k.htm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información privilegiada, evaluación de una salida a bolsa en EE. UU. del negocio Biopharma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https://www.sec.gov/Archives/edgar/data/1438569/000110465926033917/tm269714d1_6k.htm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refinanciación de los vencimientos de 2027 (Term Loan 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https://www.sec.gov/Archives/edgar/data/1438569/000110465926043217/tm2611793d1_6k.htm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información privilegiada, el consejo considera que la posible oferta de Brookfield infravalora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https://www.sec.gov/Archives/edgar/data/1438569/000110465924120527/tm2428869d2_6k.htm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información privilegiada, Brookfield no seguirá con la posible oferta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https://www.sec.gov/Archives/edgar/data/1438569/000110465924123705/tm2429759d1_6k.htm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del ejercicio 2023 y guía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https://www.sec.gov/Archives/edgar/data/1438569/000110465924029325/tm247376d2_6k.htm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del ejercicio 2022 y guía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https://www.sec.gov/Archives/edgar/data/1438569/000110465923026551/tm237969d1_6k.htm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del 2S y del ejercicio 2021 (objetivos de desapalancamiento)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https://www.sec.gov/Archives/edgar/data/1438569/000110465922027865/tm227653d1_6k.htm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certificado de la EMA para el plasma de GEPD (Egipto)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https://www.sec.gov/Archives/edgar/data/1438569/000110465925121424/tm2533540d1_6k.htm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Flat Footed aumenta participação para 5,391% e vira segundo acionista da Grifols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Portal Tela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https://www.portaltela.com/noticias/economia/2026/05/19/flat-footed-aumenta-participacao-para-5391-e-vira-segundo-acionista-da-grifols/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Rosen Law Firm encourages Grifols S.A. investors to inquire about securities class action investigation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https://www.businesswire.com/news/home/20240109821086/en/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GRF.MC, ^IBEX y EXV4.DE hasta 9-oct-2026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https://finance.yahoo.com/quote/GRF.MC/history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(GRF): previsiones financieras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https://www.marketscreener.com/quote/stock/GRIFOLS-S-A-25530828/finances/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(GRF):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https://www.marketscreener.com/quote/stock/GRIFOLS-S-A-25530828/consensus/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consenso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https://www.investing.com/equities/grifols-consensus-estimates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(BME:GRF)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https://stockanalysis.com/quote/bme/GRF/statistics/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9-oct-2026 (eurofxref-daily)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EUR/CNY y EUR/USD, 30-jun-2026 (ECB Data Portal, EXR)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https://data-api.ecb.europa.eu/service/data/EXR/D.CNY+USD.EUR.SP00.A?startPeriod=2026-06-29&amp;endPeriod=2026-06-30&amp;format=csvdata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diario de la deuda federal alemana a 10 años (BBSIS R10XX),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diarios de comparables y de Shanghai RAAS (002252.SZ, CSL.AX, 4502.T, ADMA, 002007.SZ, 600161.SS, KMDA, GRF-P.MC, GRFS),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https://finance.yahoo.com/quote/002252.SZ/history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financieras de CSL, Takeda, ADMA Biologics, Hualan Biological, Tiantan Biological y Kamada (páginas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https://www.marketscreener.com/quote/stock/CSL-LIMITED-6492492/finances/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RAAS Blood Products: valoración y cuentas 2020-2025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https://www.marketscreener.com/quote/stock/SHANGHAI-RAAS-BLOOD-PRODU-6500248/valuation/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statistics (deuda neta,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https://stockanalysis.com/stocks/adma/statistics/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29-dic-2023: acuerdo con Haier para vender ≈20 % de Shanghai RAAS por 12.500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https://www.sec.gov/Archives/edgar/data/1438569/000110465923130324/tm2333938d1_6k.htm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17-sep-2021: compra de Tiancheng (Germany) Pharmaceutical Holdings y oferta sobre Biotest 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https://www.sec.gov/Archives/edgar/data/1438569/000110465921116636/tm2124465d3_6k.htm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7-nov-2024: resultados del 3T 2024 (deuda y EBITDA LTM a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https://www.sec.gov/Archives/edgar/data/1438569/000110465924115182/tm2427663d1_6k.htm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25-abr-2022: cierre de la compra de Tiancheng y fin de la oferta sobre Biotest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https://www.sec.gov/Archives/edgar/data/1438569/000110465922049334/tm2212570d2_6k.htm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EUR/CNY, 29-dic-2023 (ECB Data Portal, EXR)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https://data-api.ecb.europa.eu/service/data/EXR/D.CNY.EUR.SP00.A?startPeriod=2023-12-29&amp;endPeriod=2023-12-29&amp;format=csvdata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1094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https://www.rankia.com/foros/bolsa/temas/1459046-grifols-grf-siguiendo-cerca-accion?page=1094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1095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https://www.rankia.com/foros/bolsa/temas/1459046-grifols-grf-siguiendo-cerca-accion?page=1095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1098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https://www.rankia.com/foros/bolsa/temas/1459046-grifols-grf-siguiendo-cerca-accion?page=1098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Grifols (GRF):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https://es.investing.com/equities/grifols-commentary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Grifols, S.A. (ES0171996087, ES0171996095)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https://www.cnmv.es/portal/Consultas/EE/PosicionesCortas?nif=A58389123</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89,2 %</w:t>
      </w:r>
      <w:r>
        <w:t xml:space="preserve"> · Secciones con menos del 60 % de campos cubiertos: </w:t>
      </w:r>
      <w:r>
        <w:rPr>
          <w:b/>
          <w:bCs/>
        </w:rPr>
        <w:t xml:space="preserve">suma_partes</w:t>
      </w:r>
      <w:r>
        <w:t xml:space="preserve"> · Generado el 14 oct 2026.</w:t>
      </w:r>
    </w:p>
    <w:p>
      <w:pPr>
        <w:pStyle w:val="Nota"/>
        <w:spacing w:after="100"/>
      </w:pPr>
      <w:r>
        <w:t xml:space="preserve">Se valora la acción A (con voto) de la Bolsa española, en euros, al cierre del viernes 9-oct-2026 (9,88 EUR): el corte cae en domingo [43]. Grifols tiene además acciones B sin voto (6,74 EUR, un 31,8 % menos) y ADR en el NASDAQ (1 ADR = 1 acción B) [7, 51]. Para que precio por acciones dé la capitalización real de las dos clases (5.913 M EUR), las B se cuentan como acciones A-equivalentes a su precio relativo: 422,357 M de A más 258,224 M de B por 6,74/9,88 = 598,51 M [7]. Así, el valor por acción es el de una A si el descuento de la B se mantiene; si se cerrara, el valor de la A bajaría un 12 % y el de la B subiría. Acciones y puente, del balance de 30-jun-2026; el puente suma a la deuda 403 M de cesión de cuentas a cobrar sin recurso y 59 M de dividendo pagado el 2-jul-2026, y no resta el préstamo de 132 M a Scranton (vinculada) [7]. Minoritarios a valor contable (2.434 M): no hay precio de mercado para el 45 % de Grifols Diagnostic Solutions en manos de Shanghai RAAS ni para Haema y BPC Plasma. Cuentas de 2016-2025 de los 20-F; 2022-2023 reexpresados en 2024; en 2020-2021 se restan 457 M de la sobrevaloración de Shanghai RAAS que corrigió la reexpresión [1, 2]. El EBITDA de la cuenta es el publicado; los ajustes de la empresa (132 M en 2025) van como no recurrentes aunque se repiten cada año. El consenso es de EBITDA ajustado: el motor le resta un 1,75 % de las ventas [44].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Grifols, S.A. (GRF)</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9,88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Hoja1!$B$2:$B$9</c:f>
              <c:numCache>
                <c:formatCode>#,##0.0</c:formatCode>
                <c:ptCount val="8"/>
                <c:pt idx="0">
                  <c:v>8.43</c:v>
                </c:pt>
                <c:pt idx="1">
                  <c:v>9</c:v>
                </c:pt>
                <c:pt idx="2">
                  <c:v>6.96</c:v>
                </c:pt>
                <c:pt idx="3">
                  <c:v>15.95</c:v>
                </c:pt>
                <c:pt idx="4">
                  <c:v>9.9</c:v>
                </c:pt>
                <c:pt idx="5">
                  <c:v>1.78</c:v>
                </c:pt>
                <c:pt idx="6">
                  <c:v>16.27</c:v>
                </c:pt>
                <c:pt idx="7">
                  <c:v>9.83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Hoja1!$C$2:$C$9</c:f>
              <c:numCache>
                <c:formatCode>#,##0.0</c:formatCode>
                <c:ptCount val="8"/>
                <c:pt idx="0">
                  <c:v>3.7699999999999996</c:v>
                </c:pt>
                <c:pt idx="1">
                  <c:v>14</c:v>
                </c:pt>
                <c:pt idx="2">
                  <c:v>16.919999999999998</c:v>
                </c:pt>
                <c:pt idx="3">
                  <c:v>9.18</c:v>
                </c:pt>
                <c:pt idx="4">
                  <c:v>10.42</c:v>
                </c:pt>
                <c:pt idx="5">
                  <c:v>16.869999999999997</c:v>
                </c:pt>
                <c:pt idx="6">
                  <c:v>8.150000000000002</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Biopharma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3815</c:v>
                </c:pt>
                <c:pt idx="1">
                  <c:v>5005.4</c:v>
                </c:pt>
                <c:pt idx="2">
                  <c:v>5558.3</c:v>
                </c:pt>
                <c:pt idx="3">
                  <c:v>6142.6</c:v>
                </c:pt>
                <c:pt idx="4">
                  <c:v>6487.3</c:v>
                </c:pt>
              </c:numCache>
            </c:numRef>
          </c:val>
        </c:ser>
        <c:ser>
          <c:idx val="1"/>
          <c:order val="1"/>
          <c:tx>
            <c:strRef>
              <c:f>Hoja1!$C$1</c:f>
              <c:strCache>
                <c:ptCount val="1"/>
                <c:pt idx="0">
                  <c:v>Diagnostic</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779.1</c:v>
                </c:pt>
                <c:pt idx="1">
                  <c:v>671.3</c:v>
                </c:pt>
                <c:pt idx="2">
                  <c:v>670.3</c:v>
                </c:pt>
                <c:pt idx="3">
                  <c:v>644.9</c:v>
                </c:pt>
                <c:pt idx="4">
                  <c:v>639.6</c:v>
                </c:pt>
              </c:numCache>
            </c:numRef>
          </c:val>
        </c:ser>
        <c:ser>
          <c:idx val="2"/>
          <c:order val="2"/>
          <c:tx>
            <c:strRef>
              <c:f>Hoja1!$D$1</c:f>
              <c:strCache>
                <c:ptCount val="1"/>
                <c:pt idx="0">
                  <c:v>Bio Supplies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115.8</c:v>
                </c:pt>
                <c:pt idx="1">
                  <c:v>146.1</c:v>
                </c:pt>
                <c:pt idx="2">
                  <c:v>160</c:v>
                </c:pt>
                <c:pt idx="3">
                  <c:v>215.7</c:v>
                </c:pt>
                <c:pt idx="4">
                  <c:v>154.1</c:v>
                </c:pt>
              </c:numCache>
            </c:numRef>
          </c:val>
        </c:ser>
        <c:ser>
          <c:idx val="3"/>
          <c:order val="3"/>
          <c:tx>
            <c:strRef>
              <c:f>Hoja1!$E$1</c:f>
              <c:strCache>
                <c:ptCount val="1"/>
                <c:pt idx="0">
                  <c:v>Otros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266.5</c:v>
                </c:pt>
                <c:pt idx="1">
                  <c:v>250.2</c:v>
                </c:pt>
                <c:pt idx="2">
                  <c:v>203.5</c:v>
                </c:pt>
                <c:pt idx="3">
                  <c:v>209.2</c:v>
                </c:pt>
                <c:pt idx="4">
                  <c:v>243.2</c:v>
                </c:pt>
              </c:numCache>
            </c:numRef>
          </c:val>
        </c:ser>
        <c:ser>
          <c:idx val="4"/>
          <c:order val="4"/>
          <c:tx>
            <c:strRef>
              <c:f>Hoja1!$F$1</c:f>
              <c:strCache>
                <c:ptCount val="1"/>
                <c:pt idx="0">
                  <c:v>Corporativo y eliminaciones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-43.2</c:v>
                </c:pt>
                <c:pt idx="1">
                  <c:v>-8.9</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Biopharma</c:v>
                </c:pt>
                <c:pt idx="1">
                  <c:v>Diagnostic</c:v>
                </c:pt>
                <c:pt idx="2">
                  <c:v>Bio Supplies</c:v>
                </c:pt>
                <c:pt idx="3">
                  <c:v>Otros</c:v>
                </c:pt>
                <c:pt idx="4">
                  <c:v>Corporativo y eliminaciones</c:v>
                </c:pt>
              </c:strCache>
            </c:strRef>
          </c:cat>
          <c:val>
            <c:numRef>
              <c:f>Hoja1!$B$2:$B$6</c:f>
              <c:numCache>
                <c:formatCode>General</c:formatCode>
                <c:ptCount val="5"/>
                <c:pt idx="0">
                  <c:v>86.2</c:v>
                </c:pt>
                <c:pt idx="1">
                  <c:v>8.5</c:v>
                </c:pt>
                <c:pt idx="2">
                  <c:v>2</c:v>
                </c:pt>
                <c:pt idx="3">
                  <c:v>3.2</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EE. UU. y Canadá</c:v>
                </c:pt>
                <c:pt idx="1">
                  <c:v>Unión Europea (con España)</c:v>
                </c:pt>
                <c:pt idx="2">
                  <c:v>Resto del mundo</c:v>
                </c:pt>
              </c:strCache>
            </c:strRef>
          </c:cat>
          <c:val>
            <c:numRef>
              <c:f>Hoja1!$B$2:$B$4</c:f>
              <c:numCache>
                <c:formatCode>0"%"</c:formatCode>
                <c:ptCount val="3"/>
                <c:pt idx="0">
                  <c:v>56.5</c:v>
                </c:pt>
                <c:pt idx="1">
                  <c:v>21.5</c:v>
                </c:pt>
                <c:pt idx="2">
                  <c:v>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(MRB; 2018 derivado y 2029e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2018</c:v>
                </c:pt>
                <c:pt idx="1">
                  <c:v>2021</c:v>
                </c:pt>
                <c:pt idx="2">
                  <c:v>2024</c:v>
                </c:pt>
                <c:pt idx="3">
                  <c:v>2029e</c:v>
                </c:pt>
              </c:strCache>
            </c:strRef>
          </c:cat>
          <c:val>
            <c:numRef>
              <c:f>Hoja1!$B$2:$B$5</c:f>
              <c:numCache>
                <c:formatCode>#,##0</c:formatCode>
                <c:ptCount val="4"/>
                <c:pt idx="0">
                  <c:v>23644</c:v>
                </c:pt>
                <c:pt idx="1">
                  <c:v>29200</c:v>
                </c:pt>
                <c:pt idx="2">
                  <c:v>35000</c:v>
                </c:pt>
                <c:pt idx="3">
                  <c:v>47953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Grifols</c:v>
                </c:pt>
                <c:pt idx="1">
                  <c:v>CSL Behring (CSL Limited)</c:v>
                </c:pt>
                <c:pt idx="2">
                  <c:v>Takeda (Plasma-Derived Therapies)</c:v>
                </c:pt>
                <c:pt idx="3">
                  <c:v>Octapharma</c:v>
                </c:pt>
                <c:pt idx="4">
                  <c:v>Kedrion Biopharma</c:v>
                </c:pt>
                <c:pt idx="5">
                  <c:v>ADMA Biologics</c:v>
                </c:pt>
              </c:strCache>
            </c:strRef>
          </c:cat>
          <c:val>
            <c:numRef>
              <c:f>Hoja1!$B$2:$B$7</c:f>
              <c:numCache>
                <c:formatCode>0.0"%"</c:formatCode>
                <c:ptCount val="6"/>
                <c:pt idx="0">
                  <c:v>18.4</c:v>
                </c:pt>
                <c:pt idx="1">
                  <c:v>29.2</c:v>
                </c:pt>
                <c:pt idx="3">
                  <c:v>15.9</c:v>
                </c:pt>
                <c:pt idx="5">
                  <c:v>37.5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4049.8</c:v>
                </c:pt>
                <c:pt idx="1">
                  <c:v>4318.1</c:v>
                </c:pt>
                <c:pt idx="2">
                  <c:v>4486.7</c:v>
                </c:pt>
                <c:pt idx="3">
                  <c:v>5098.7</c:v>
                </c:pt>
                <c:pt idx="4">
                  <c:v>5340</c:v>
                </c:pt>
                <c:pt idx="5">
                  <c:v>4933.1</c:v>
                </c:pt>
                <c:pt idx="6">
                  <c:v>6064</c:v>
                </c:pt>
                <c:pt idx="7">
                  <c:v>6592</c:v>
                </c:pt>
                <c:pt idx="8">
                  <c:v>7212.4</c:v>
                </c:pt>
                <c:pt idx="9">
                  <c:v>7524.2</c:v>
                </c:pt>
                <c:pt idx="10">
                  <c:v>7449</c:v>
                </c:pt>
                <c:pt idx="11">
                  <c:v>7859</c:v>
                </c:pt>
                <c:pt idx="12">
                  <c:v>8291</c:v>
                </c:pt>
                <c:pt idx="13">
                  <c:v>8705</c:v>
                </c:pt>
                <c:pt idx="14">
                  <c:v>9097</c:v>
                </c:pt>
                <c:pt idx="15">
                  <c:v>9461</c:v>
                </c:pt>
                <c:pt idx="16">
                  <c:v>9792</c:v>
                </c:pt>
                <c:pt idx="17">
                  <c:v>10086</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1141.3</c:v>
                </c:pt>
                <c:pt idx="1">
                  <c:v>1218.8</c:v>
                </c:pt>
                <c:pt idx="2">
                  <c:v>1222.7</c:v>
                </c:pt>
                <c:pt idx="3">
                  <c:v>1424.9</c:v>
                </c:pt>
                <c:pt idx="4">
                  <c:v>1296.8</c:v>
                </c:pt>
                <c:pt idx="5">
                  <c:v>922.3</c:v>
                </c:pt>
                <c:pt idx="6">
                  <c:v>1089.9</c:v>
                </c:pt>
                <c:pt idx="7">
                  <c:v>1165</c:v>
                </c:pt>
                <c:pt idx="8">
                  <c:v>1742.1000000000001</c:v>
                </c:pt>
                <c:pt idx="9">
                  <c:v>1833</c:v>
                </c:pt>
                <c:pt idx="10">
                  <c:v>1713</c:v>
                </c:pt>
                <c:pt idx="11">
                  <c:v>1886</c:v>
                </c:pt>
                <c:pt idx="12">
                  <c:v>2031</c:v>
                </c:pt>
                <c:pt idx="13">
                  <c:v>2176</c:v>
                </c:pt>
                <c:pt idx="14">
                  <c:v>2320</c:v>
                </c:pt>
                <c:pt idx="15">
                  <c:v>2413</c:v>
                </c:pt>
                <c:pt idx="16">
                  <c:v>2497</c:v>
                </c:pt>
                <c:pt idx="17">
                  <c:v>2572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47.2</c:v>
                </c:pt>
                <c:pt idx="1">
                  <c:v>49.8</c:v>
                </c:pt>
                <c:pt idx="2">
                  <c:v>45.7</c:v>
                </c:pt>
                <c:pt idx="3">
                  <c:v>45.9</c:v>
                </c:pt>
                <c:pt idx="4">
                  <c:v>42.2</c:v>
                </c:pt>
                <c:pt idx="5">
                  <c:v>39.8</c:v>
                </c:pt>
                <c:pt idx="6">
                  <c:v>36.5</c:v>
                </c:pt>
                <c:pt idx="7">
                  <c:v>37.7</c:v>
                </c:pt>
                <c:pt idx="8">
                  <c:v>38.7</c:v>
                </c:pt>
                <c:pt idx="9">
                  <c:v>38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28.2</c:v>
                </c:pt>
                <c:pt idx="1">
                  <c:v>28.2</c:v>
                </c:pt>
                <c:pt idx="2">
                  <c:v>27.3</c:v>
                </c:pt>
                <c:pt idx="3">
                  <c:v>27.9</c:v>
                </c:pt>
                <c:pt idx="4">
                  <c:v>24.3</c:v>
                </c:pt>
                <c:pt idx="5">
                  <c:v>18.7</c:v>
                </c:pt>
                <c:pt idx="6">
                  <c:v>18</c:v>
                </c:pt>
                <c:pt idx="7">
                  <c:v>17.7</c:v>
                </c:pt>
                <c:pt idx="8">
                  <c:v>24.2</c:v>
                </c:pt>
                <c:pt idx="9">
                  <c:v>24.4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23.2</c:v>
                </c:pt>
                <c:pt idx="1">
                  <c:v>23.2</c:v>
                </c:pt>
                <c:pt idx="2">
                  <c:v>22.2</c:v>
                </c:pt>
                <c:pt idx="3">
                  <c:v>22</c:v>
                </c:pt>
                <c:pt idx="4">
                  <c:v>18.3</c:v>
                </c:pt>
                <c:pt idx="5">
                  <c:v>11.4</c:v>
                </c:pt>
                <c:pt idx="6">
                  <c:v>11.2</c:v>
                </c:pt>
                <c:pt idx="7">
                  <c:v>10.9</c:v>
                </c:pt>
                <c:pt idx="8">
                  <c:v>18.1</c:v>
                </c:pt>
                <c:pt idx="9">
                  <c:v>18.4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13.5</c:v>
                </c:pt>
                <c:pt idx="1">
                  <c:v>15.3</c:v>
                </c:pt>
                <c:pt idx="2">
                  <c:v>13.3</c:v>
                </c:pt>
                <c:pt idx="3">
                  <c:v>12.3</c:v>
                </c:pt>
                <c:pt idx="4">
                  <c:v>11.6</c:v>
                </c:pt>
                <c:pt idx="5">
                  <c:v>3.8</c:v>
                </c:pt>
                <c:pt idx="6">
                  <c:v>3.1</c:v>
                </c:pt>
                <c:pt idx="7">
                  <c:v>0.6</c:v>
                </c:pt>
                <c:pt idx="8">
                  <c:v>2.2</c:v>
                </c:pt>
                <c:pt idx="9">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4</c:v>
                </c:pt>
                <c:pt idx="5">
                  <c:v>0.3</c:v>
                </c:pt>
                <c:pt idx="6">
                  <c:v>-4.8</c:v>
                </c:pt>
                <c:pt idx="7">
                  <c:v>-0.9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9.1</c:v>
                </c:pt>
                <c:pt idx="5">
                  <c:v>5.2</c:v>
                </c:pt>
                <c:pt idx="6">
                  <c:v>3.3</c:v>
                </c:pt>
                <c:pt idx="7">
                  <c:v>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37</c:v>
                </c:pt>
                <c:pt idx="1">
                  <c:v>24</c:v>
                </c:pt>
                <c:pt idx="2">
                  <c:v>22</c:v>
                </c:pt>
                <c:pt idx="3">
                  <c:v>26</c:v>
                </c:pt>
                <c:pt idx="4">
                  <c:v>26</c:v>
                </c:pt>
                <c:pt idx="5">
                  <c:v>32</c:v>
                </c:pt>
                <c:pt idx="6">
                  <c:v>37</c:v>
                </c:pt>
                <c:pt idx="7">
                  <c:v>36</c:v>
                </c:pt>
                <c:pt idx="8">
                  <c:v>36</c:v>
                </c:pt>
                <c:pt idx="9">
                  <c:v>32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281</c:v>
                </c:pt>
                <c:pt idx="1">
                  <c:v>275</c:v>
                </c:pt>
                <c:pt idx="2">
                  <c:v>292</c:v>
                </c:pt>
                <c:pt idx="3">
                  <c:v>310</c:v>
                </c:pt>
                <c:pt idx="4">
                  <c:v>237</c:v>
                </c:pt>
                <c:pt idx="5">
                  <c:v>278</c:v>
                </c:pt>
                <c:pt idx="6">
                  <c:v>307</c:v>
                </c:pt>
                <c:pt idx="7">
                  <c:v>309</c:v>
                </c:pt>
                <c:pt idx="8">
                  <c:v>294</c:v>
                </c:pt>
                <c:pt idx="9">
                  <c:v>258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79</c:v>
                </c:pt>
                <c:pt idx="1">
                  <c:v>71</c:v>
                </c:pt>
                <c:pt idx="2">
                  <c:v>84</c:v>
                </c:pt>
                <c:pt idx="3">
                  <c:v>77</c:v>
                </c:pt>
                <c:pt idx="4">
                  <c:v>71</c:v>
                </c:pt>
                <c:pt idx="5">
                  <c:v>77</c:v>
                </c:pt>
                <c:pt idx="6">
                  <c:v>75</c:v>
                </c:pt>
                <c:pt idx="7">
                  <c:v>73</c:v>
                </c:pt>
                <c:pt idx="8">
                  <c:v>70</c:v>
                </c:pt>
                <c:pt idx="9">
                  <c:v>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260.59999999999997</c:v>
                </c:pt>
                <c:pt idx="1">
                  <c:v>518.7</c:v>
                </c:pt>
                <c:pt idx="2">
                  <c:v>429.7</c:v>
                </c:pt>
                <c:pt idx="3">
                  <c:v>82.79999999999997</c:v>
                </c:pt>
                <c:pt idx="4">
                  <c:v>668.6999999999999</c:v>
                </c:pt>
                <c:pt idx="5">
                  <c:v>199.2</c:v>
                </c:pt>
                <c:pt idx="6">
                  <c:v>-498.59999999999997</c:v>
                </c:pt>
                <c:pt idx="7">
                  <c:v>-209</c:v>
                </c:pt>
                <c:pt idx="8">
                  <c:v>419</c:v>
                </c:pt>
                <c:pt idx="9">
                  <c:v>505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545.5</c:v>
                </c:pt>
                <c:pt idx="1">
                  <c:v>662.7</c:v>
                </c:pt>
                <c:pt idx="2">
                  <c:v>596.6</c:v>
                </c:pt>
                <c:pt idx="3">
                  <c:v>625.1</c:v>
                </c:pt>
                <c:pt idx="4">
                  <c:v>618.5</c:v>
                </c:pt>
                <c:pt idx="5">
                  <c:v>188.7</c:v>
                </c:pt>
                <c:pt idx="6">
                  <c:v>185</c:v>
                </c:pt>
                <c:pt idx="7">
                  <c:v>42.3</c:v>
                </c:pt>
                <c:pt idx="8">
                  <c:v>156.9</c:v>
                </c:pt>
                <c:pt idx="9">
                  <c:v>402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9.2</c:v>
                </c:pt>
                <c:pt idx="1">
                  <c:v>11.5</c:v>
                </c:pt>
                <c:pt idx="2">
                  <c:v>8.6</c:v>
                </c:pt>
                <c:pt idx="3">
                  <c:v>7.6</c:v>
                </c:pt>
                <c:pt idx="4">
                  <c:v>6</c:v>
                </c:pt>
                <c:pt idx="5">
                  <c:v>3.1</c:v>
                </c:pt>
                <c:pt idx="6">
                  <c:v>3</c:v>
                </c:pt>
                <c:pt idx="7">
                  <c:v>3.1</c:v>
                </c:pt>
                <c:pt idx="8">
                  <c:v>4.4</c:v>
                </c:pt>
                <c:pt idx="9">
                  <c:v>6.6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c:v>
                </c:pt>
                <c:pt idx="1">
                  <c:v>8.2</c:v>
                </c:pt>
                <c:pt idx="2">
                  <c:v>8.2</c:v>
                </c:pt>
                <c:pt idx="3">
                  <c:v>8.2</c:v>
                </c:pt>
                <c:pt idx="4">
                  <c:v>8.2</c:v>
                </c:pt>
                <c:pt idx="5">
                  <c:v>8.2</c:v>
                </c:pt>
                <c:pt idx="6">
                  <c:v>8.2</c:v>
                </c:pt>
                <c:pt idx="7">
                  <c:v>8.2</c:v>
                </c:pt>
                <c:pt idx="8">
                  <c:v>8.2</c:v>
                </c:pt>
                <c:pt idx="9">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14.7</c:v>
                </c:pt>
                <c:pt idx="1">
                  <c:v>18</c:v>
                </c:pt>
                <c:pt idx="2">
                  <c:v>15.2</c:v>
                </c:pt>
                <c:pt idx="3">
                  <c:v>13.8</c:v>
                </c:pt>
                <c:pt idx="4">
                  <c:v>13.1</c:v>
                </c:pt>
                <c:pt idx="5">
                  <c:v>3.9</c:v>
                </c:pt>
                <c:pt idx="6">
                  <c:v>3.5</c:v>
                </c:pt>
                <c:pt idx="7">
                  <c:v>0.8</c:v>
                </c:pt>
                <c:pt idx="8">
                  <c:v>2.8</c:v>
                </c:pt>
                <c:pt idx="9">
                  <c:v>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3.55</c:v>
                </c:pt>
                <c:pt idx="1">
                  <c:v>4.24</c:v>
                </c:pt>
                <c:pt idx="2">
                  <c:v>4.37</c:v>
                </c:pt>
                <c:pt idx="3">
                  <c:v>4.54</c:v>
                </c:pt>
                <c:pt idx="4">
                  <c:v>4.97</c:v>
                </c:pt>
                <c:pt idx="5">
                  <c:v>8.17</c:v>
                </c:pt>
                <c:pt idx="6">
                  <c:v>9.47</c:v>
                </c:pt>
                <c:pt idx="7">
                  <c:v>9.04</c:v>
                </c:pt>
                <c:pt idx="8">
                  <c:v>5.27</c:v>
                </c:pt>
                <c:pt idx="9">
                  <c:v>4.81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9</c:v>
                </c:pt>
                <c:pt idx="1">
                  <c:v>18</c:v>
                </c:pt>
                <c:pt idx="2">
                  <c:v>2037</c:v>
                </c:pt>
                <c:pt idx="3">
                  <c:v>18</c:v>
                </c:pt>
                <c:pt idx="4">
                  <c:v>2117</c:v>
                </c:pt>
                <c:pt idx="5">
                  <c:v>3272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202.7</c:v>
                </c:pt>
                <c:pt idx="1">
                  <c:v>1857.2</c:v>
                </c:pt>
                <c:pt idx="2">
                  <c:v>524.1</c:v>
                </c:pt>
                <c:pt idx="3">
                  <c:v>119.7</c:v>
                </c:pt>
                <c:pt idx="4">
                  <c:v>468.6</c:v>
                </c:pt>
                <c:pt idx="5">
                  <c:v>519.1</c:v>
                </c:pt>
                <c:pt idx="6">
                  <c:v>1533.3</c:v>
                </c:pt>
                <c:pt idx="7">
                  <c:v>29</c:v>
                </c:pt>
                <c:pt idx="8">
                  <c:v>286</c:v>
                </c:pt>
                <c:pt idx="9">
                  <c:v>108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216.2</c:v>
                </c:pt>
                <c:pt idx="1">
                  <c:v>218.3</c:v>
                </c:pt>
                <c:pt idx="2">
                  <c:v>278.8</c:v>
                </c:pt>
                <c:pt idx="3">
                  <c:v>238.7</c:v>
                </c:pt>
                <c:pt idx="4">
                  <c:v>113.2</c:v>
                </c:pt>
                <c:pt idx="5">
                  <c:v>258.9</c:v>
                </c:pt>
                <c:pt idx="6">
                  <c:v>0.6</c:v>
                </c:pt>
                <c:pt idx="7">
                  <c:v>0</c:v>
                </c:pt>
                <c:pt idx="8">
                  <c:v>1</c:v>
                </c:pt>
                <c:pt idx="9">
                  <c:v>128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12.7</c:v>
                </c:pt>
                <c:pt idx="1">
                  <c:v>0</c:v>
                </c:pt>
                <c:pt idx="2">
                  <c:v>0</c:v>
                </c:pt>
                <c:pt idx="3">
                  <c:v>0</c:v>
                </c:pt>
                <c:pt idx="4">
                  <c:v>0</c:v>
                </c:pt>
                <c:pt idx="5">
                  <c:v>125.7</c:v>
                </c:pt>
                <c:pt idx="6">
                  <c:v>3.5</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Ejecutivo</c:v>
                </c:pt>
                <c:pt idx="2">
                  <c:v>Dominical</c:v>
                </c:pt>
                <c:pt idx="3">
                  <c:v>Otro externo</c:v>
                </c:pt>
              </c:strCache>
            </c:strRef>
          </c:cat>
          <c:val>
            <c:numRef>
              <c:f>Hoja1!$B$2:$B$5</c:f>
              <c:numCache>
                <c:formatCode>0</c:formatCode>
                <c:ptCount val="4"/>
                <c:pt idx="0">
                  <c:v>6</c:v>
                </c:pt>
                <c:pt idx="1">
                  <c:v>1</c:v>
                </c:pt>
                <c:pt idx="2">
                  <c:v>4</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Deria, S.L. (familia Grifols Roura)</c:v>
                </c:pt>
                <c:pt idx="1">
                  <c:v>Scranton Enterprises B.V.</c:v>
                </c:pt>
                <c:pt idx="2">
                  <c:v>Ponder Trade, S.L.</c:v>
                </c:pt>
                <c:pt idx="3">
                  <c:v>Flat Footed LLC (Marc Andersen)</c:v>
                </c:pt>
                <c:pt idx="4">
                  <c:v>BlackRock, Inc.</c:v>
                </c:pt>
                <c:pt idx="5">
                  <c:v>The Goldman Sachs Group, Inc.</c:v>
                </c:pt>
                <c:pt idx="6">
                  <c:v>Bank of America Corporation</c:v>
                </c:pt>
                <c:pt idx="7">
                  <c:v>Mason Capital Master Fund L.P.</c:v>
                </c:pt>
                <c:pt idx="8">
                  <c:v>Armistice Capital Master Fund</c:v>
                </c:pt>
                <c:pt idx="9">
                  <c:v>Fidelity International Limited</c:v>
                </c:pt>
                <c:pt idx="10">
                  <c:v>Autocartera</c:v>
                </c:pt>
              </c:strCache>
            </c:strRef>
          </c:cat>
          <c:val>
            <c:numRef>
              <c:f>Hoja1!$B$2:$B$12</c:f>
              <c:numCache>
                <c:formatCode>0.0"%"</c:formatCode>
                <c:ptCount val="11"/>
                <c:pt idx="0">
                  <c:v>15.2</c:v>
                </c:pt>
                <c:pt idx="1">
                  <c:v>8.4</c:v>
                </c:pt>
                <c:pt idx="2">
                  <c:v>7.09</c:v>
                </c:pt>
                <c:pt idx="3">
                  <c:v>5.39</c:v>
                </c:pt>
                <c:pt idx="4">
                  <c:v>4.71</c:v>
                </c:pt>
                <c:pt idx="5">
                  <c:v>3.6</c:v>
                </c:pt>
                <c:pt idx="6">
                  <c:v>3.27</c:v>
                </c:pt>
                <c:pt idx="7">
                  <c:v>3.17</c:v>
                </c:pt>
                <c:pt idx="8">
                  <c:v>1.06</c:v>
                </c:pt>
                <c:pt idx="9">
                  <c:v>1.06</c:v>
                </c:pt>
                <c:pt idx="10">
                  <c:v>1.02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-11.4</c:v>
                </c:pt>
                <c:pt idx="1">
                  <c:v>29.4</c:v>
                </c:pt>
                <c:pt idx="2">
                  <c:v>-6.2</c:v>
                </c:pt>
                <c:pt idx="3">
                  <c:v>37.2</c:v>
                </c:pt>
                <c:pt idx="4">
                  <c:v>-24</c:v>
                </c:pt>
                <c:pt idx="5">
                  <c:v>-29.3</c:v>
                </c:pt>
                <c:pt idx="6">
                  <c:v>-36.2</c:v>
                </c:pt>
                <c:pt idx="7">
                  <c:v>43.5</c:v>
                </c:pt>
                <c:pt idx="8">
                  <c:v>-40.8</c:v>
                </c:pt>
                <c:pt idx="9">
                  <c:v>17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14.9</c:v>
                </c:pt>
                <c:pt idx="1">
                  <c:v>18</c:v>
                </c:pt>
                <c:pt idx="2">
                  <c:v>17.6</c:v>
                </c:pt>
                <c:pt idx="3">
                  <c:v>21.1</c:v>
                </c:pt>
                <c:pt idx="4">
                  <c:v>18.8</c:v>
                </c:pt>
                <c:pt idx="5">
                  <c:v>22.6</c:v>
                </c:pt>
                <c:pt idx="6">
                  <c:v>18.3</c:v>
                </c:pt>
                <c:pt idx="7">
                  <c:v>19.9</c:v>
                </c:pt>
                <c:pt idx="8">
                  <c:v>10.4</c:v>
                </c:pt>
                <c:pt idx="9">
                  <c:v>10.1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18.2</c:v>
                </c:pt>
                <c:pt idx="1">
                  <c:v>18.2</c:v>
                </c:pt>
                <c:pt idx="2">
                  <c:v>18.2</c:v>
                </c:pt>
                <c:pt idx="3">
                  <c:v>18.2</c:v>
                </c:pt>
                <c:pt idx="4">
                  <c:v>18.2</c:v>
                </c:pt>
                <c:pt idx="5">
                  <c:v>18.2</c:v>
                </c:pt>
                <c:pt idx="6">
                  <c:v>18.2</c:v>
                </c:pt>
                <c:pt idx="7">
                  <c:v>18.2</c:v>
                </c:pt>
                <c:pt idx="8">
                  <c:v>18.2</c:v>
                </c:pt>
                <c:pt idx="9">
                  <c:v>18.2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Grifols</c:v>
                </c:pt>
                <c:pt idx="1">
                  <c:v>CSL</c:v>
                </c:pt>
                <c:pt idx="2">
                  <c:v>Takeda</c:v>
                </c:pt>
                <c:pt idx="3">
                  <c:v>ADMA Biologics</c:v>
                </c:pt>
                <c:pt idx="4">
                  <c:v>Shanghai RAAS</c:v>
                </c:pt>
                <c:pt idx="5">
                  <c:v>Hualan Biological</c:v>
                </c:pt>
                <c:pt idx="6">
                  <c:v>Tiantan Biological</c:v>
                </c:pt>
                <c:pt idx="7">
                  <c:v>Kamada</c:v>
                </c:pt>
              </c:strCache>
            </c:strRef>
          </c:cat>
          <c:val>
            <c:numRef>
              <c:f>Hoja1!$B$2:$B$9</c:f>
              <c:numCache>
                <c:formatCode>0.0"x"</c:formatCode>
                <c:ptCount val="8"/>
                <c:pt idx="0">
                  <c:v>9</c:v>
                </c:pt>
                <c:pt idx="1">
                  <c:v>13.8</c:v>
                </c:pt>
                <c:pt idx="2">
                  <c:v>9.5</c:v>
                </c:pt>
                <c:pt idx="3">
                  <c:v>7.3</c:v>
                </c:pt>
                <c:pt idx="5">
                  <c:v>15.5</c:v>
                </c:pt>
                <c:pt idx="6">
                  <c:v>12</c:v>
                </c:pt>
                <c:pt idx="7">
                  <c:v>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Grifols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6.3</c:v>
                </c:pt>
              </c:numCache>
            </c:numRef>
          </c:xVal>
          <c:yVal>
            <c:numRef>
              <c:f>Hoja1!$C$2</c:f>
              <c:numCache>
                <c:formatCode>0.0"x"</c:formatCode>
                <c:ptCount val="1"/>
                <c:pt idx="0">
                  <c:v>9</c:v>
                </c:pt>
              </c:numCache>
            </c:numRef>
          </c:yVal>
          <c:smooth val="0"/>
        </c:ser>
        <c:ser>
          <c:idx val="1"/>
          <c:order val="1"/>
          <c:tx>
            <c:strRef>
              <c:f>Hoja1!$A$3</c:f>
              <c:strCache>
                <c:ptCount val="1"/>
                <c:pt idx="0">
                  <c:v>CSL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0.5</c:v>
                </c:pt>
              </c:numCache>
            </c:numRef>
          </c:xVal>
          <c:yVal>
            <c:numRef>
              <c:f>Hoja1!$C$3</c:f>
              <c:numCache>
                <c:formatCode>0.0"x"</c:formatCode>
                <c:ptCount val="1"/>
                <c:pt idx="0">
                  <c:v>13.8</c:v>
                </c:pt>
              </c:numCache>
            </c:numRef>
          </c:yVal>
          <c:smooth val="0"/>
        </c:ser>
        <c:ser>
          <c:idx val="2"/>
          <c:order val="2"/>
          <c:tx>
            <c:strRef>
              <c:f>Hoja1!$A$4</c:f>
              <c:strCache>
                <c:ptCount val="1"/>
                <c:pt idx="0">
                  <c:v>Takeda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3.3</c:v>
                </c:pt>
              </c:numCache>
            </c:numRef>
          </c:xVal>
          <c:yVal>
            <c:numRef>
              <c:f>Hoja1!$C$4</c:f>
              <c:numCache>
                <c:formatCode>0.0"x"</c:formatCode>
                <c:ptCount val="1"/>
                <c:pt idx="0">
                  <c:v>9.5</c:v>
                </c:pt>
              </c:numCache>
            </c:numRef>
          </c:yVal>
          <c:smooth val="0"/>
        </c:ser>
        <c:ser>
          <c:idx val="3"/>
          <c:order val="3"/>
          <c:tx>
            <c:strRef>
              <c:f>Hoja1!$A$5</c:f>
              <c:strCache>
                <c:ptCount val="1"/>
                <c:pt idx="0">
                  <c:v>ADMA Biologics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12.5</c:v>
                </c:pt>
              </c:numCache>
            </c:numRef>
          </c:xVal>
          <c:yVal>
            <c:numRef>
              <c:f>Hoja1!$C$5</c:f>
              <c:numCache>
                <c:formatCode>0.0"x"</c:formatCode>
                <c:ptCount val="1"/>
                <c:pt idx="0">
                  <c:v>7.3</c:v>
                </c:pt>
              </c:numCache>
            </c:numRef>
          </c:yVal>
          <c:smooth val="0"/>
        </c:ser>
        <c:ser>
          <c:idx val="4"/>
          <c:order val="4"/>
          <c:tx>
            <c:strRef>
              <c:f>Hoja1!$A$6</c:f>
              <c:strCache>
                <c:ptCount val="1"/>
                <c:pt idx="0">
                  <c:v>Hualan Biological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15.5</c:v>
                </c:pt>
              </c:numCache>
            </c:numRef>
          </c:yVal>
          <c:smooth val="0"/>
        </c:ser>
        <c:ser>
          <c:idx val="5"/>
          <c:order val="5"/>
          <c:tx>
            <c:strRef>
              <c:f>Hoja1!$A$7</c:f>
              <c:strCache>
                <c:ptCount val="1"/>
                <c:pt idx="0">
                  <c:v>Tiantan Biological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c:v>
                </c:pt>
              </c:numCache>
            </c:numRef>
          </c:xVal>
          <c:yVal>
            <c:numRef>
              <c:f>Hoja1!$C$7</c:f>
              <c:numCache>
                <c:formatCode>0.0"x"</c:formatCode>
                <c:ptCount val="1"/>
                <c:pt idx="0">
                  <c:v>12</c:v>
                </c:pt>
              </c:numCache>
            </c:numRef>
          </c:yVal>
          <c:smooth val="0"/>
        </c:ser>
        <c:ser>
          <c:idx val="6"/>
          <c:order val="6"/>
          <c:tx>
            <c:strRef>
              <c:f>Hoja1!$A$8</c:f>
              <c:strCache>
                <c:ptCount val="1"/>
                <c:pt idx="0">
                  <c:v>Kamada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11.4</c:v>
                </c:pt>
              </c:numCache>
            </c:numRef>
          </c:xVal>
          <c:yVal>
            <c:numRef>
              <c:f>Hoja1!$C$8</c:f>
              <c:numCache>
                <c:formatCode>0.0"x"</c:formatCode>
                <c:ptCount val="1"/>
                <c:pt idx="0">
                  <c:v>7.6</c:v>
                </c:pt>
              </c:numCache>
            </c:numRef>
          </c:yVal>
          <c:smooth val="0"/>
        </c:ser>
        <c:axId val="10"/>
        <c:axId val="20"/>
      </c:scatterChart>
      <c:valAx>
        <c:axId val="10"/>
        <c:scaling>
          <c:orientation val="minMax"/>
          <c:max val="16"/>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Shanghai RAAS (≈20 %)</c:v>
                </c:pt>
                <c:pt idx="1">
                  <c:v>Biotest AG</c:v>
                </c:pt>
                <c:pt idx="2">
                  <c:v>Grifols (oferta no presentada)</c:v>
                </c:pt>
              </c:strCache>
            </c:strRef>
          </c:cat>
          <c:val>
            <c:numRef>
              <c:f>Hoja1!$B$2:$B$4</c:f>
              <c:numCache>
                <c:formatCode>0.0"x"</c:formatCode>
                <c:ptCount val="3"/>
                <c:pt idx="0">
                  <c:v>23.6</c:v>
                </c:pt>
                <c:pt idx="2">
                  <c:v>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965</c:v>
                </c:pt>
                <c:pt idx="1">
                  <c:v>857</c:v>
                </c:pt>
                <c:pt idx="2">
                  <c:v>953</c:v>
                </c:pt>
                <c:pt idx="3">
                  <c:v>1068</c:v>
                </c:pt>
                <c:pt idx="4">
                  <c:v>1178</c:v>
                </c:pt>
                <c:pt idx="5">
                  <c:v>1243</c:v>
                </c:pt>
                <c:pt idx="6">
                  <c:v>1305</c:v>
                </c:pt>
                <c:pt idx="7">
                  <c:v>1363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6074</c:v>
                </c:pt>
                <c:pt idx="1">
                  <c:v>13760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9,88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1.78</c:v>
                </c:pt>
                <c:pt idx="1">
                  <c:v>14.21</c:v>
                </c:pt>
                <c:pt idx="2">
                  <c:v>18.65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9,88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Hoja1!$B$2:$B$9</c:f>
              <c:numCache>
                <c:formatCode>#,##0.0</c:formatCode>
                <c:ptCount val="8"/>
                <c:pt idx="0">
                  <c:v>8.43</c:v>
                </c:pt>
                <c:pt idx="1">
                  <c:v>9</c:v>
                </c:pt>
                <c:pt idx="2">
                  <c:v>6.96</c:v>
                </c:pt>
                <c:pt idx="3">
                  <c:v>15.95</c:v>
                </c:pt>
                <c:pt idx="4">
                  <c:v>9.9</c:v>
                </c:pt>
                <c:pt idx="5">
                  <c:v>1.78</c:v>
                </c:pt>
                <c:pt idx="6">
                  <c:v>16.27</c:v>
                </c:pt>
                <c:pt idx="7">
                  <c:v>9.83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Hoja1!$C$2:$C$9</c:f>
              <c:numCache>
                <c:formatCode>#,##0.0</c:formatCode>
                <c:ptCount val="8"/>
                <c:pt idx="0">
                  <c:v>3.7699999999999996</c:v>
                </c:pt>
                <c:pt idx="1">
                  <c:v>14</c:v>
                </c:pt>
                <c:pt idx="2">
                  <c:v>16.919999999999998</c:v>
                </c:pt>
                <c:pt idx="3">
                  <c:v>9.18</c:v>
                </c:pt>
                <c:pt idx="4">
                  <c:v>10.42</c:v>
                </c:pt>
                <c:pt idx="5">
                  <c:v>16.869999999999997</c:v>
                </c:pt>
                <c:pt idx="6">
                  <c:v>8.150000000000002</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