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ICON plc</w:t>
      </w:r>
    </w:p>
    <w:p>
      <w:pPr>
        <w:spacing w:after="60"/>
        <w:rPr>
          <w:color w:val="52514E"/>
          <w:sz w:val="22"/>
          <w:szCs w:val="22"/>
        </w:rPr>
      </w:pPr>
      <w:r>
        <w:rPr>
          <w:color w:val="52514E"/>
          <w:sz w:val="22"/>
          <w:szCs w:val="22"/>
        </w:rPr>
        <w:t xml:space="preserve">ICLR · Nasdaq Global Select Market · ISIN IE0005711209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9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164,50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223,12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+35,6 % (base +29,7 %)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163,26 USD · mercado 194,24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12.778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12,8x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ICON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ICLR / IE0005711209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Herramientas y servicios para ciencias de la vida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Dublín (Irlanda) · 1990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40.200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www.iconplc.com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164,50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66,57 – 203,91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12.778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15.145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138 M USD/día (0,82 M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223,12 USD</w:t>
      </w:r>
      <w:r>
        <w:t xml:space="preserve"> frente a 164,50 · Rentabilidad a 12 meses </w:t>
      </w:r>
      <w:r>
        <w:rPr>
          <w:b/>
          <w:bCs/>
        </w:rPr>
        <w:t xml:space="preserve">+35,6 % (base +29,7 %)</w:t>
      </w:r>
      <w:r>
        <w:t xml:space="preserve"> · Valor intrínseco 163,26 USD · con la prima implícita del mercado: 194,24 (+18,1 %) · Alcista / bajista +18,0 % / -37,2 %</w:t>
      </w:r>
    </w:p>
    <w:p>
      <w:pPr>
        <w:spacing w:after="100"/>
      </w:pPr>
      <w:r>
        <w:rPr>
          <w:b/>
        </w:rPr>
        <w:t xml:space="preserve">La recomendación y por qué.</w:t>
      </w:r>
      <w:r>
        <w:t xml:space="preserve"> Mantener, con convicción baja. El valor objetivo es de 163,26 USD, un 0,8 % por debajo del precio (164,50 USD), sin dividendo: rentabilidad total esperada del −0,8 %. Con nuestro WACC (10,1 %) la asimetría es mala, +18,0 % en el alcista frente a −37,2 % en el bajista (0,48 veces), y la regla absoluta da Vender; con la prima de riesgo que hoy pide el mercado (4,2 %), el objetivo sube a 194,24 USD (+18,1 %) y la relativa da Comprar. Se contradicen: Mantener. </w:t>
      </w:r>
      <w:r>
        <w:rPr>
          <w:b/>
        </w:rPr>
        <w:t xml:space="preserve">La convicción es baja porque la decisión depende de la tasa de descuento, no de los flujos</w:t>
      </w:r>
      <w:r>
        <w:t xml:space="preserve">; subiría si el 20-F de 2026 (hasta abril de 2027) llega sin debilidades materiales y el margen ajustado supera el 17 %, y bajaría si el 3T26 (27 de octubre) lo deja por debajo del 15 %.</w:t>
      </w:r>
    </w:p>
    <w:p>
      <w:pPr>
        <w:spacing w:after="100"/>
      </w:pPr>
      <w:r>
        <w:rPr>
          <w:b/>
        </w:rPr>
        <w:t xml:space="preserve">El negocio.</w:t>
      </w:r>
      <w:r>
        <w:t xml:space="preserve"> ICON es una de las tres mayores CRO del mundo, con cerca del 11 % del desarrollo clínico externalizado [1, 18]. El foso se estrecha: de 2023 a 2025 creció un 2,4 % y Medpace un 34 % [1, 24], con un margen EBITDA 4-6 puntos inferior al de sus pares [81]. PRA hundió el ROIC del 25,7 % al 6,8 %, bajo el WACC [9]. </w:t>
      </w:r>
      <w:r>
        <w:rPr>
          <w:b/>
        </w:rPr>
        <w:t xml:space="preserve">La calidad sostiene solo en parte el crecimiento proyectado</w:t>
      </w:r>
      <w:r>
        <w:t xml:space="preserve"> (3,5 % anual, sin capital nuevo y con la cuota bajando al 10 % en 2035e): el +5 % de 2028-2030 exige dejar de perder cuota sin poder de precios demostrado [1].</w:t>
      </w:r>
    </w:p>
    <w:p>
      <w:pPr>
        <w:spacing w:after="100"/>
      </w:pPr>
      <w:r>
        <w:rPr>
          <w:b/>
        </w:rPr>
        <w:t xml:space="preserve">Finanzas y calidad contable.</w:t>
      </w:r>
      <w:r>
        <w:t xml:space="preserve"> Es lo que más pesa. La investigación halló ajustes manuales que adelantaron ingresos entre el 3T23 y el 4T24: las ventas de 2023 y 2024 se reexpresaron a la baja en 65,3 M y 92,7 M, y el beneficio, un 9,5 % y un 6,6 % [1]. El auditor da opinión adversa sobre el control interno por dos debilidades materiales, una el tono de la dirección [1]. La caja es real: 862 M de flujo libre en 2025, sin cambios por la reexpresión [1], y una deuda neta de 2,0 veces el EBITDA sin vencimientos hasta 2029 [11]. El problema es operativo: ventas planas (+0,8 % en 2025) y un margen ajustado del 20,4 % en 2024 al 15,7 % en el primer semestre de 2026 [3, 7].</w:t>
      </w:r>
    </w:p>
    <w:p>
      <w:pPr>
        <w:spacing w:after="100"/>
      </w:pPr>
      <w:r>
        <w:rPr>
          <w:b/>
        </w:rPr>
        <w:t xml:space="preserve">Equipo y gobierno.</w:t>
      </w:r>
      <w:r>
        <w:t xml:space="preserve"> Restan. Cúpula nueva (2024 y 2025), una guía cumplida limpiamente solo en 2023 de 2022 a 2025 [1, 40, 61] y el mismo presidente que durante los ajustes. Consejeros y directivos vendieron 4,0 M USD en agosto y septiembre [48].</w:t>
      </w:r>
    </w:p>
    <w:p>
      <w:pPr>
        <w:spacing w:after="100"/>
      </w:pPr>
      <w:r>
        <w:rPr>
          <w:b/>
        </w:rPr>
        <w:t xml:space="preserve">Valoración.</w:t>
      </w:r>
      <w:r>
        <w:t xml:space="preserve"> DCF 154,88 USD (−5,8 %), escenarios 151,77 y comparables 219,05, con pesos del 45, 40 y 15 %. </w:t>
      </w:r>
      <w:r>
        <w:rPr>
          <w:b/>
        </w:rPr>
        <w:t xml:space="preserve">El precio descuenta la recuperación completa</w:t>
      </w:r>
      <w:r>
        <w:t xml:space="preserve">: un crecimiento del 4,9 % anual en 2027-2035 (4,1 % en nuestro base) y un margen EBITDA final del 17,2 %, cerca del 20 % ajustado de 2024. Con nuestros flujos rinde un 9,8 %: menos que el WACC y más que el 8,9 % que pide el mercado. Nuestro EBITDA de 2026-2028 está solo un 1,7-3,1 % por encima del consenso: la distancia con su precio objetivo (184,41 USD) [78] está en la tasa de descuento.</w:t>
      </w:r>
    </w:p>
    <w:p>
      <w:pPr>
        <w:spacing w:after="100"/>
      </w:pPr>
      <w:r>
        <w:rPr>
          <w:b/>
        </w:rPr>
        <w:t xml:space="preserve">Riesgos y catalizadores.</w:t>
      </w:r>
      <w:r>
        <w:t xml:space="preserve"> Otro tropiezo contable o una sanción de la SEC (el 12-feb-2026 la acción perdió un 39,9 % en un día [72]) y el margen: cada punto menos resta un 8,6 % al DCF. Catalizadores: resultados del 3T26 el 27-oct-2026 [73], guía de 2027 en febrero, el 20-F de 2026 y 750 M de recompras autorizadas [1].</w:t>
      </w:r>
    </w:p>
    <w:p>
      <w:pPr>
        <w:spacing w:after="100"/>
      </w:pPr>
      <w:r>
        <w:rPr>
          <w:b/>
        </w:rPr>
        <w:t xml:space="preserve">Qué cambiaría la decisión.</w:t>
      </w:r>
      <w:r>
        <w:t xml:space="preserve"> Compraríamos por debajo de 155,42 USD y venderíamos por encima de 202,28. Pasaríamos a Comprar si EY levanta las debilidades y la contratación sobre honorarios directos se mantiene en 1,2 veces o más con un margen ajustado del 17 %; a Vender, si el margen queda por debajo del 15 % dos trimestres seguidos o se retrasa otro informe.</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223,12 USD</w:t>
      </w:r>
      <w:r>
        <w:t xml:space="preserve"> (rentabilidad +35,6 % (base +29,7 %)) · Valor intrínseco: 163,26 USD (-0,8 % sobre 164,50) · con la prima implícita del mercado: 194,24 (+18,1 %)</w:t>
      </w:r>
    </w:p>
    <w:p>
      <w:pPr>
        <w:spacing w:after="100"/>
      </w:pPr>
      <w:r>
        <w:t xml:space="preserve">ICON es una de las tres mayores CRO del mundo: 8.294 M USD de ingresos en los últimos 12 meses, una cartera de 23.400 M y una contratación de 1,51 veces la facturación en el segundo trimestre de 2026 [7]. Convierte bien el beneficio en caja (862 M de flujo libre en 2025) y su deuda, 2,0 veces el EBITDA, ya no vence hasta 2029 [1, 11]. Pero desde la compra de PRA no crece y su ROIC (6,8 %) no cubre el coste de capital.</w:t>
      </w:r>
    </w:p>
    <w:p>
      <w:pPr>
        <w:spacing w:after="100"/>
      </w:pPr>
      <w:r>
        <w:t xml:space="preserve">El precio, 164,50 USD, está por debajo de todos los cierres anuales desde 2019 y equivale a 12,8 veces el EBITDA de los próximos 12 meses, frente a 14,6 veces de los comparables. Aun así, el DCF inverso dice que descuenta una recuperación completa: un crecimiento del 4,9 % anual hasta 2035 y un margen EBITDA del 17,2 %, cerca del 20 % ajustado de 2024, antes de la reexpresión.</w:t>
      </w:r>
    </w:p>
    <w:p>
      <w:pPr>
        <w:spacing w:after="100"/>
      </w:pPr>
      <w:r>
        <w:t xml:space="preserve">El mercado acierta en descontar a ICON frente a IQVIA o Medpace: la reexpresión de 2023-2024, dos debilidades materiales sin remediar, una demanda colectiva y una autodenuncia ante la SEC [1, 67]. Para invertir hay que creer que la contratación de 2026 se convierte en ingresos con margen y que el control interno se limpia en el 20-F de 2026. Con nuestro coste de capital el precio ya paga esa recuperación; solo con la prima que hoy pide el mercado queda un 18,1 % de recorrido.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223,12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 × 5,92 = 118,99 · 25,1x × 8,50 = 213,35 · 33,9x × 10,23 = 346,80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35,6 % / 29,7 %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184,41 (nuestro base +15,7 %)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163,26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 / -37,2 %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 frente a 10,1 % y 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194,24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 frente a 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163,26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163,26 y 247,91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247,91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155,42 USD sin noticias nuevas, pasaríamos a Comprar.</w:t>
      </w:r>
    </w:p>
    <w:p>
      <w:pPr>
        <w:pStyle w:val="ListParagraph"/>
        <w:numPr>
          <w:ilvl w:val="0"/>
          <w:numId w:val="2"/>
        </w:numPr>
        <w:spacing w:after="60"/>
      </w:pPr>
      <w:r>
        <w:t xml:space="preserve">Si el 20-F de 2026 llega sin debilidades materiales y el margen ajustado del 4T26 supera el 17 %, pasaríamos a Comprar.</w:t>
      </w:r>
    </w:p>
    <w:p>
      <w:pPr>
        <w:pStyle w:val="ListParagraph"/>
        <w:numPr>
          <w:ilvl w:val="0"/>
          <w:numId w:val="2"/>
        </w:numPr>
        <w:spacing w:after="60"/>
      </w:pPr>
      <w:r>
        <w:t xml:space="preserve">Si el margen EBITDA ajustado queda por debajo del 15 % dos trimestres seguidos, pasaríamos a Vender.</w:t>
      </w:r>
    </w:p>
    <w:p>
      <w:pPr>
        <w:pStyle w:val="ListParagraph"/>
        <w:numPr>
          <w:ilvl w:val="0"/>
          <w:numId w:val="2"/>
        </w:numPr>
        <w:spacing w:after="60"/>
      </w:pPr>
      <w:r>
        <w:t xml:space="preserve">Si se retrasa otro informe o la SEC abre una actuación formal, pasaríamos a Vender.</w:t>
      </w:r>
    </w:p>
    <w:p>
      <w:pPr>
        <w:pStyle w:val="ListParagraph"/>
        <w:numPr>
          <w:ilvl w:val="0"/>
          <w:numId w:val="2"/>
        </w:numPr>
        <w:spacing w:after="60"/>
      </w:pPr>
      <w:r>
        <w:t xml:space="preserve">Si el precio supera 202,28 USD, pasaríamos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El precio descuenta que ICON vuelve a crecer al 4,9 % anual en 2027-2035 y recupera un margen EBITDA del 17,2 % en nuestra base (cerca del 20 % ajustado de 2024), con una rentabilidad exigida del 9,8 %. El consenso espera ingresos de 8.894 M en 2028 y un precio objetivo medio de 184,41 USD [78].</w:t>
      </w:r>
    </w:p>
    <w:p>
      <w:pPr>
        <w:keepNext/>
        <w:spacing w:after="100"/>
      </w:pPr>
      <w:r>
        <w:rPr>
          <w:b/>
          <w:bCs/>
        </w:rPr>
        <w:t xml:space="preserve">Lo que creemos nosotros.</w:t>
      </w:r>
    </w:p>
    <w:p>
      <w:pPr>
        <w:spacing w:after="100"/>
      </w:pPr>
      <w:r>
        <w:t xml:space="preserve">Coincidimos con el consenso en los flujos: nuestro EBITDA de 2026-2028 está un 1,7-3,1 % por encima del suyo y los ingresos, a menos de un 1 %. Discrepamos en el riesgo: con un WACC del 10,1 % la acción vale 154,88 USD por DCF y el bajista (−37,2 %) pesa el doble que el alcista (+18,0 %).</w:t>
      </w:r>
    </w:p>
    <w:p>
      <w:pPr>
        <w:keepNext/>
        <w:spacing w:after="100"/>
      </w:pPr>
      <w:r>
        <w:rPr>
          <w:b/>
          <w:bCs/>
        </w:rPr>
        <w:t xml:space="preserve">Por qué podemos tener razón.</w:t>
      </w:r>
    </w:p>
    <w:p>
      <w:pPr>
        <w:spacing w:after="100"/>
      </w:pPr>
      <w:r>
        <w:t xml:space="preserve">El margen ajustado cayó del 20,5 % del 2T25 al 15,5 % del 4T25 y no se ha recuperado (15,9 % en el 2T26) y la contratación del 2T26 se apoyó en reembolsables sin margen: sobre honorarios directos fue de 1,2 veces [7]. Mientras el auditor mantenga la opinión adversa sobre el control interno, no vemos motivo para descontar los flujos de ICON a una tasa inferior a la de su historia.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64,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Precio en mínimos</w:t>
      </w:r>
      <w:r>
        <w:t xml:space="preserve">: 12,4 veces el EBITDA de los últimos 12 meses, por debajo del mínimo de sus cierres de 2019-2025 (13,2 veces).</w:t>
      </w:r>
    </w:p>
    <w:p>
      <w:pPr>
        <w:pStyle w:val="ListParagraph"/>
        <w:numPr>
          <w:ilvl w:val="0"/>
          <w:numId w:val="2"/>
        </w:numPr>
        <w:spacing w:after="60"/>
      </w:pPr>
      <w:r>
        <w:rPr>
          <w:b/>
        </w:rPr>
        <w:t xml:space="preserve">Caja real</w:t>
      </w:r>
      <w:r>
        <w:t xml:space="preserve">: 862 M de flujo libre en 2025 y una rentabilidad por FCF del 6,9 %; la reexpresión no cambió la caja de ningún año [1].</w:t>
      </w:r>
    </w:p>
    <w:p>
      <w:pPr>
        <w:pStyle w:val="ListParagraph"/>
        <w:numPr>
          <w:ilvl w:val="0"/>
          <w:numId w:val="2"/>
        </w:numPr>
        <w:spacing w:after="60"/>
      </w:pPr>
      <w:r>
        <w:rPr>
          <w:b/>
        </w:rPr>
        <w:t xml:space="preserve">Contratación al alza</w:t>
      </w:r>
      <w:r>
        <w:t xml:space="preserve">: 1,51 veces la facturación en el 2T26 y cartera de 23.400 M, un 7,3 % más que en diciembre [7].</w:t>
      </w:r>
    </w:p>
    <w:p>
      <w:pPr>
        <w:pStyle w:val="ListParagraph"/>
        <w:numPr>
          <w:ilvl w:val="0"/>
          <w:numId w:val="2"/>
        </w:numPr>
        <w:spacing w:after="60"/>
      </w:pPr>
      <w:r>
        <w:rPr>
          <w:b/>
        </w:rPr>
        <w:t xml:space="preserve">Balance despejado</w:t>
      </w:r>
      <w:r>
        <w:t xml:space="preserve">: deuda neta de 2,0 veces el EBITDA y sin vencimientos hasta 2029 tras la refinanciación de 2.150 M [11].</w:t>
      </w:r>
    </w:p>
    <w:p>
      <w:pPr>
        <w:pStyle w:val="ListParagraph"/>
        <w:numPr>
          <w:ilvl w:val="0"/>
          <w:numId w:val="2"/>
        </w:numPr>
        <w:spacing w:after="60"/>
      </w:pPr>
      <w:r>
        <w:rPr>
          <w:b/>
        </w:rPr>
        <w:t xml:space="preserve">Recompras posibles</w:t>
      </w:r>
      <w:r>
        <w:t xml:space="preserve">: 750 M autorizados, un 5,9 % de la capitalización [1].</w:t>
      </w:r>
    </w:p>
    <w:p>
      <w:pPr>
        <w:pStyle w:val="Heading2"/>
      </w:pPr>
      <w:r>
        <w:t xml:space="preserve">En contra</w:t>
      </w:r>
    </w:p>
    <w:p>
      <w:pPr>
        <w:pStyle w:val="ListParagraph"/>
        <w:numPr>
          <w:ilvl w:val="0"/>
          <w:numId w:val="2"/>
        </w:numPr>
        <w:spacing w:after="60"/>
      </w:pPr>
      <w:r>
        <w:rPr>
          <w:b/>
        </w:rPr>
        <w:t xml:space="preserve">Cuentas reexpresadas</w:t>
      </w:r>
      <w:r>
        <w:t xml:space="preserve">: ventas de 2023-2024 rebajadas en 65,3 M y 92,7 M y dos debilidades materiales sin remediar [1].</w:t>
      </w:r>
    </w:p>
    <w:p>
      <w:pPr>
        <w:pStyle w:val="ListParagraph"/>
        <w:numPr>
          <w:ilvl w:val="0"/>
          <w:numId w:val="2"/>
        </w:numPr>
        <w:spacing w:after="60"/>
      </w:pPr>
      <w:r>
        <w:rPr>
          <w:b/>
        </w:rPr>
        <w:t xml:space="preserve">Sin crecimiento</w:t>
      </w:r>
      <w:r>
        <w:t xml:space="preserve">: ingresos de 8.251 M en 2025, un 0,8 % más que en 2024 y solo un 6,6 % más que en 2022 [1].</w:t>
      </w:r>
    </w:p>
    <w:p>
      <w:pPr>
        <w:pStyle w:val="ListParagraph"/>
        <w:numPr>
          <w:ilvl w:val="0"/>
          <w:numId w:val="2"/>
        </w:numPr>
        <w:spacing w:after="60"/>
      </w:pPr>
      <w:r>
        <w:rPr>
          <w:b/>
        </w:rPr>
        <w:t xml:space="preserve">Margen a la baja</w:t>
      </w:r>
      <w:r>
        <w:t xml:space="preserve">: el ajustado cayó del 20,4 % en 2024 al 15,7 % en el primer semestre de 2026 [3, 7].</w:t>
      </w:r>
    </w:p>
    <w:p>
      <w:pPr>
        <w:pStyle w:val="ListParagraph"/>
        <w:numPr>
          <w:ilvl w:val="0"/>
          <w:numId w:val="2"/>
        </w:numPr>
        <w:spacing w:after="60"/>
      </w:pPr>
      <w:r>
        <w:rPr>
          <w:b/>
        </w:rPr>
        <w:t xml:space="preserve">ROIC por debajo del coste de capital</w:t>
      </w:r>
      <w:r>
        <w:t xml:space="preserve">: 6,8 % frente a un WACC del 10,1 %, por los 12.042 M pagados por PRA.</w:t>
      </w:r>
    </w:p>
    <w:p>
      <w:pPr>
        <w:pStyle w:val="ListParagraph"/>
        <w:numPr>
          <w:ilvl w:val="0"/>
          <w:numId w:val="2"/>
        </w:numPr>
        <w:spacing w:after="60"/>
      </w:pPr>
      <w:r>
        <w:rPr>
          <w:b/>
        </w:rPr>
        <w:t xml:space="preserve">Guía poco fiable</w:t>
      </w:r>
      <w:r>
        <w:t xml:space="preserve">: de 2022 a 2025 solo se cumplió limpiamente la de 2023, y sus ingresos se reexpresaron [1, 61].</w:t>
      </w:r>
    </w:p>
    <w:p>
      <w:pPr>
        <w:pStyle w:val="ListParagraph"/>
        <w:numPr>
          <w:ilvl w:val="0"/>
          <w:numId w:val="2"/>
        </w:numPr>
        <w:spacing w:after="60"/>
      </w:pPr>
      <w:r>
        <w:rPr>
          <w:b/>
        </w:rPr>
        <w:t xml:space="preserve">Directivos vendedores</w:t>
      </w:r>
      <w:r>
        <w:t xml:space="preserve">: nueve vendieron 4,0 M USD en agosto y septiembre de 2026, sin compras [48].</w:t>
      </w:r>
    </w:p>
    <w:p>
      <w:pPr>
        <w:pStyle w:val="Heading2"/>
      </w:pPr>
      <w:r>
        <w:t xml:space="preserve">Qué tiene que pasar para que la tesis funcione</w:t>
      </w:r>
    </w:p>
    <w:p>
      <w:pPr>
        <w:spacing w:after="100"/>
      </w:pPr>
      <w:r>
        <w:t xml:space="preserve">La tesis depende de que el margen EBITDA ajustado se recupere desde el 15,9 % del 2T26 hacia el 17-18 % en 2027 sin otro tropiezo contable. La señal de que no se cumple sería un tercer trimestre (27-oct-2026) con el margen por debajo del 15 % o una contratación sobre honorarios directos por debajo de 1,1 veces; la de que sí, un 20-F de 2026 sin debilidades materiales.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volver a cerca del 20 %.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Contratación sobre honorarios directos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veces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1,1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la contratación con margen de los reembolsables.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interanual de ingresos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base exige +3,5 % en 2027.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Cancelaciones trimestrales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600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Indican la calidad de la cartera de 23.400 M.</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Debilidades materiales de control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Dos (20-F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Alguna en el 20-F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principal causa del descuento.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12,4x / 12,8x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253,1x / 14,3x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(2019-2025)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 · 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ICON nace en Dublín en junio de 1990, fundada por John Climax y Ronan Lambe, que la presidieron y dirigieron hasta 2002 [1, 36]. Salió a bolsa en el Nasdaq en 1998, con 49,1 M USD netos de la oferta, y en 2003 emitió 1,5 millones de acciones nuevas a 32,25 USD (44,3 M USD netos) [36]. Creció a base de crecimiento orgánico y compras pequeñas (887,6 M USD de ingresos netos en 2009 [35]) hasta que en julio de 2021 absorbió PRA Health Sciences y casi duplicó su tamaño: de 2.797 M USD de ingresos en 2020 a 7.741 M USD en 2022 [8]. Steve Cutler se retiró como consejero delegado el 1 de octubre de 2025 y le sucedió Barry Balfe, director de operaciones desde enero de 2025 y en la empresa desde 2003 [1]. En 2026 una investigación del comité de auditoría obligó a reexpresar los ingresos de 2023 y 2024 [1,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Climax y Ronan Lambe fundan ICON en Dublín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 49,1 M USD netos de la oferta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de 1,5 millones de acciones a 32,25 USD (44,3 M USD netos) y compra de Globomax en EE. UU.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crisis financiera apenas frena los ingresos: +2,6 % hasta 887,6 M USD, con margen operativo del 12,1 %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PRA Health Sciences (1 de julio), financiada con un préstamo de 5.515 M USD; ICON pasa a ser la mayor CRO pura del mundo según la propia empresa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BioTel Research (antigua Philips Pharma Solutions, imagen y seguridad cardiaca) y del 51 % restante de la red oncológica Oncacare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HumanFirst (tecnología) y de la CRO polaca KCR (servicio completo y FSP); emisión de 2.000 M USD en bonos garantizados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Steve Cutler se retira como consejero delegado el 1 de octubre y le sucede Barry Balfe; deterioro de fondo de comercio de 364 M USD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reexpresan los ingresos de 2023 y 2024 (sobrevalorados en 65,3 y 92,7 M USD); aviso de Nasdaq por el retraso del 20-F y venta de Symphony Health a HealthVerity a cambio de acciones [1, 16, 17].</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ICON es una organización de investigación por contrato (CRO) de servicio completo: diseña, gestiona y analiza ensayos clínicos de fase I a IV para farmacéuticas, biotecnológicas, fabricantes de productos sanitarios y organismos públicos de salud [1]. Su oferta abarca el desarrollo clínico completo, la provisión funcional de personal (FSP, en la que el cliente alquila equipos de monitores, gestores de datos o bioestadísticos), laboratorios centrales y bioanalíticos, imagen médica, gestión de datos y una red propia de centros de investigación (Accellacare, con 21 centros propios o integrados en EE. UU., Reino Unido y España) [1]. No hace investigación preclínica [1]. A 31 de diciembre de 2025 tenía unos 40.100 empleados en 97 sedes de 55 países; el 30,6 % de los ingresos se factura en EE. UU., el 57,9 % en Europa y el 11,5 % en el resto del mundo [1]. Vende con equipos comerciales por regiones y con directores de cuenta globales para los grandes clientes [1].</w:t>
      </w:r>
    </w:p>
    <w:p>
      <w:pPr>
        <w:pStyle w:val="Heading2"/>
      </w:pPr>
      <w:r>
        <w:t xml:space="preserve">Cómo gana dinero</w:t>
      </w:r>
    </w:p>
    <w:p>
      <w:pPr>
        <w:spacing w:after="100"/>
      </w:pPr>
      <w:r>
        <w:t xml:space="preserve">ICON cobra por proyecto: contratos plurianuales de precio fijo por hitos, unidades entregadas o cuotas mensuales, y contratos por tiempo y materiales en el FSP [1]. El ingreso se reconoce por coste incurrido e incluye gastos repercutidos (pagos a investigadores, viajes) que no llevan margen y lo diluyen cuando crecen [1, 7]. La visibilidad es alta: la cartera contratada era de 14.900 M USD a cierre de 2025 (1,8 veces los ingresos) y la empresa espera convertir en ingresos el 48 % en doce meses [1]. El margen depende de la utilización del personal facturable, porque casi todo el coste es plantilla: con ingresos estancados, el margen EBITDA ajustado cayó del 19,5 % del primer trimestre de 2025 al 15,6 % del primer trimestre de 2026 [5, 14]. Los contratos se pueden cancelar con 30-90 días de preaviso, aunque el cliente paga el trabajo hecho y los costes de cierre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Primer cliente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2 a 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6 a 10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11 a 25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Resto de clientes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Primer cliente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2 a 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6 a 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11 a 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Resto de clientes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cartera de clientes está concentrada pero sin dependencia extrema: los cinco primeros aportaron el 24,8 % de los ingresos en 2025 (25,2 % en 2024 y 26,7 % en 2023, reexpresados) y el mayor, una alianza estratégica con una gran farmacéutica, el 7,0 % (7,8 % en 2024 y 8,7 % en 2023) [1]. El negocio llega por concursos o por alianzas plurianuales en las que una gran farmacéutica concentra su gasto en pocas CRO [1]. El poder de precios es limitado: ICON no publica subidas de tarifas y su margen EBITDA ajustado bajó del 19,5 % al 15,9 % entre el primer trimestre de 2025 y el segundo de 2026 [7, 14]. Las cancelaciones son el riesgo comercial: 2.108 M USD en 2024 y 2.469 M USD solo en los nueve primeros meses de 2025, frente a 562 M USD en el segundo trimestre de 2026, ya con el criterio de cancelaciones y cartera revisado en 2025 [3, 7, 13, 15].</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(backlog)</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21.800 M USD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23.400 M USD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el método nuevo de cancelaciones, vigente desde el 1-oct-25, que restó 3.900 M a la cartera y la dejó en 21.100 M en esa fecha [3,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Ratio neto de contratación sobre facturación (book-to-bill)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(1S26); 1,51 en el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contratación bruta de 11.867 M y cancelaciones de 2.834 M. En el 2T26, 3.681 M brutos (+24,1 %) y 562 M cancelados; el ratio sobre honorarios directos, sin reembolsables, fue de 1,2 veces [3,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Cancelaciones trimestrales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M USD (4T25)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M USD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la política nueva cuentan también los estudios inactivos o en riesgo; en el 1T26 fueron 383 M [3, 5,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Obligaciones de servicio pendientes (contabilidad)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14.900 M USD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15.700 M USD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cifra auditada de ingresos contratados por reconocer; el 48 % se reconocerá en 12 meses. Es un 33 % inferior a la cartera publicada [1, 4,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40.100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40.200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99 centros de 55 países a junio de 2026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los cinco primeros clientes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veinticinco primeros pasan del 62,4 % al 64,0 %; el primero, del 7,8 % al 7,0 %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Días de cobro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días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días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días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Cifras reexpresadas; 46 días en 2023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Pagos devengados a investigadores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369,2 M USD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427,1 M USD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Único indicador publicado del volumen de gastos reembolsables, que crecen más que los ingresos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desarrollo clínico externalizado (fases I-IV, laboratorio central y FSP), mundial y sin el preclínico, donde ICON no trabaja [1]. IQVIA calcula que en 2025 el gasto biofarmacéutico en desarrollo fue de unos 199.000 M USD, de los que 159.000 M USD eran gasto clínico y unos 75.000 M USD se externalizaron [18]. Fortrea, con datos de Evaluate Pharma y Citeline, prevé un gasto clínico de fases I-IV de unos 145.000 M USD en 2026 [25]. Usamos IQVIA, que publica serie; como en 2024 amplió el perímetro (el gasto clínico accesible saltó de 99.000 a 155.000 M USD) [21, 22], la serie es el gasto total en desarrollo. El crecimiento previsto es el del I+D de las grandes farmacéuticas en 2025-2030 (4-5 % anual)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75.000 M USD de desarrollo clínico externalizado en 2025, sobre 159.000 M USD de gasto clínico y 199.000 M USD de gasto total en desarrollo [18]; Fortrea estima 145.000 M USD de gasto clínico en 2026 [25]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de gasto biofarmacéutico mundial en desarrollo de fármacos (estimación de IQVI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I+D de la industria biofarmacéutica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gasto en desarrollo pasó de unos 130.000 M USD en 2020 a 199.000 M USD en 2025 según IQVIA, un 8,9 % anual [18, 19]; el de las grandes farmacéuticas crecerá un 4-5 % anual en 2025-2030 según Fortrea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externalización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parte externalizada del gasto clínico accesible fue del 48 % en 2020 y 2021, del 51 % en 2022 y 2023 y del 47 % en 2025 con el perímetro nuevo (75.000 de 159.000 M USD) [18, 19, 20, 21, 23]: no sube desde hace cinco años.</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de las biotecnológicas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financiación de biotecnológicas de EE. UU. y Europa cayó de 121.074 M USD en 2021 a 55.274 M USD en 2022 y se quedó en 68.450 M USD en 2025; las salidas a bolsa, de 22.689 M USD en 2021 a 2.240 M USD en 2025, y el capital riesgo bajó un 17 % en 2025, hasta 20.640 M USD; el 33 % de las biotecnológicas emergentes tenía menos de un año de caja a cierre de 2025 [39].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Política de precios de medicamentos en EE. UU. (nación más favorecida, IRA, aranceles)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administración estadounidense firmó 17 acuerdos de precio de nación más favorecida con grandes farmacéuticas a cambio de aplazar los aranceles de la sección 232, y la industria comprometió unos 370.000 M USD de inversión en EE. UU.; la negociación de precios de la IRA sigue en marcha [39]. Presiona los márgenes de los clientes y su presupuesto de I+D.</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Cancelaciones y reprioritización de carteras de las grandes farmacéuticas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ICON sufrió cancelaciones de 2.108 M USD en 2024 y de 2.469 M USD en los nueve primeros meses de 2025, frente a 562 M USD en el segundo trimestre de 2026 [7, 13, 15]; IQVIA perdió en el tercer trimestre de 2024 un programa grande por futilidad que le restó 0,16 puntos de book-to-bill [37].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China como polo de innovación y la Ley Biosecure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Ley Biosecure, firmada el 18 de diciembre de 2025, limita el acceso a fondos estadounidenses de biotecnológicas y fabricantes chinos señalados por el Pentágono; a la vez, China se ha convertido por primera vez en alternativa real a los polos de EE. UU. y Europa para licenciar moléculas [39].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Pocas CRO globales compiten por los mismos concursos y por precio cuando la demanda flojea: en 2025 el margen operativo fue del 21,1 % en Medpace, del 13,4 % en IQVIA, del 5,4 % en ICON (11,0 % sin deterioros) y negativo en Fortrea [1, 18, 24, 25].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grandes farmacéuticas concentran el gasto en dos o tres socios y pueden cancelar con 30-90 días de preaviso; los cinco primeros clientes de ICON son el 24,8 % de sus ingresos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insumo clave es el personal cualificado (40.100 empleados en ICON) y el acceso a centros e investigadores; por eso ICON integra centros propios (21 en Accellacare)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Entrar como CRO de nicho es fácil, pero llegar a escala global exige infraestructura, reclutamiento de pacientes en muchos países y sistemas complejos; el sector se ha consolidado en un grupo reducido de CRO globales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sustituto es hacer los ensayos en casa; la externalización se mantiene en torno a la mitad del gasto clínico accesible desde 2020 [18, 19], y el giro hacia el modelo funcional (FSP) cambia la forma de contratar más que el volumen externalizado [25].</w:t>
            </w:r>
          </w:p>
        </w:tc>
      </w:tr>
    </w:tbl>
    <w:p>
      <w:pPr>
        <w:spacing w:after="160" w:before="0"/>
      </w:pPr>
    </w:p>
    <w:p>
      <w:pPr>
        <w:pStyle w:val="Heading2"/>
      </w:pPr>
      <w:r>
        <w:t xml:space="preserve">Ciclo</w:t>
      </w:r>
    </w:p>
    <w:p>
      <w:pPr>
        <w:spacing w:after="100"/>
      </w:pPr>
      <w:r>
        <w:t xml:space="preserve">El book-to-bill tocó fondo en 2025 (ICON 1,01, IQVIA 1,02 y Medpace 0,90 en el primer trimestre; Fortrea 0,79 en el segundo) y en el segundo trimestre de 2026 fue de 1,51, 1,22, 1,13 y 1,06 [7, 14, 29, 30, 31, 32, 33, 34]; ICON cambió su criterio de cancelaciones en octubre de 2025 [5]. El sector es poco cíclico: los ingresos de ICON crecieron un 2,6 % en 2009 y cayeron solo un 0,3 % en 2020 [10, 35]. El bache de 2022-2025 fue más largo: con la financiación biotecnológica a la mitad, ICON creció un 2,4 % en dos años [1, 39].</w:t>
      </w:r>
    </w:p>
    <w:p>
      <w:pPr>
        <w:pStyle w:val="Heading2"/>
      </w:pPr>
      <w:r>
        <w:t xml:space="preserve">Regulación</w:t>
      </w:r>
    </w:p>
    <w:p>
      <w:pPr>
        <w:spacing w:after="100"/>
      </w:pPr>
      <w:r>
        <w:t xml:space="preserve">Los ensayos se rigen por las buenas prácticas clínicas y de laboratorio y requieren autorización previa (IND ante la FDA y equivalentes en otros países); el reglamento europeo de productos sanitarios de 2017 endureció la evaluación clínica y la vigilancia poscomercialización, lo que amplía el mercado de dispositivos [1]. En EE. UU. pesan sobre los clientes la negociación de precios de la IRA, los acuerdos de nación más favorecida de 2025 y los aranceles farmacéuticos de la sección 232; la Ley Biosecure (18 de diciembre de 2025) restringe a proveedores chinos señalados [39]. En información, ICON se prepara para la directiva europea de sostenibilidad (CSRD) [1].</w:t>
      </w:r>
    </w:p>
    <w:p>
      <w:pPr>
        <w:pStyle w:val="Heading2"/>
      </w:pPr>
      <w:r>
        <w:t xml:space="preserve">Tendencias y disrupción</w:t>
      </w:r>
    </w:p>
    <w:p>
      <w:pPr>
        <w:spacing w:after="100"/>
      </w:pPr>
      <w:r>
        <w:t xml:space="preserve">Tres cambios mueven el sector. Primero, los ensayos híbridos y descentralizados, con visitas en casa y datos de dispositivos móviles: ICON tiene experiencia en más de 500 ensayos con visitas domiciliarias [1]. Segundo, la inteligencia artificial y los datos aplicados a la selección de centros y pacientes, donde IQVIA parte con ventaja por sus bases de datos sanitarios [1, 18]. Tercero, el paso de parte del gasto de las grandes farmacéuticas del servicio completo al modelo funcional (FSP), que da menos margen por unidad y que ICON ofrece y reforzó con la compra de KCR en 2024 [1, 25]. A más largo plazo, China gana peso como origen de moléculas, lo que puede desviar ensayos fuera del perímetro de las CRO occidentales [39].</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Una de las tres mayores CRO clínicas del mundo, con cerca del 11 % del desarrollo clínico externalizado, junto a IQVIA (12 %) y PPD de Thermo Fisher (11 %) (estimación propia: ingresos de 2025 sobre los 75.000 M USD de IQVIA [1, 18, 27]); la mayor CRO pura según la propia empresa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IQVIA (Research &amp; Development Solutions)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IQV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del grupo; la división de ensayos facturó 8.896 M USD con un beneficio de segmento de 1.873 M USD y cartera de 32.700 M USD [18]. Compite con datos sanitarios y tecnología propios.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Thermo Fisher (PPD, investigación clínica)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TMO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investigación clínica; el margen es el del segmento que la incluye (laboratorio y servicios biofarmacéuticos) [27]. Vende el ensayo junto a fabricación y logística de material clínico.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Syneos Health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Cifras de 2022, las últimas que presentó en la SEC; hoy no publica cuentas [28]. Combina CRO y servicios comerciales.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Fortrea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FTRE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Escindida de Labcorp en 2023 [25]; el margen incluye un deterioro de fondo de comercio de 798 M USD (sin él, −2,7 %) [25]. Compite en precio y en FSP.</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Medpace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servicio completo para biotecnológicas pequeñas y medianas, con modelo disciplinado; sus ingresos crecieron un 34 % entre 2023 y 2025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River Laboratories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del preclínico, un mercado donde ICON no está; el margen recoge deterioros en sus negocios de productos biológicos y terapia celular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Parexel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Privada y sin cuentas públicas; ICON la cita entre sus rivales directos en los grandes programas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redes de centros (21 propios en Accellacare, programa Elite Sites) y las herramientas de selección de centros mejoran con el uso, pero no crean un efecto de red entre clientes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ensayo en marcha casi nunca cambia de CRO y las alianzas estratégicas duran años: la cartera es de 14.900 M USD, 1,8 veces los ingresos [1]. Pero el cliente puede cancelar con 30-90 días y en los nueve primeros meses de 2025 se cancelaron 2.469 M USD [1,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patentes ni licencias que protejan el servicio; la reputación de calidad cuenta, y la reexpresión de 2026 la ha dañado [1,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 con centros de servicios globales, pero su margen operativo sin deterioros (11,0 % en 2025) queda por debajo del de Medpace (21,1 %) e IQVIA (13,4 %) [1, 15, 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Pocas CRO pueden llevar ensayos de fase III en decenas de países; ICON tiene 40.100 empleados en 55 países y cerca del 11 % del mercado externalizado (estimación propia) [1, 9].</w:t>
            </w:r>
          </w:p>
        </w:tc>
      </w:tr>
    </w:tbl>
    <w:p>
      <w:pPr>
        <w:spacing w:after="160" w:before="0"/>
      </w:pPr>
    </w:p>
    <w:p>
      <w:pPr>
        <w:pStyle w:val="Heading2"/>
      </w:pPr>
      <w:r>
        <w:t xml:space="preserve">Amenazas</w:t>
      </w:r>
    </w:p>
    <w:p>
      <w:pPr>
        <w:spacing w:after="100"/>
      </w:pPr>
      <w:r>
        <w:t xml:space="preserve">La amenaza principal es perder cuota frente a rivales más rentables: entre 2023 y 2025 Medpace creció un 34 %, la división de ensayos de IQVIA un 6 % e ICON un 2,4 % [1, 18, 24]. Probabilidad alta de que continúe si el mercado lo lideran las biotecnológicas, el cliente natural de Medpace. Segunda amenaza: el paso de las grandes farmacéuticas al modelo funcional (FSP), que abarata el servicio [25]. Tercera: la reputación tras la reexpresión de ingresos y la demanda colectiva, que pesa en los concursos, aunque el book-to-bill de 1,51 del segundo trimestre de 2026 indica que, por ahora, los clientes no se han ido [1, 7].</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9 %</w:t>
            </w:r>
          </w:p>
        </w:tc>
      </w:tr>
    </w:tbl>
    <w:p>
      <w:pPr>
        <w:spacing w:after="160" w:before="0"/>
      </w:pPr>
    </w:p>
    <w:p>
      <w:pPr>
        <w:spacing w:after="100"/>
      </w:pPr>
      <w:r>
        <w:t xml:space="preserve">Crecimiento anual compuesto 2019-2025: ingresos </w:t>
      </w:r>
      <w:r>
        <w:rPr>
          <w:b/>
          <w:bCs/>
        </w:rPr>
        <w:t xml:space="preserve">19,7 %</w:t>
      </w:r>
      <w:r>
        <w:t xml:space="preserve">, EBITDA </w:t>
      </w:r>
      <w:r>
        <w:rPr>
          <w:b/>
          <w:bCs/>
        </w:rPr>
        <w:t xml:space="preserve">17,4 %</w:t>
      </w:r>
      <w:r>
        <w:t xml:space="preserve">, BPA </w:t>
      </w:r>
      <w:r>
        <w:rPr>
          <w:b/>
          <w:bCs/>
        </w:rPr>
        <w:t xml:space="preserve">-13,2 %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cifras de 2023 y 2024 son las </w:t>
      </w:r>
      <w:r>
        <w:rPr>
          <w:b/>
        </w:rPr>
        <w:t xml:space="preserve">reexpresadas</w:t>
      </w:r>
      <w:r>
        <w:t xml:space="preserve"> del 20-F de 2025 [1]; 2019-2022 son las publicadas en su día, que no se reexpresaron (solo se ajustaron 28,8 M de reservas al 1-ene-23) [1, 8, 9, 10]. El salto de 2.797 M en 2020 a 7.741 M en 2022 es la compra de PRA (julio de 2021); desde entonces ICON no crece: 8.055 M en 2023, 8.189 M en 2024, 8.251 M en 2025 (+0,8 %, +0,1 % a tipo constante) [3] y 8.294 M en los doce meses a junio de 2026. El EBITDA ajustado de la compañía bajó de 1.670 M (20,4 %) en 2024 a 1.531 M (18,6 %) en 2025 y al 15,7 % en el primer semestre de 2026 [3, 7]: más costes reembolsables sin margen, más personal por cliente y menos ensayos de biotecnológicas. El EBITDA contable de 2025 (826 M) lleva dentro 465 M de deterioros de Data Solutions y 6,5 M de la investigación, que el informe trata como no recurrentes. La amortización de intangibles de PRA cae de 460 M en 2023 a 227 M en 2025 [1], lo que maquilla el EBIT. El beneficio por acción diluido fue de 2,90 USD en 2025 frente a 8,90 en 2024, y de 0,65 USD en los doce meses a junio de 2026.</w:t>
      </w:r>
    </w:p>
    <w:p>
      <w:pPr>
        <w:pStyle w:val="Heading2"/>
      </w:pPr>
      <w:r>
        <w:t xml:space="preserve">Ajustes y partidas no recurrentes</w:t>
      </w:r>
    </w:p>
    <w:p>
      <w:pPr>
        <w:spacing w:after="100"/>
      </w:pPr>
      <w:r>
        <w:t xml:space="preserve">ICON publica un EBITDA ajustado (1.531 M en 2025) que suma al contable las remuneraciones en acciones (104,5 M), las pérdidas de cambio (39,3 M), la reestructuración (79,1 M), los costes de transacción, integración y otros (31,8 M, con 6,5 M de la investigación), los deterioros (465,3 M) y resta 15,1 M de revalorización de participaciones [3]. Su BPA ajustado (12,53 USD en 2025, 13,37 en 2024) además excluye la amortización de intangibles (227 M) [3]. Aquí se tratan como </w:t>
      </w:r>
      <w:r>
        <w:rPr>
          <w:b/>
        </w:rPr>
        <w:t xml:space="preserve">no recurrentes</w:t>
      </w:r>
      <w:r>
        <w:t xml:space="preserve"> solo los deterioros de 2025, la pérdida por la venta de Symphony (32,9 M en el 2T26) y los costes de la investigación (6,5 M en el 4T25 y unos 50 M en el primer semestre de 2026, estimados como la diferencia entre la partida de otros de la conciliación y la línea de transacción de la cuenta) [3, 7]. La reestructuración (18-92 M todos los años desde 2020) y los costes de transacción (25-44 M al año desde 2022) se repiten y se dejan en el EBITDA. La reexpresión restó 65,3 M de ventas y 58,1 M de beneficio en 2023 (-9,5 %) y 92,7 M y 52,3 M en 2024 (-6,6 %), y sumó 77,3 M de ventas a los nueve meses de 2025 [1, 2]. Los trimestres usan el EBITDA ajustado de la compañía.</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No se han podido leer las transcripciones de las conferencias del 28 de mayo y del 30 de julio de 2026; este resumen sale de los comunicados de resultados, que recogen el mensaje de la dirección. En mayo, con el 4T25, el nuevo consejero delegado, Barry Balfe, cerró la investigación contable, presentó la reexpresión y el cambio de método de cancelaciones (3.900 M menos de cartera) y dio una guía para 2026 de 7.850-8.150 M de ingresos y 10-11 USD de BPA ajustado, por debajo de los 12,53 de 2025; su mensaje fue que 2026 reflejará los problemas de 2025 y que el crecimiento sostenible llegará en 2027 [3]. En junio, con el 1T26, el tono fue de impulso comercial: ratio neto de 1,42, dos alianzas nuevas y tasas de éxito mejores, pero un margen ajustado del 15,6 % por la mezcla de negocio [5]. En julio el discurso cambió de matiz: el ratio de 1,51 se apoyó en actividad de terceros sin margen, la dirección dio por primera vez el ratio sobre honorarios directos (1,2 veces) y advirtió de que el segundo semestre depende de esos reembolsables, aunque mantuvo la guía y volvió a hablar de devolver caja al accionista [7]. Lo que ningún comunicado cuantifica es cuánto pesan los reembolsables en los ingresos ni cuándo se remediarán las debilidades de control.</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9"/>
        <w:gridCol w:w="1064"/>
        <w:gridCol w:w="1171"/>
        <w:gridCol w:w="958"/>
        <w:gridCol w:w="851"/>
        <w:gridCol w:w="958"/>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17.387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16.865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16.270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PRA Health Sciences, consolidada desde el 1-jul-21: entra en balance entera y en la cuenta solo seis meses.).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pasó de 5.436 M tras la compra de PRA a 3.402 M en 2025: ICON amortizó 950 M en 2023 y 2.305 M en 2024 (en parte con 2.000 M de bonos nuevos) [1]. En 2025 la caja libre se fue a recompras y la deuda neta quedó en 2.769 M, unas 1,8 veces el EBITDA ajustado [3]; a junio de 2026, 2.473 M [6]. En agosto de 2026 ICON colocó 2.150 M en bonos no garantizados al 5,064 % (2029), 5,421 % (2031) y 5,995 % (2036) para pagar el préstamo puente que había refinanciado los bonos de 2026, los préstamos a plazo y los bonos al 5,809 % de 2027 [11, 12]. La deuda bruta queda en unos 3.400 M con un cupón medio del 5,7 % y una vida media de unos 5,4 años (cálculo propio con los vencimientos de cada bono). Los cobros anticipados de clientes (1.550 M) superan la facturación pendiente (1.097 M), así que el circulante operativo es pequeño frente a las ventas: unos 1.330 M con clientes y proveedores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2019-2025: FCF </w:t>
      </w:r>
      <w:r>
        <w:rPr>
          <w:b/>
          <w:bCs/>
        </w:rPr>
        <w:t xml:space="preserve">5.058</w:t>
      </w:r>
      <w:r>
        <w:t xml:space="preserve">, conversión </w:t>
      </w:r>
      <w:r>
        <w:rPr>
          <w:b/>
          <w:bCs/>
        </w:rPr>
        <w:t xml:space="preserve">175 %</w:t>
      </w:r>
      <w:r>
        <w:t xml:space="preserve"> del beneficio neto; adquisiciones 6.296, dividendos 0, recompras 1.673.</w:t>
      </w:r>
    </w:p>
    <w:p>
      <w:pPr>
        <w:spacing w:after="100"/>
      </w:pPr>
      <w:r>
        <w:t xml:space="preserve">La caja de ICON es mejor que su beneficio contable: el flujo operativo superó los 1.000 M en 2023, 2024 y 2025 (1.036 M) con un beneficio neto de 229 M en 2025, porque la amortización de intangibles de PRA y los deterioros no son caja [1]. La caja libre (operativo menos inversión) fue de 862 M en 2025, 1.119 M en 2024 y 1.020 M en 2023, frente a 421 M en 2022, cuando el circulante de PRA absorbió 560 M [8]. La reexpresión no cambió la caja de ningún año [1]. En el primer semestre de 2026 el flujo operativo fue de 448 M y la inversión de 73 M [6]. La inversión ronda el 2 % de las ventas (174 M en 2025), sobre todo informática e instalaciones; ICON no separa mantenimiento y crecimiento, y por estimación propia casi toda es de mantenimiento, porque la plantilla y las oficinas apenas crecen. En 2024 y 2025 ICON dedicó 1.250 M a recompras, más que la deuda que amortizó en 2025 (30 M).</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(Dublín) desde 2025; KPMG lo fue de 1990 a 2025 y auditó los ejercicios 2023 y 2024 reexpresados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sobre las cuentas de 2025; adversa sobre el control interno a 31-dic-2025 por debilidades materiales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El 27-abr-26 el comité de auditoría concluyó que las cuentas de 2023, 2024 y los trimestres hasta el 3T25 no eran fiables [1]. La investigación halló ajustes manuales impropios para reconocer ingresos de ensayos clínicos fuera del sistema entre el 3T23 y el 4T24, errores en el coste previsto hasta terminar los contratos y en compensaciones de saldos [3]. El efecto fue adelantar ingresos: 47 M y 78 M menos en el 1T24 y el 2T24, y 77 M más en los nueve meses de 2025 [2]. Los importes son pequeños frente a las ventas (0,8-1,1 %), pero no frente al beneficio (6,6-9,5 %), y el auditor externo considera adversa la eficacia del control interno: tono de la dirección insuficiente, falta de personal experto en US GAAP, revisión deficiente de estimaciones y ajustes manuales sin segregación de funciones [1]. El cambio de auditor (KPMG dimitió en abril de 2025, tras un concurso de 2023) coincide con el periodo de los errores. A esto se suman el cambio de método de la cartera, que la redujo un 16 %, y la diferencia entre la cartera publicada (21.800 M) y las obligaciones pendientes auditadas (14.900 M) [1, 3]. Los pagos en acciones subieron de 46 M a 102 M en 2025. Los indicadores Altman, Piotroski y Beneish que calcula el informe deben leerse con cautela: 2025 lleva 465 M de deterioros y 2021 la compra de PRA.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Reexpresión de las cuentas de 2023 y 2024 y de los trimestres hasta el 3T25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-65,3 M (-0,8 %) y -92,7 M (-1,1 %); beneficio neto -58,1 M (-9,5 %) y -52,3 M (-6,6 %); facturación pendiente -98 M y -246 M; los nueve meses de 2025, +77,3 M de ventas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Debilidades materiales y opinión adversa sobre el control interno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a nivel de entidad (tono de la dirección, personal) y control de ingresos por grado de avance; el plan de remediación no ha terminado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Presentación tardía del 20-F y dispensa de los bancos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NT 20-F en mayo, 20-F el 27-may-26 e incumplimiento técnico dispensado el 22-may-26; ICON no puede usar el formulario F-3 de registro abreviado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método de cancelaciones y cartera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el 1-oct-25 cuentan como canceladas las adjudicaciones inactivas o en riesgo: la cartera bajó 3.900 M, de 25.000 M a 21.100 M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publicada muy superior a la contable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21.800 M de cartera frente a 14.900 M de obligaciones pendientes auditadas a dic-25 [1,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 y venta de Data Solutions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364,2 M de fondo de comercio y 101,0 M de activos en el 3T25; venta de Symphony Health por acciones de HealthVerity, registradas a valor cero, con 32,9 M de pérdida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auditor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Ernst &amp; Young sustituye a KPMG (35 años) desde 2025; sin desacuerdos declarados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colectiva de accionistas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Presentada en febrero de 2025 y consolidada; la empresa no puede estimar la pérdida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bajo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3,2 % en 2023 y 9,2 % en 2025 por impuestos diferidos y el peso de Irlanda en el beneficio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Pagos en acciones al alza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102,0 M en 2025 frente a 45,9 M en 2024, el 1,2 % de las ventas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4,2 % · </w:t>
      </w:r>
      <w:r>
        <w:rPr>
          <w:b/>
          <w:bCs/>
        </w:rPr>
        <w:t xml:space="preserve">WACC</w:t>
      </w:r>
      <w:r>
        <w:t xml:space="preserve">: 10,1 %.</w:t>
      </w:r>
    </w:p>
    <w:p>
      <w:pPr>
        <w:spacing w:after="100"/>
      </w:pPr>
      <w:r>
        <w:rPr>
          <w:b/>
        </w:rPr>
        <w:t xml:space="preserve">ICON destruye valor desde que compró PRA.</w:t>
      </w:r>
      <w:r>
        <w:t xml:space="preserve"> Antes de la compra su ROIC era del 25,7 % (2019) y del 24,1 % (2020), más del doble del WACC del 10,1 %. PRA multiplicó el capital invertido por casi nueve, de 1.423 M a 12.807 M en 2022, sobre todo con fondo de comercio e intangibles [9], y el ROIC cayó al 4,2 % en 2021 y se ha quedado entre el 5,6 % y el 7,6 % desde entonces (6,8 % en 2025). La caída es de rotación, no de margen: el capital rota 0,50 veces frente a 0,97 en 2019. El ROIC incremental de 2019-2025 es del 4,2 %: cada dólar invertido desde 2019 rinde menos que su coste. Los comparables tampoco llegan al WACC con el fondo de comercio dentro (IQVIA 9,8 %, Labcorp 8,7 %, Charles River 8,6 %) [83], pero ICON está por debajo de todos. Con el capital de PRA ya pagado, lo que decide el valor es el margen sobre las ventas actuales: cada punto de margen EBITDA vale unos 13 USD por acción.</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2.473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928,4 M a 30-jun-26 y una línea de crédito revolving de 500 M sin disponer que vence en julio de 2028 [1, 6]. Tras la refinanciación de agosto de 2026 no hay vencimientos hasta mayo de 2029.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BBB- (grado de inversión desde el 4T23, confirmado en el 4T24). Moody's: Baa3, perspectiva rebajada de positiva a estable el 19-feb-26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Hasta agosto de 2026 toda la deuda estaba garantizada con casi todos los activos del grupo; al amortizar el préstamo puente y los préstamos a plazo, esas garantías se liberaron y los bonos pasaron a ser no garantizados [11]. Los contratos tienen obligaciones de no hacer habituales (endeudamiento, cargas, dividendos, ventas de activos) [1]. El retraso del 20-F causó un incumplimiento técnico con los bancos, dispensado el 22-may-26 [1]. Hay una demanda colectiva de accionistas por declaraciones engañosas (In re ICON plc Securities Litigation, Nueva York) que la empresa no puede cuantificar, y ICON se autodenunció ante la SEC [1]. Otros compromisos: 137,1 M de aportaciones pendientes a fondos de inversión, 427,1 M devengados a investigadores dentro de otros pasivos, 103,3 M de impuestos a largo plazo y arrendamientos operativos con 117,1 M de pasivo a largo plazo, que no se suman a la deuda porque su gasto ya está en el EBITDA [1].</w:t>
      </w:r>
    </w:p>
    <w:p>
      <w:pPr>
        <w:pStyle w:val="Heading1"/>
      </w:pPr>
      <w:r>
        <w:t xml:space="preserve">12. Asignación de capital</w:t>
      </w:r>
    </w:p>
    <w:p>
      <w:pPr>
        <w:pStyle w:val="Confianza"/>
        <w:spacing w:after="100"/>
      </w:pPr>
      <w:r>
        <w:t xml:space="preserve">Confianza: Alta</w:t>
      </w:r>
    </w:p>
    <w:p>
      <w:pPr>
        <w:spacing w:after="100"/>
      </w:pPr>
      <w:r>
        <w:t xml:space="preserve">ICON no paga dividendo y devuelve caja con recompras por amortización de acciones [1]. Recompró 2,18 M de acciones por 500 M en 2024 (229 USD de media) y 4,50 M por 750 M en 2025 (167 USD); al cierre de 2025 le quedaban 750 M autorizados [1]. En el primer semestre de 2026 no recompró: la investigación y el 20-F tardío la dejaron sin poder hacerlo [6]. En julio de 2026 la dirección citó como prioridades invertir en oportunidades de crecimiento y devolver capital al accionista [7]. La refinanciación de agosto, con bonos no garantizados y sin vencimientos hasta 2029, libera las garantías y la flexibilidad para retomar recompras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Symphony Clinical Research y otras compras menores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Integradas en la red de centros de ensayo; sin deterioro declarado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MedPass International (CRO europea de tecnología médica)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pago contingente; sin deterioro declarado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PRA Health Sciences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5.309 M en efectivo, 5.658 M en 27,4 M de acciones nuevas, 209 M en planes sustitutivos y 866 M de deuda de PRA; préstamo de 5.515 M y bonos de 500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Duplicó el tamaño (de 2.797 M a 7.741 M de ventas) y dejó 8.120 M de fondo de comercio; la deuda se redujo a 3.400 M. Pero las ventas no crecen desde 2023 y la unidad de datos de PRA (Symphony Health) se deterioró en 465 M en 2025 y se vendió en 2026 con pérdida [1, 7,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BioTel Research (antigua Philips Pharma Solutions) y el 51 % restante de Oncacare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Oncacare generó una plusvalía contable de 6,2 M; sin deterioro declarado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KCR (CRO de Europa central y oriental)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45,1 M de intangibles reconocidos; sin deterioro declarado [1].</w:t>
            </w:r>
          </w:p>
        </w:tc>
      </w:tr>
    </w:tbl>
    <w:p>
      <w:pPr>
        <w:spacing w:after="160" w:before="0"/>
      </w:pPr>
    </w:p>
    <w:p>
      <w:pPr>
        <w:spacing w:after="100"/>
      </w:pPr>
      <w:r>
        <w:t xml:space="preserve">La gran decisión de capital de la década fue PRA: 12.042 M, la mitad en acciones emitidas a precios altos, que ampliaron el capital de 52,8 M a 81,6 M de acciones [9]. El desapalancamiento posterior fue rápido (de 5.436 M de deuda a 3.426 M en 2024), pero la compra no ha traído crecimiento: los ingresos de 2025 son solo un 6,6 % superiores a los de 2022 y el negocio de datos de PRA se ha deteriorado y vendido. Entre 2024 y 2025 ICON gastó 1.250 M en recompras a 167-229 USD por acción en los mismos años cuyas cuentas se reexpresaron después; el número de acciones bajó de 82,5 M a 76,6 M. Las compras pequeñas (MedPass, BioTel, KCR) son menores de 135 M cada una y no han tenido deterioros declarados. El rendimiento sobre el capital lo calcula el informe; con 12.000 M de fondo de comercio e intangibles en el balance será bajo.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Barry Balfe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20 años en ICON: entró en desarrollo de negocio en 2003, dirigió el negocio de servicios funcionales (FSP) en EE. UU. desde 2007 y después en Europa, fue presidente de Pharma Development Solutions y director de operaciones desde enero de 2025; consejero desde el 3 de septiembre de 2025 y consejero delegado desde el 1 de octubre de 2025 [1, 40]. El día del relevo la empresa confirmó la guía de 2025 [41], que retiró en febrero de 2026; su primer año ha coincidido con la investigación y la reexpresión [42, 43]; los PSU de 2023-2025 que tenía como directivo no se consolidaron por no alcanzar el BPA objetivo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Nigel Clerkin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octubre de 2024. Antes, director financiero de Elan (2011-2014), ConvaTec, UDG Healthcare (desde 2018) y LetsGetChecked; empezó en KPMG Dublín [1]. Llegó cuando ya se estaban produciendo los ajustes indebidos de ingresos (del tercer trimestre de 2023 al cuarto de 2024) y ha firmado el 20-F con debilidades materiales y la reexpresión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Ciaran Murray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 ICON de 2005 a 2011, consejero delegado de 2011 a 2017, presidente ejecutivo de 2017 a mayo de 2018 y presidente no ejecutivo desde entonces; consejero desde septiembre de 2011 [1]. Fue presidente de ACRO, la patronal mundial de las CRO [1]. Preside el consejo durante todo el periodo de los ajustes de ingresos investigados.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John Climax</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 y presidente emérito (cofundador)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consejero delegado de 1990 a 2002 y presidente de 2002 a 2009 [1]. Es el mayor accionista del consejo con 287.657 acciones (0,37 %) [1, 44]. Preside DS Biopharma y es consejero delegado de Afimmune, que ha sido cliente de ICON (operación vinculada de importe menor)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Dr. Steve Cutler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saliente (2017-2025)</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Entró en 2011 como presidente de Clinical Research Services, director de operaciones desde 2014 y consejero delegado de marzo de 2017 a octubre de 2025; dirigió la compra de PRA Health Sciences en 2021 [1]. Anunció su jubilación el 4 de septiembre de 2025, siguió como consejero no ejecutivo y dimitió del consejo el 21 de mayo de 2026, seis días antes de que se publicara el 20-F con la reexpresión [1, 40]. Está demandado en la acción colectiva de valores [1]. El 2 de octubre de 2025, al día siguiente de dejar el cargo, avisó la venta de 18.901 acciones por 3,59 M USD procedentes de RSU consolidadas (Form 144, aviso y no venta confirmada) [71].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2.972-3.092 M USD y BPA ajustado de 7,55-7,85 USD (enero de 2020, reafirmada en febrero) [65]; retirada el 22 de abril de 2020 por la COVID-19 [66].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2.797,3 M USD, un 0,3 % menos que en 2019 [10].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la compra de PRA (julio de 2021), ingresos de 5.430-5.530 M USD y BPA ajustado de 9,55-9,75 USD, reafirmada en enero de 2022 [62].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5.480,8 M USD y BPA ajustado de 9,65 USD [64].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(enero de 2022): ingresos de 7.770-8.050 M USD y BPA ajustado de 11,55-11,95 USD [62]; en enero de 2023, ingresos de 7.690-7.810 M y BPA de 11,65-11,85 [60].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7.741,4 M USD (por debajo del rango inicial) y BPA ajustado de 11,75 USD (dentro) [63].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7.940-8.340 M USD y BPA ajustado de 12,40-13,05 USD (enero de 2023) [60].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Publicado en 2024: ingresos de 8.120,2 M USD y BPA ajustado de 12,79 USD [61]. Reexpresado en 2026: ingresos de 8.054,9 M USD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(enero de 2024): ingresos de 8.400-8.800 M USD y BPA ajustado de 14,50-15,30 USD [58]; rebajada en octubre de 2024 a 8.260-8.300 M y 13,90-14,10 USD [59].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Publicado en 2025: ingresos de 8.281,7 M USD y BPA ajustado de 14,00 USD [15]. Reexpresado en 2026: ingresos de 8.189,0 M USD, por debajo incluso de la guía rebajada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(enero de 2025): ingresos de 8.050-8.650 M USD y BPA ajustado de 13,00-15,00 USD [56]; abril: 7.750-8.150 M y 12,75-14,25 USD [14]; julio: 7.850-8.150 M y 13,00-14,00 USD [57]; octubre: 8.050-8.100 M y 13,00-13,20 USD [13]; retirada el 12 de febrero de 2026 por la investigación [42].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8.251,3 M USD y BPA ajustado de 12,53 USD, por debajo del suelo de la última guía de BPA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7.850-8.150 M USD y BPA ajustado de 10,00-11,00 USD, dada el 27 de mayo de 2026 [3] y reafirmada en junio y en julio [5, 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BPA ajustado de 5,06 USD en el primer semestre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La credibilidad de la guía es baja: de 2022 a 2025 solo se cumplió limpiamente la de 2023, cuyos ingresos se han reexpresado; la de 2024 se rebajó y la de 2025 se movió tres veces y acabó retirada [13, 14, 42, 57, 59]. La de 2026 parte de un BPA ajustado de 10-11 USD, un 12-20 % por debajo de los 12,53 USD de 2025 [3]. El equipo es casi nuevo: el director financiero llegó en octubre de 2024 y el consejero delegado, con 20 años en ICON, en octubre de 2025, tras una sucesión que el presidente presentó como planificada [1, 40]. Ambos están demandados en la acción colectiva [6]. La continuidad del presidente, Ciaran Murray, exdirector financiero y ex consejero delegado, deja en el mismo puesto a quien presidía el consejo mientras se hacían los ajustes de ingresos [1].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Ciaran Murray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 (preside el consejo)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Barry Balfe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Rónán Murphy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Retribuciones, 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John Climax</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presidente emérito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Eugene McCague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Sostenibilidad y Gobierno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Julie O'Neill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Linda Grais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(presidenta), Nombramientos, Sostenibilidad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Anne Whitaker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Sostenibilidad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Kevin Egan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Jeff Elliott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Ciaran Murray, Dr. John Climax</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a la reelección de presidente o primer ejecutivo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96,8 % a favor (no se vota la remuneración)</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sobre las cuentas de 2025; adversa sobre el control interno a 31-dic-2025 por debilidades materiales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4,66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Artisan Partners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8.361.303 acciones al 27-feb-2026, según su 13G/A número 2 [49]; es el mayor accionista.</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Wellington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del 6,0 % (4.637.137 acciones, 30-sep-2025) al 7,7 % (5.913.037, 31-mar-2026) [50,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del 5,45 % (31-mar-2026) al 6,9 % (5.271.321 acciones, 30-jun-2026) [1, 52].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Invesco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del 5,06 % (31-mar-2026) al 6,9 % (5.264.236 acciones, 30-jun-2026) [1, 53].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Harris Associates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por encima del 5 % con 4.351.317 acciones al 31-mar-2026 [51].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Orbis Investment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tenía el 5,3 % en sep-2025 y el 5,5 % en dic-2025; a 31-mar-2026 declara 0 acciones [54].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(en conjunto)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y alta 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530.568 acciones al 22-may-2026, incluidas opciones, RSU y PSU; el cofundador John Climax tiene 287.657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Climax (consejero; ejercicio de 5.005 opciones a 125,74 USD y venta a 175 USD)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Rónán Murphy (consejero coordinador; ejercicio de opciones y venta a 175 USD)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17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Eugene McCague (consejero; ejercicio de opciones y venta a 175 USD)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Ciaran Murray (presidente; venta de las RSU consolidadas)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Nigel Clerkin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Julie O'Neill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 Climax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Rónán Murphy (consejero coordinador)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Eugene McCague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Linda Grais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Anne Whitaker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Barry Balfe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Barry Balfe (aviso Form 144, venta no confirmada; anterior a la obligación de presentar Form 4)</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Barry Balfe (aviso Form 144, venta no confirmada)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Nigel Clerkin (aviso Form 144, venta no confirmada)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 M</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no se vota: ICON, como emisor extranjero, no está obligada a someter a la junta un voto consultivo y no lo hace [44]. El bonus objetivo es del 85-135 % del salario, sin pesos publicados, y el largo plazo combina opciones, RSU por permanencia y PSU ligados solo al BPA diluido ajustado a tres años, sin ROIC, TSR ni caja [1]. En 2025 no hubo bonus para ningún ejecutivo y los PSU de 2023-2025 no se consolidaron [1]. Cutler cobró 19,96 M USD en 2025, de ellos 13,1 M por la consolidación anticipada de opciones y RSU al jubilarse; además, cobra 2,3 M de preaviso y no competencia hasta 2027 [1]. Hay cláusula de recuperación desde octubre de 2023, pero a la fecha del 20-F no se había cuantificado lo cobrado de más por la reexpresión [1].</w:t>
      </w:r>
    </w:p>
    <w:p>
      <w:pPr>
        <w:pStyle w:val="Heading2"/>
      </w:pPr>
      <w:r>
        <w:t xml:space="preserve">Operaciones vinculadas, estructura de control y defensas</w:t>
      </w:r>
    </w:p>
    <w:p>
      <w:pPr>
        <w:spacing w:after="100"/>
      </w:pPr>
      <w:r>
        <w:t xml:space="preserve">No hay accionista de control: cinco gestoras con declaraciones 13G pasivas suman el 38 % (Artisan, 10,9 %) y el consejo y la dirección, el 0,69 % [1, 49, 50, 51, 52, 53]. Hay una sola clase de acciones, un voto por acción y ninguna cláusula estatutaria que frene un cambio de control más allá de la ley irlandesa [1]. Todos los consejeros se reeligen cada año; el presidente obtuvo el 96,8 % a favor en 2026, frente al 97,8 % en 2025 y el 98,2 % en 2024 [45, 46, 47]. La junta renueva cada año la autorización para emitir acciones y excluir el derecho de suscripción preferente (en 2026, un 4,9-5,8 % en contra) [45]. Un cambio de control acelera los planes de acciones y la deuda bancaria [1]. Las operaciones vinculadas son menores (0,4 M USD con Corvus, de Linda Grais) [1].</w:t>
      </w:r>
    </w:p>
    <w:p>
      <w:pPr>
        <w:pStyle w:val="Heading2"/>
      </w:pPr>
      <w:r>
        <w:t xml:space="preserve">Señales de alerta</w:t>
      </w:r>
    </w:p>
    <w:p>
      <w:pPr>
        <w:pStyle w:val="ListParagraph"/>
        <w:numPr>
          <w:ilvl w:val="0"/>
          <w:numId w:val="2"/>
        </w:numPr>
        <w:spacing w:after="60"/>
      </w:pPr>
      <w:r>
        <w:t xml:space="preserve">Reexpresión de las cuentas de 2023 y 2024: ingresos sobrevalorados en 65,3 M USD (2023) y 92,7 M USD (2024) y beneficio neto en 58,1 M y 52,3 M; los ajustes indebidos se hicieron del tercer trimestre de 2023 al cuarto de 2024 [1].</w:t>
      </w:r>
    </w:p>
    <w:p>
      <w:pPr>
        <w:pStyle w:val="ListParagraph"/>
        <w:numPr>
          <w:ilvl w:val="0"/>
          <w:numId w:val="2"/>
        </w:numPr>
        <w:spacing w:after="60"/>
      </w:pPr>
      <w:r>
        <w:t xml:space="preserve">Dos debilidades materiales en el control interno a 31-dic-2025, una de ellas en el «tono de la dirección» y en la falta de personal con conocimientos de US GAAP; el remedio sigue en curso [1].</w:t>
      </w:r>
    </w:p>
    <w:p>
      <w:pPr>
        <w:pStyle w:val="ListParagraph"/>
        <w:numPr>
          <w:ilvl w:val="0"/>
          <w:numId w:val="2"/>
        </w:numPr>
        <w:spacing w:after="60"/>
      </w:pPr>
      <w:r>
        <w:t xml:space="preserve">La empresa se autodenunció ante la SEC y otras autoridades; a la fecha de corte no se ha publicado ninguna actuación de la SEC [1].</w:t>
      </w:r>
    </w:p>
    <w:p>
      <w:pPr>
        <w:pStyle w:val="ListParagraph"/>
        <w:numPr>
          <w:ilvl w:val="0"/>
          <w:numId w:val="2"/>
        </w:numPr>
        <w:spacing w:after="60"/>
      </w:pPr>
      <w:r>
        <w:t xml:space="preserve">Acción colectiva de valores en Nueva York (In re ICON plc Securities Litigation) con periodo de clase del 27-jul-2023 al 11-feb-2026; la demanda de junio de 2026 añade como demandados al director financiero actual y a un antiguo empleado (el vicepresidente sénior de Finanzas, al que los demandantes atribuyen presiones para adelantar ingresos) y un cargo de «esquema fraudulento»; la empresa tenía hasta el 1-sep-2026 para pedir el archivo [6, 67].</w:t>
      </w:r>
    </w:p>
    <w:p>
      <w:pPr>
        <w:pStyle w:val="ListParagraph"/>
        <w:numPr>
          <w:ilvl w:val="0"/>
          <w:numId w:val="2"/>
        </w:numPr>
        <w:spacing w:after="60"/>
      </w:pPr>
      <w:r>
        <w:t xml:space="preserve">20-F de 2025 presentado tarde (27-may-2026) tras un NT 20-F, aviso de incumplimiento de Nasdaq del 19-may-2026 y dispensa técnica de los bancos por la entrega tardía de cuentas [1, 17].</w:t>
      </w:r>
    </w:p>
    <w:p>
      <w:pPr>
        <w:pStyle w:val="ListParagraph"/>
        <w:numPr>
          <w:ilvl w:val="0"/>
          <w:numId w:val="2"/>
        </w:numPr>
        <w:spacing w:after="60"/>
      </w:pPr>
      <w:r>
        <w:t xml:space="preserve">Rotación en la cúpula: director financiero nuevo en octubre de 2024, consejero delegado nuevo en octubre de 2025 y salida del consejo del consejero delegado anterior el 21-may-2026, seis días antes del 20-F con la reexpresión [1, 40].</w:t>
      </w:r>
    </w:p>
    <w:p>
      <w:pPr>
        <w:pStyle w:val="ListParagraph"/>
        <w:numPr>
          <w:ilvl w:val="0"/>
          <w:numId w:val="2"/>
        </w:numPr>
        <w:spacing w:after="60"/>
      </w:pPr>
      <w:r>
        <w:t xml:space="preserve">Cambio de auditor: KPMG dimitió el 29-abr-2025 tras un concurso de 2023 y EY audita desde 2025; según el 20-F no hubo desacuerdos [1].</w:t>
      </w:r>
    </w:p>
    <w:p>
      <w:pPr>
        <w:pStyle w:val="ListParagraph"/>
        <w:numPr>
          <w:ilvl w:val="0"/>
          <w:numId w:val="2"/>
        </w:numPr>
        <w:spacing w:after="60"/>
      </w:pPr>
      <w:r>
        <w:t xml:space="preserve">Nueve consejeros y directivos vendieron acciones en agosto y septiembre de 2026 por 4,0 M USD en conjunto, sin ninguna compra en el mercado en los últimos 12 meses [48]; antes de que los emisores extranjeros tuvieran que presentar Form 4 (marzo de 2026) solo constan avisos Form 144 de Clerkin y Balfe [68, 69, 70].</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ICON dio su guía de 2026 el 27 de mayo, con los resultados de 2025 publicados con retraso por la investigación contable: ingresos de 7.850-8.150 M USD y BPA diluido ajustado de 10,00-11,00 USD, sin amortización de intangibles, pagos en acciones, reestructuración ni costes de transacción [3]. La confirmó el 23 de junio [5] y el 29 de julio [7]. En el primer semestre facturó 4.097,5 M USD (+1,1 %) con un BPA ajustado de 5,06 USD; la relación pedidos/facturación del segundo trimestre fue de 1,51 y la cartera, de 23.400 M USD [7]. Estimación propia: el punto medio de la guía exige unos 3.900 M USD de ingresos y 5,44 USD de BPA ajustado en el segundo semestre. El tercer trimestre se publica el 27 de octubre de 2026, tras el cierre del mercado [73].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(ingresos, EBITDA y EBIT ajustados) [78]; BPA ajustado, Yahoo Finance, 18 analistas [77]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(ingresos, EBITDA y EBIT ajustados) [78]; BPA ajustado, Yahoo Finance, 18 analistas [77]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8.894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(ingresos, EBITDA y EBIT ajustados) [78]; sin BPA ajustado gratuito para 2028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8.824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8.894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 7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184,41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155,00 – 210,00</w:t>
            </w:r>
          </w:p>
        </w:tc>
      </w:tr>
    </w:tbl>
    <w:p>
      <w:pPr>
        <w:spacing w:after="160" w:before="0"/>
      </w:pPr>
    </w:p>
    <w:p>
      <w:pPr>
        <w:pStyle w:val="Heading2"/>
      </w:pPr>
      <w:r>
        <w:t xml:space="preserve">Revisiones de estimaciones</w:t>
      </w:r>
    </w:p>
    <w:p>
      <w:pPr>
        <w:spacing w:after="100"/>
      </w:pPr>
      <w:r>
        <w:t xml:space="preserve">Las estimaciones apenas se han movido desde la guía de mayo: en tres meses, el BPA ajustado de 2026 pasó de 10,63 a 10,58 USD (−0,5 %) y el de 2027, de 11,85 a 11,82 USD (−0,3 %) [77]. El recorte fuerte fue anterior: el precio objetivo medio de MarketBeat bajó de 210,64 USD hace un año a 173,19 USD hace tres meses (172,40 USD hoy) [80]. Las dos fuentes difieren en el tono. Con los datos de S&amp;P Global hay 10 recomendaciones de compra, 7 de mantener y 1 de venta, con un objetivo medio de 184,41 USD [78, 79]. MarketBeat cuenta 8 de compra, 8 de mantener y 2 de venta, con 172,40 USD [80].</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r>
    </w:tbl>
    <w:p>
      <w:pPr>
        <w:spacing w:after="160" w:before="0"/>
      </w:pPr>
    </w:p>
    <w:p>
      <w:pPr>
        <w:spacing w:after="100"/>
      </w:pPr>
      <w:r>
        <w:t xml:space="preserve">ICON cae un 9,7 % en 2026 y un 12,4 % en doce meses, mientras el S&amp;P 500 sube un 13,4 % y un 15,3 % [72]. El año lo marca un día: el 12 de febrero de 2026, cuando aplazó los resultados de 2025 y anunció una investigación de sus prácticas contables [76], la acción perdió un 39,9 % y tocó el mínimo de 52 semanas, 66,57 USD [72]. Desde ahí se ha más que duplicado, hasta 164,50 USD, un 19 % por debajo del máximo de enero. La caída máxima desde julio de 2024 llegó al 76,9 %, y en tres años pierde un 11,7 % anual frente al +21,4 % del índice [72]. Ese día dispara la volatilidad (73,6 %) y la beta mensual a cinco años (1,23); la semanal a dos años es 0,99 [72]. Las posiciones cortas suman el 3,9 % del flotante [77].</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ICON cotiza a 12,4 veces el EBITDA de los últimos 12 meses, por debajo del mínimo de sus cierres de 2019-2025 (13,2 veces en 2025) y un 31 % por debajo de su media (18,0 veces) [72]. El precio, 164,50 USD, está por debajo de todos los cierres de ejercicio desde 2019 [72]. Hay razones estructurales para la rebaja: desde la compra de PRA el negocio no crece (+0,8 % en 2025), el margen ajustado ha caído del 20,4 % al 15,7 % y la investigación contable añade un riesgo que antes no había [3, 7]. El PER de los últimos 12 meses (253,1 veces) no sirve: el beneficio contable de 0,65 USD por acción recoge deterioros, la pérdida por la venta de Symphony y la amortización de PRA [7].</w:t>
      </w:r>
    </w:p>
    <w:p>
      <w:pPr>
        <w:pStyle w:val="Heading1"/>
      </w:pPr>
      <w:r>
        <w:t xml:space="preserve">18. Comparables cotizados</w:t>
      </w:r>
    </w:p>
    <w:p>
      <w:pPr>
        <w:pStyle w:val="Confianza"/>
        <w:spacing w:after="100"/>
      </w:pPr>
      <w:r>
        <w:t xml:space="preserve">Confianza: Media</w:t>
      </w:r>
    </w:p>
    <w:p>
      <w:pPr>
        <w:spacing w:after="100"/>
      </w:pPr>
      <w:r>
        <w:t xml:space="preserve">Quedan pocas CRO cotizadas: Syneos, PPD, PRA y Parexel ya no cotizan [84, 85, 86]. Las referencias son IQVIA (la mayor CRO), Medpace (CRO pura de biotecnológicas), Charles River (preclínica) y Labcorp (laboratorio central de ensayos), con Fortrea (la CRO escindida de Labcorp, en reestructuración) y Thermo Fisher (dueña de PPD, aunque es un conglomerado) [81, 82, 83]. Se excluyen WuXi AppTec y Tigermed: cotizan en China, con riesgo geopolítico, y su EBITDA lleva plusvalías de inversiones (margen del 60 % en WuXi) [81].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ICON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IQVIA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42.612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Medpace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River Laboratories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Fortrea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Thermo Fisher Scientific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241.068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Labcorp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25.482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 / 14,6x / 19,8x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191,18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270,39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 / 16,6x / 22,5x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188,20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229,89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323,49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 / 21,4x / 24,1x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8.294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 / 3,8x / 5,5x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238,08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375,82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557,61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13,3 + 0,78 × crecimiento; R² = 0,16. El crecimiento explica poco los múltiplos de estos comparables (R² &lt; 0,3): la regresión no se usa en la valoración.</w:t>
      </w:r>
    </w:p>
    <w:p>
      <w:pPr>
        <w:spacing w:after="100"/>
      </w:pPr>
      <w:r>
        <w:t xml:space="preserve">ICON cotiza a 12,8 veces el EBITDA de los próximos 12 meses frente a una mediana de 14,6 veces, y a 14,3 veces el BPA ajustado frente a 21,4 veces. A los múltiplos medianos valdría 191,18 USD por EV/EBITDA y 246,92 por PER, 219,05 de media. El descuento tiene causa: ICON crecerá en torno a un 1 % en los próximos 12 meses frente al 5-6 % de IQVIA, Medpace y Labcorp, su margen EBITDA es 4-6 puntos inferior y su ROIC (6,8 %) no cubre el WACC [81, 83]. A eso se suma el descuento por la reexpresión, que ningún comparable tiene. En la base de los comparables (EBITDA ajustado, sin pagos en acciones) el múltiplo sería todavía menor, 10,9 veces [78], así que el descuento no es un efecto de definiciones. La muestra es frágil: quitar una empresa mueve la mediana de 13,4 a 15,7 veces (173,66 a 208,69 USD por acción). Por eso los comparables pesan un 15 %: dicen que ICON es barata si se normaliza, no que vaya a normalizarse.</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Clario (datos de ensayos clínicos)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Thermo Fisher Scientific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8.875 M USD en caja al cierre, más 125 M USD aplazados y hasta 400 M USD condicionados a resultados, por unos ingresos esperados de 1.250 M USD en 2025; vendedores, fondos liderados por Astorg y Nordic Capital, Novo Holdings y Cinven. No se publicó el EBITDA [87].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Syneos Health</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Elliott, Patient Square Capital y Veritas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43,00 USD por acción en efectivo, un 24 % sobre el cierre del 13 de febrero de 2023. Unos 7.100 M USD en total con la deuda refinanciada; el múltiplo es sobre el EBITDA ajustado previsto por la dirección para 2023, 731 M USD (no el de los últimos doce meses) [84].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Clinigen Group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Triton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farmacéuticos (suministro de medicamentos para ensayos y acceso a fármacos). Múltiplo sobre el EBITDA ajustado de los últimos doce meses, según el análisis de operaciones de BofA Securities [84].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UDG Healthcare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Clayton Dubilier &amp; Rice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de comercialización y comunicación para la industria farmacéutica. Múltiplo sobre el EBITDA ajustado de los últimos doce meses [84].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PPD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Thermo Fisher Scientific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47,50 USD por acción en efectivo, un 23,8 % sobre el cierre previo a la filtración [86]. Múltiplo sobre el EBITDA ajustado de los últimos doce meses [84].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PRA Health Sciences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 USD en efectivo y 0,4125 acciones de ICON por acción, unos 12.000 M USD; prima del 30 % sobre el cierre del 23 de febrero de 2021 [85, 88]. Múltiplo sobre el EBITDA ajustado de los últimos doce meses [84].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2020-03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Huntsworth</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Clayton Dubilier &amp; Rice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Comunicación médica y servicios de investigación clínica (Huntsworth Health). Múltiplo sobre el EBITDA ajustado de los últimos doce meses [84].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15,5x (11,1x – 22,0x)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212,59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144,55 – 314,84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 mediana de seis operaciones con múltiplo (15,5 veces el EBITDA ajustado) daría 212,59 USD por acción, pero las transacciones no pesan en el valor objetivo [84]. Las dos más caras, PRA (24,4 veces) y PPD (23,4 veces), se pagaron en 2021 en pleno auge de la financiación biotecnológica; Syneos, en 2023, ya se vendió a 9,7 veces el EBITDA previsto con una prima del 24 % [84, 85, 86]. ICON tiene un capital disperso (99,9 % de flotante) y ningún accionista de control [77], pero con unos 15.000 M de valor empresa y una investigación contable abierta, los compradores posibles (Thermo Fisher, Labcorp, fondos) tienen motivos para esperar a que se remedie el control interno. No contamos con una operación.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−1,6 % (8.119 M): el punto medio-alto de la guía (7.850-8.150 M, reafirmada el 29-jul) y casi el consenso (8.139 M), sin los ingresos de Symphony vendida en mayo [7, 78]. 2027e +3,5 %, en línea con el consenso (+3,6 %), apoyado en una contratación de 1,46 veces la facturación en el primer semestre, aunque solo 1,2 veces en honorarios directos [7]. 2028-2030e +5 %: algo por debajo del consenso de 2028 (+5,5 %) y del crecimiento que estimamos para el mercado (4,5 %) más una ligera recuperación de cuota; luego baja al 3 %. ICON creció un 0,8 % anual de 2023 a 2025 frente al 34 % acumulado de Medpace [24]: el supuesto exige que deje de perder cuota.</w:t>
      </w:r>
    </w:p>
    <w:p>
      <w:pPr>
        <w:keepNext/>
        <w:spacing w:after="100"/>
      </w:pPr>
      <w:r>
        <w:rPr>
          <w:b/>
          <w:bCs/>
        </w:rPr>
        <w:t xml:space="preserve">Márgenes.</w:t>
      </w:r>
    </w:p>
    <w:p>
      <w:pPr>
        <w:spacing w:after="100"/>
      </w:pPr>
      <w:r>
        <w:t xml:space="preserve">Margen EBITDA del 13,9 % en 2026e: el consenso de EBITDA ajustado (1.322 M, 16,2 %) menos los 2,6 puntos de pagos en acciones, reestructuración y costes de transacción que la empresa excluye [78]; en el primer semestre fue del 14,0 % en esta base [7]. Sube al 16,5 % en 2032e, que equivale a un 19 % ajustado: por debajo del 20,4 % de 2024 y de los márgenes de IQVIA, Medpace y Charles River (22-24 %) [3, 81]. La recuperación viene de dejar atrás los costes de la investigación y de que la contratación de 2026 se convierta en ingresos con margen.</w:t>
      </w:r>
    </w:p>
    <w:p>
      <w:pPr>
        <w:keepNext/>
        <w:spacing w:after="100"/>
      </w:pPr>
      <w:r>
        <w:rPr>
          <w:b/>
          <w:bCs/>
        </w:rPr>
        <w:t xml:space="preserve">Inversión y circulante.</w:t>
      </w:r>
    </w:p>
    <w:p>
      <w:pPr>
        <w:spacing w:after="100"/>
      </w:pPr>
      <w:r>
        <w:t xml:space="preserve">Capex del 2,1 % de las ventas, el de 2024 y 2025 (1,4-2,1 % en la década), casi todo informática e instalaciones [1]. La amortización baja del 4,4 % al 2,0 % porque se agotan los intangibles de PRA (227 M en 2025) y queda la depreciación, en torno al 1,8 % [1]; en el último año el capex supera a la amortización. Circulante comercial del 10,0 % de las ventas, el de 2025 (9,7 % en 2024): los cobros anticipados (1.550 M) compensan casi toda la facturación pendiente [1]. Tipo impositivo del 19 %, por encima del 16,9 % del beneficio ajustado de 2025, por el impuesto mínimo global del 15 % y la amortización de PRA, que no desgrava [3].</w:t>
      </w:r>
    </w:p>
    <w:p>
      <w:pPr>
        <w:keepNext/>
        <w:spacing w:after="100"/>
      </w:pPr>
      <w:r>
        <w:rPr>
          <w:b/>
          <w:bCs/>
        </w:rPr>
        <w:t xml:space="preserve">Coste del capital.</w:t>
      </w:r>
    </w:p>
    <w:p>
      <w:pPr>
        <w:spacing w:after="100"/>
      </w:pPr>
      <w:r>
        <w:t xml:space="preserve">Tasa libre del 5,28 %, el Tesoro de EE. UU. a 10 años del 7-oct-2026 [74]. Beta de 1,15: la ajustada mensual a cinco años frente al S&amp;P 500 [72]; la bruta (1,23) está inflada por la caída del 39,9 % del 12-feb-2026, y la media ajustada de IQVIA, Medpace y Charles River es 1,16 [72]. Prima de mercado del 5,5 % y sin prima adicional: el riesgo contable va en los escenarios, no en la tasa. Coste de la deuda del 5,5 % antes de impuestos, el cupón medio de los bonos de agosto de 2026 (5,064-5,995 %) [11], con rating BBB-/Baa3 [1]. Peso de la deuda del 21 % a valor de mercado. Coste de los fondos propios del 11,61 % y WACC del 10,10 %.</w:t>
      </w:r>
    </w:p>
    <w:p>
      <w:pPr>
        <w:keepNext/>
        <w:spacing w:after="100"/>
      </w:pPr>
      <w:r>
        <w:rPr>
          <w:b/>
          <w:bCs/>
        </w:rPr>
        <w:t xml:space="preserve">Valor terminal.</w:t>
      </w:r>
    </w:p>
    <w:p>
      <w:pPr>
        <w:spacing w:after="100"/>
      </w:pPr>
      <w:r>
        <w:t xml:space="preserve">Crecimiento a perpetuidad del 3,0 %: inflación esperada en dólares de unos 2,5 % y medio punto real por el aumento del gasto en desarrollo clínico, por debajo del 4,5 % que estimamos para el mercado de CRO [18, 25] y 2,3 puntos por debajo de la tasa libre. El método de Gordon da un valor terminal de 19.111 M; un múltiplo de salida de 11 veces el EBITDA daría 21.070 M, y el Gordon implica 10,0 veces, por debajo de la mediana actual de los comparables (14,6 veces) y del mínimo histórico de ICON (13,2 veces). Es un terminal conservador.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154,88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172,61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144,48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208,48</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 M (-5 %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 (hoy: 11,0 %)</w:t>
            </w:r>
          </w:p>
        </w:tc>
      </w:tr>
    </w:tbl>
    <w:p>
      <w:pPr>
        <w:spacing w:after="160" w:before="0"/>
      </w:pPr>
    </w:p>
    <w:p>
      <w:pPr>
        <w:spacing w:after="100"/>
      </w:pPr>
      <w:r>
        <w:t xml:space="preserve">La proyección apenas necesita inversión neta de la amortización (reinversión acumulada de -554 M, con un capex bruto medio del 2,1 % de las ventas). En un negocio de activos ligeros, el crecimiento medio del 3,5 % tiene que salir de subir precios y de ganar volumen sin capital nuevo, y la prueba es el poder de precios y la cuota (10,0 % del mercado en 2035e, frente al 11,0 %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7.850-8.150 M reafirmada el 29-jul: ventas casi planas por las cancelaciones de 2025 y la salida de Symphony (vendida en mayo, en otros); sin subidas de tarifa publicadas (reparto entre volumen y otros, estimación propia) [7, 78].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de la contratación del primer semestre (1,46 veces la facturación, 1,2 veces en honorarios directos) y de una cartera de 23.400 M; el consenso da +3,6 % [7, 78].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al ritmo del mercado de CRO (4,5 % estimado) y algo de precio por indexación de contratos plurianuales; el consenso da +5,5 % [25, 78].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2028e: sin ganar cuota, el volumen sigue al gasto clínico externalizado [18, 25].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2028e [18, 25].</w:t>
            </w:r>
          </w:p>
        </w:tc>
      </w:tr>
    </w:tbl>
    <w:p>
      <w:pPr>
        <w:spacing w:after="160" w:before="0"/>
      </w:pPr>
    </w:p>
    <w:p>
      <w:pPr>
        <w:spacing w:after="100"/>
      </w:pPr>
      <w:r>
        <w:t xml:space="preserve">En parte. Las tres pruebas pasan: la proyección no pide capital nuevo (la reinversión neta sale negativa porque la amortización incluye los intangibles de PRA; sin ellos, el capex del 2,1 % apenas supera la depreciación del 1,8 %) [1], y el crecimiento medio del 3,5 % queda por debajo del 4,5 % previsto para el mercado, con la cuota del 11 % al 10 % en 2035e [18, 25]. Pero el foso se estrecha (+0,8 % anual en 2023-2025 frente al +34 % acumulado de Medpace), no hay subidas de tarifa publicadas y el ROIC (6,8 %) está bajo el WACC [1, 24]. El +5 % de 2028-2030 exige dejar de perder cuota; si no, es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 (base: 4,1 %)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17,2 % (base: 16,5 %)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9,8 % (WACC: 10,1 %)</w:t>
            </w:r>
          </w:p>
        </w:tc>
      </w:tr>
    </w:tbl>
    <w:p>
      <w:pPr>
        <w:spacing w:after="160" w:before="0"/>
      </w:pPr>
    </w:p>
    <w:p>
      <w:pPr>
        <w:spacing w:after="100"/>
      </w:pPr>
      <w:r>
        <w:t xml:space="preserve">El DCF da </w:t>
      </w:r>
      <w:r>
        <w:rPr>
          <w:b/>
        </w:rPr>
        <w:t xml:space="preserve">154,88 USD por acción, un 5,8 % por debajo del precio</w:t>
      </w:r>
      <w:r>
        <w:t xml:space="preserve">, con el 55 % del valor en el terminal y un rango de 136,72 a 178,80 USD con el WACC y el crecimiento terminal ±0,5 puntos. El valor depende sobre todo del margen: un punto más o menos en todos los años mueve el valor unos 13 USD por acción. </w:t>
      </w:r>
      <w:r>
        <w:rPr>
          <w:b/>
        </w:rPr>
        <w:t xml:space="preserve">El DCF inverso dice que el precio ya descuenta una recuperación completa</w:t>
      </w:r>
      <w:r>
        <w:t xml:space="preserve">: un crecimiento del 4,9 % anual en 2027-2035 (frente al 4,1 % de nuestro caso base y el 4,5 % que estimamos para el mercado) y un margen EBITDA final del 17,2 % (16,5 % en el base), que equivale a un 20 % ajustado, el nivel de 2024, antes de la reexpresión y de que el negocio dejara de crecer. Con nuestros flujos, el precio da una rentabilidad del 9,8 %, por debajo del WACC del 10,1 % pero por encima del 8,9 % que pide hoy el mercado a una acción con esta beta. La acción no está cara para el mercado; para nosotros, solo está bien pagada si la recuperación llega entera y sin otro tropiezo contable.</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financiación biotecnológica no vuelve, los clientes castigan la reexpresión en los concursos y la contratación de 2026 se convierte en reembolsables sin margen: los ingresos caen un 1 % en 2027 y el margen se queda 2 puntos por debajo del base (14,5 % final). Ya le pasó a ICON: su margen ajustado bajó 4,7 puntos de 2024 al primer semestre de 2026 [3, 7]. Crecimiento terminal del 2,5 %.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ICON vuelve a crecer al 3,5-5 % desde 2027 gracias a la contratación del primer semestre y recupera el margen ajustado hacia el 19 % en 2032, todavía por debajo de 2024; la investigación se cierra sin sanción material.</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194,06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contratación de 1,5 veces la facturación se convierte en crecimiento del 5-6,5 % y el margen recupera 1,5 puntos más que en el base (18 % final en nuestra base, unos 20,5 % ajustado, el nivel de 2024); las recompras se reanudan con 750 M autorizados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164,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151,77 USD (-7,7 %).</w:t>
      </w:r>
    </w:p>
    <w:p>
      <w:pPr>
        <w:spacing w:after="100"/>
      </w:pPr>
      <w:r>
        <w:t xml:space="preserve">Con nuestro coste de capital la asimetría es mala: el alcista vale 194,06 USD (+18,0 %) y el bajista 103,26 (−37,2 %), una relación de 0,48 veces; ponderados al 25-50-25 dan 151,77 USD. El bajista no es cosmético: solo exige que el margen y el crecimiento de 2025-2026 se prolonguen, algo que ya ha ocurrido. Con la prima de riesgo que hoy pide el mercado (4,2 %), la asimetría se invierte: 239,88 USD de alcista frente a 127,07 de bajista, 2,01 veces. La diferencia entre los dos cálculos es la tesis: la acción compensa si se acepta la tasa de descuento del mercado, no con la nuestra.</w:t>
      </w:r>
    </w:p>
    <w:p>
      <w:pPr>
        <w:pStyle w:val="Heading1"/>
      </w:pPr>
      <w:r>
        <w:t xml:space="preserve">22. Suma de partes</w:t>
      </w:r>
    </w:p>
    <w:p>
      <w:pPr>
        <w:pStyle w:val="Confianza"/>
        <w:spacing w:after="100"/>
      </w:pPr>
      <w:r>
        <w:t xml:space="preserve">Confianza: Alta</w:t>
      </w:r>
    </w:p>
    <w:p>
      <w:pPr>
        <w:spacing w:after="100"/>
      </w:pPr>
      <w:r>
        <w:t xml:space="preserve">No aplica: ICON tiene un solo segmento (servicios de investigación clínica) desde que vendió Symphony Health en mayo de 2026, y no publica resultados por línea de negocio [1, 7].</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164,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184,41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270,39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246,92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314,84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194,06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165,32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163,26 USD (-0,8 % sobre 164,50).</w:t>
      </w:r>
    </w:p>
    <w:p>
      <w:pPr>
        <w:spacing w:after="100"/>
      </w:pPr>
      <w:r>
        <w:t xml:space="preserve">Pesos: DCF 45 %, escenarios 40 %, comparables 15 %, transacciones y suma de partes 0 %. El valor objetivo es de 163,26 USD (−0,8 %). El DCF y los escenarios mandan porque el debate es si el margen se recupera, y eso solo lo recoge una proyección explícita. Los comparables dan 219,05 USD, un 33,2 % más, pero miden lo que valdría ICON si cotizara como IQVIA o Medpace, que crecen y no tienen una reexpresión; la muestra además es frágil (13,4-15,7 veces según qué empresa se quite). Las transacciones (212,59 USD) llevan prima de control y múltiplos de 2021. La dispersión cuenta la historia: el mercado (precio 164,50) está entre nuestro DCF (154,88) y los múltiplos del sector, y con la prima implícita del mercado el DCF sube a 191,83 USD y el objetivo a 194,24 (+18,1 %).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(22.8x) × 1.1 (tope: la mediana de 5 años, 50.5x,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213,35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346,80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+110,8 %</w:t>
            </w:r>
          </w:p>
        </w:tc>
      </w:tr>
    </w:tbl>
    <w:p>
      <w:pPr>
        <w:spacing w:after="160" w:before="0"/>
      </w:pPr>
    </w:p>
    <w:p>
      <w:pPr>
        <w:spacing w:after="100"/>
      </w:pPr>
      <w:r>
        <w:rPr>
          <w:b/>
          <w:bCs/>
        </w:rPr>
        <w:t xml:space="preserve">Objetivo a 12 meses (ponderado):</w:t>
      </w:r>
      <w:r>
        <w:t xml:space="preserve"> 223,12 USD · rentabilidad +35,6 % (base +29,7 %) · señal Mantener.</w:t>
      </w:r>
    </w:p>
    <w:p>
      <w:pPr>
        <w:spacing w:after="100"/>
      </w:pPr>
      <w:r>
        <w:t xml:space="preserve">Para comparar, con la regla v2 (historia al cierre, mismo precio): 19,4x / 22,8x / 28,1x, 20,0 % Mantener; con el tope anterior del base (×1,3, 14-oct mediodía): 60,0 % Mantener. Decide la regla vigente (v3 con tope ×1,1; METODO-VIGENTE.md).</w:t>
      </w:r>
    </w:p>
    <w:p>
      <w:pPr>
        <w:keepNext/>
        <w:spacing w:after="100"/>
      </w:pPr>
      <w:r>
        <w:rPr>
          <w:b/>
          <w:bCs/>
        </w:rPr>
        <w:t xml:space="preserve">Frente al consenso (solo contraste).</w:t>
      </w:r>
    </w:p>
    <w:p>
      <w:pPr>
        <w:spacing w:after="100"/>
      </w:pPr>
      <w:r>
        <w:t xml:space="preserve">Nuestro BPA base de 2028e (8,50) se separa un -8,1 % del consenso (9,25) y nuestro precio base (193,80) un +5,1 % del objetivo medio de los analistas (184,41).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163,26 (-0,8 %) frente al objetivo a 12 meses ponderado 197,48 (+20,0 % con dividendo; base +17,8 %).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que la contratación de 1,51 veces del 2T26 se convierte en ingresos con margen; el punto medio de la guía exige unos 3.900 M de ingresos en el segundo semestre [7, 73].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Reanudación de las recompras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Quedan 750 M autorizados (un 5,9 % de la capitalización) y la refinanciación de agosto liberó las garantías; en el primer semestre no recompró [1, 11].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prometió crecimiento sostenible en 2027; una guía de ingresos por debajo del +3,5 % del consenso invalidaría la recuperación [3, 78].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abril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del auditor sobre el control interno de 2026 (20-F)</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EY levanta las dos debilidades materiales, desaparece la mayor fuente de descuento; si siguen, se prolonga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del juez sobre la petición de archivo de la demanda colectiva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debía pedir el archivo antes del 1-sep-2026; la demanda incluye ya al director financiero actual y un cargo de esquema fraudulento [67].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Respuesta de la SEC a la autodenuncia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se autodenunció; una sanción o un acuerdo cerraría la incertidumbre, con un coste hoy no estimable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Nuevos hallazgos contables o sanción de la SEC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cumplimiento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estimación fiable; un día de noticias costó −39,9 % el 12-feb-2026</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Investigación del comité de auditoría cerrada, auditor nuevo (EY) y autodenuncia ante la SEC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Retraso de un 6-K o del 20-F de 2026, o debilidades materiales sin remediar en abril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margen no se recupera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−8,6 % por punto de margen menos en todos los años; −17,1 % con dos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los costes de la investigación (unos 50 M en el primer semestre, estimación propia) y reestructuración en curso [7].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ajustado trimestral por debajo del 15 % (15,9 % en el 2T26).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cuota frente a Medpace e IQVIA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−6,8 % por punto de crecimiento menos al año; −13,3 % con dos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Alianzas plurianuales con grandes farmacéuticas; el primer cliente pesa el 7,0 %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Ratio de contratación sobre honorarios directos por debajo de 1,1 veces (1,2 en el 2T26).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inflada o cancelaciones altas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Escenario bajista: −37,2 %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criterio nuevo de cancelaciones ya restó 3.900 M a la cartera en 2025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Cancelaciones trimestrales por encima de 600 M (562 M en el 2T26) o una brecha creciente entre la cartera (23.400 M) y las obligaciones auditadas (15.700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biotecnológica débil y política de precios de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Sector</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Escenario bajista: −37,2 %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cinco primeros clientes, grandes farmacéuticas con alianzas plurianuales, aportan el 24,8 % de los ingresos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Financiación biotecnológica trimestral en EE. UU. y Europa por debajo del ritmo de 2025 (68.450 M al año) [39].</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demanda colectiva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Estimación propia: cada 100 M de acuerdo restan unos 1,29 USD por acción (−0,8 %)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de 928 M y una línea de crédito de 500 M sin disponer [1,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Rechazo de la petición de archivo.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 más alto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−7,8 % con medio punto más de WACC</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vencimientos hasta 2029 y deuda neta de 2,0 veces el EBITDA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 del rating por debajo de BBB-/Baa3.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Sustitución por modelos funcionales (FSP) o por herramientas de 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Recogido en el margen: −8,6 % por punto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ya ofrece servicios funcionales y alianzas a gran escala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Peso creciente del FSP en la contratación de las grandes farmacéuticas.</w:t>
            </w:r>
          </w:p>
        </w:tc>
      </w:tr>
    </w:tbl>
    <w:p>
      <w:pPr>
        <w:spacing w:after="160" w:before="0"/>
      </w:pPr>
    </w:p>
    <w:p>
      <w:pPr>
        <w:pStyle w:val="Heading2"/>
      </w:pPr>
      <w:r>
        <w:t xml:space="preserve">Pre-mortem</w:t>
      </w:r>
    </w:p>
    <w:p>
      <w:pPr>
        <w:spacing w:after="100"/>
      </w:pPr>
      <w:r>
        <w:t xml:space="preserve">Octubre de 2029: la acción ha caído un 40 %, a unos 99 USD. La historia más probable empieza el 27 de octubre de 2026: el tercer trimestre confirma que la contratación récord del 2T26 era sobre todo de reembolsables, con un ratio sobre honorarios directos de solo 1,1 veces, y el margen ajustado se queda en el 15-16 %. En febrero de 2027 la guía de ingresos es plana. En abril, el 20-F de 2026 mantiene una debilidad material en el control de ingresos por grado de avance, y la demanda colectiva supera la petición de archivo. Los clientes biotecnológicos, que eligen CRO en concursos donde la reputación pesa, se van a Medpace; las grandes farmacéuticas exigen tarifas más bajas a cambio de renovar alianzas. Las recompras se aplazan otra vez. Con ventas que no crecen y un margen 2 puntos por debajo del base, el mercado deja de pagar por la recuperación y aplica el múltiplo de Fortrea a un negocio que ya no es mejor que Fortrea. Los indicadores que lo habrían anticipado: el ratio de contratación sobre honorarios directos, el margen ajustado trimestral y la opinión del auditor sobre el control interno.</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(desde B-)</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87/100, medalla de platino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r>
    </w:tbl>
    <w:p>
      <w:pPr>
        <w:spacing w:after="160" w:before="0"/>
      </w:pPr>
    </w:p>
    <w:p>
      <w:pPr>
        <w:pStyle w:val="Heading2"/>
      </w:pPr>
      <w:r>
        <w:t xml:space="preserve">Asuntos materiales</w:t>
      </w:r>
    </w:p>
    <w:p>
      <w:pPr>
        <w:spacing w:after="100"/>
      </w:pPr>
      <w:r>
        <w:t xml:space="preserve">Para una CRO, lo material es la gente y la integridad de los datos, no las emisiones. El grueso del coste es plantilla (40.100 empleados) y el margen depende de retener personal facturable [1]. La calidad de los ensayos y la privacidad de datos de pacientes son el riesgo operativo y de reputación más directo [1]. El gobierno contable se ha vuelto material: la investigación detectó debilidades materiales de control interno y obligó a reexpresar ingresos [1, 16]. En clima, el impacto es pequeño y va adelantado: en 2025 redujo un 73,6 % sus emisiones de alcance 1 y 2 frente a 2019, por encima de su objetivo validado por SBTi (61,2 % en 2028), con el 97 % de electricidad renovable [1, 38].</w:t>
      </w:r>
    </w:p>
    <w:p>
      <w:pPr>
        <w:pStyle w:val="Heading2"/>
      </w:pPr>
      <w:r>
        <w:t xml:space="preserve">Controversias</w:t>
      </w:r>
    </w:p>
    <w:p>
      <w:pPr>
        <w:spacing w:after="100"/>
      </w:pPr>
      <w:r>
        <w:t xml:space="preserve">En 2026 el comité de auditoría concluyó que los ingresos de 2023 y 2024 estaban sobrevalorados en 65,3 y 92,7 M USD; la empresa se autodenunció a la SEC [1, 16]. El retraso del 20-F le valió un aviso de Nasdaq el 19 de mayo de 2026, que la empresa esperaba cerrar al presentarlo (lo hizo el 27 de mayo) [1, 17]. Desde febrero de 2025 hay una demanda colectiva de accionistas por declaraciones engañosas (In re ICON plc Securities Litigation), que desde septiembre de 2025 incluye al actual consejero delegado; la empresa no puede estimar la pérdida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Reembolsables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pesan los gastos reembolsables en los ingresos de 2025 y del primer semestre de 2026, y qué parte de la contratación del 2T26 (1,51 veces) son honorarios directos?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ratio sobre honorarios directos (1,2) es muy inferior al publicado; decide si 2027 crece con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 interno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controles faltan por remediar y cuándo espera la dirección una opinión limpia del auditor?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dos debilidades materiales son la principal fuente de descuento frente a los comparables.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 y demanda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qué punto está la autodenuncia ante la SEC y qué cobertura de seguro hay para la demanda colectiva?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sin cuantificar con mayor efecto potencial en 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la cartera publicada (23.400 M) supera en un 49 % a las obligaciones de servicio auditadas (15.700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brecha que crece anticiparía nuevas cancelaciones.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ajustado considera la dirección alcanzable en 2028 y con qué palancas, sin reestructuración recurrente?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volver a un 20 % ajustado; nuestro base llega al 19 % en 2032.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concursos de biotecnológicas ha perdido ICON frente a Medpace desde 2024 y por qué?</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Medpace creció un 34 % en 2023-2025 frente al 2,4 % de ICON.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se reanudarán las recompras y a qué apalancamiento objetivo?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750 M autorizados equivalen a casi un 6 % del capital.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recuperará parte de la remuneración variable cobrada por los años reexpresados y por qué el largo plazo se mide solo con el BPA ajustado?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variable no se liga al ROIC, que lleva cinco años por debajo del WACC.</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18 de 24 controles correctos y 5 explicados. Fuentes: 88 (76 primarias); citas distintas en el texto: 88.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3,2 %: explica la causa (créditos fiscales, regularizaciones, mezcla de países) y no lo proyectes en el DCF. Explicación: El 3,2 % refleja el peso de Irlanda (12,5 %) en el beneficio y los impuestos diferidos que genera la amortización de intangibles de PRA [1]. El DCF usa el 19 %, por encima del 16,9 % que ICON aplica a su beneficio ajustado [3].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8,0 %: explica la causa (créditos fiscales, regularizaciones, mezcla de países) y no lo proyectes en el DCF. Explicación: El 8,0 % tiene la misma causa: Irlanda y los diferidos de la amortización de PRA [1]. No se proyecta.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9,1 %: explica la causa (créditos fiscales, regularizaciones, mezcla de países) y no lo proyectes en el DCF. Explicación: El 9,1 % se calcula sobre un beneficio que resta 465 M de deterioros en buena parte sin efecto fiscal [1]. El DCF usa el 19 %.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10,0 % en 2035e frente al 11,0 %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10,0 % frente a 10,0 % real: genera una variación de circulante de -17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0,16: el crecimiento no explica los múltiplos de estos comparables; no uses el valor de la regresión. Explicación: Con seis comparables, el crecimiento explica poco los múltiplos (R² 0,16): la regresión no se usa en la valoración.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13,4x a 15,7x según qué comparable se quite (173,66 a 208,69 por acción): la muestra es frágil; explícalo y no le des mucho peso. Explicación: La muestra es pequeña (seis empresas y solo cuatro CRO cotizadas de tamaño); por eso los comparables pesan solo un 15 % en el valor objetivo.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2028e (8,50) supone un 43,1 % anual desde 2,90 (2025): explícalo en valoracion.objetivo_12m.comentario o la confianza es baja.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88 fuentes (76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Preguntas de los analistas en las conferencias de mayo y julio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6-K de convocatoria de las conferencias (17-jun y 22-jul-26): solo dan fecha y hora; 2) búsqueda de transcripciones: solo resúmenes de terceros y una traducción automática al chino, sin el texto original; 3) página de un agregador de transcripciones: sin acceso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frente al consenso previo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del 4T25, 1T26 y 2T26: no citan consenso; 2) búsqueda de prensa económica sobre los resultados: sin documento original accesible; 3) derivarlo de la guía anual: no equivale a consenso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interanual del 3T24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reexpresa solo cifras anuales de 2023; 2) nota de prensa del 4T25: reexpresa solo el 4T23; 3) 6-K/A de 9M25: reexpresa trimestres de 2024 y 2025, no de 2023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Importe de los gastos reembolsables dentro de los ingresos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2 y 3 del 20-F 2025: los reembolsables van dentro de ingresos y costes directos sin cifra; 2) 6-K del 1T26 y del 2T26: solo comentario cualitativo; 3) derivarlo: solo se publica el saldo devengado con investigadores (427,1 M), insuficiente para estimar el flujo anual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 pagado por PRA Health Sciences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combinaciones de negocios del 20-F 2021: da la contraprestación, no el EBITDA de PRA; 2) 20-F 2022: sin cifras pro forma de EBITDA; 3) derivarlo con el EBITDA de PRA: no está en los documentos de ICON leídos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previsto del mercado de CRO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de ICON y 10-K de IQVIA, Medpace y Fortrea: solo Fortrea da una previsión, la del gasto en I+D de las grandes farmacéuticas (4-5 % anual en 2025-2030); 2) informes de consultoras de mercado (Grand View, Frost &amp; Sullivan): sin acceso, búsqueda web agotada; 3) informe EY Beyond Borders 2026: cubre financiación, no el mercado de CRO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de MSCI y Sustainalytics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de 2025: solo cita CDP; 2) informe ICON Cares 2025: cita EcoVadis y CDP; 3) webs de MSCI y Sustainalytics: búsqueda web agotada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de WuXi AppTec y otras CRO chinas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EDGAR: no presentan cuentas en la SEC; 2) informe EY Beyond Borders 2026: solo trata China como polo de innovación; 3) búsqueda web de sus cuentas anuales: agotada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Parexel y cifras recientes de Syneos Health</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EDGAR: Syneos dejó de presentar cuentas tras su exclusión de bolsa en 2023 y Parexel no presenta; 2) 10-K de 2022 de Syneos: usado como último dato; 3) búsqueda web de cifras de bonos o prensa: agotada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corporativo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 entre la remuneración del consejero delegado y el coste medio por empleado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en 20-F, Item 6 (no se publica); 2) convocatoria de la junta de 2026 (remite al 20-F y al informe anual irlandés); 3) derivarlo con el coste de personal: el 20-F no da el gasto total de personal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corporativo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y motivo de las salidas de empleados ligadas a la investigación contable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de 2025 y 6-K del 12-feb y del 29-abr-2026 (solo hablan de «cambios organizativos» y de nuevas contrataciones en puestos clave); 2) informe del segundo trimestre de 2026 y demanda colectiva de junio de 2026 (el vicepresidente sénior de Finanzas demandado figura como antiguo empleado, sin fecha ni motivo de salida); 3) búsqueda en prensa sin resultado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corporativo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Importe de la remuneración que se recuperará por la reexpresión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de 2025, Item 6.F (aún no determinado); 2) informe intermedio del segundo trimestre de 2026 (no lo actualiza); 3) convocatoria y resultados de la junta de 2026 (sin mención)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Equipo directivo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inicial de 2021, anterior a la compra de PRA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6-K de resultados del cuarto trimestre de 2020 (no localizado en la lista de presentaciones de la SEC); 2) 6-K del 24-feb-2021 (anuncio de la compra de PRA, sin guía); 3) 6-K de enero de 2022, que solo reafirma la guía combinada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Previsiones y 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Revisión a doce meses del BPA del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Yahoo Finance: la tendencia de estimaciones solo llega a 90 días; 2) MarketScreener: el historial de revisiones del consenso es un gráfico sin cifras; 3) Stock Analysis y MarketBeat: solo dan la evolución del precio objetivo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 la revisión a tres meses y la del precio objetivo a doce meses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Previsiones y 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del consenso para 2028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Yahoo Finance: estimaciones solo para 2026 y 2027; 2) MarketScreener: su BPA de 2028 es contable (9,25 USD), no ajustado; 3) Stock Analysis: las estimaciones de 2027-2028 son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frente a su historia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y PER de los próximos doce meses al cierre de cada ejercicio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múltiplos actuales y de los ejercicios estimados; 2) Yahoo Finance: sin series históricas de múltiplos futuros; 3) Stock Analysis: series históricas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informe calcula los múltiplos de los últimos doce meses con el precio de cierre de cada año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 precedentes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 de la compra de Parexel por EQT y Goldman Sachs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EDGAR: Parexel no cotizaba y no presentó cuentas; 2) folletos de fusiones del sector (Syneos 2023, ICON-PRA 2021): no la incluyen en sus tablas de operaciones; 3) búsqueda en prensa no completada: herramienta de lectura web agotada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2025 (Form 20-F), con las cuentas de 2023 y 2024 reexpresadas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https://www.sec.gov/Archives/edgar/data/1060955/000162828026038487/iclr-20251231.htm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6-K/A: estados intermedios reexpresados a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https://www.sec.gov/Archives/edgar/data/1060955/000162828026038497/iclr-20250930.htm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cuarto trimestre y del ejercicio 2025 y conclusión de la investigación (nota de prensa, anexo 99.1 al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https://www.sec.gov/Archives/edgar/data/1060955/000162828026038510/q42025pressrelease.htm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estados intermedios del primer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https://www.sec.gov/Archives/edgar/data/1060955/000162828026044957/iclr-20260331.htm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primer trimestre de 2026 (nota de prensa, anexo 99.1 al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https://www.sec.gov/Archives/edgar/data/1060955/000162828026044904/q12026pressrelease.htm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estados intermedios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https://www.sec.gov/Archives/edgar/data/1060955/000162828026050844/iclr-20260630.htm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segundo trimestre de 2026 (nota de prensa, anexo 99.1 al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https://www.sec.gov/Archives/edgar/data/1060955/000162828026050634/q22026pressrelease.htm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2022 (Form 20-F)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https://www.sec.gov/Archives/edgar/data/1060955/000106095523000007/iclr-20221231.htm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2021 (Form 20-F)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https://www.sec.gov/Archives/edgar/data/1060955/000106095522000005/iclr-20211231.htm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2020 (Form 20-F)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https://www.sec.gov/Archives/edgar/data/1060955/000106095521000004/iclr-20201231.htm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emisión de 2.150 M USD en bonos y amortización del préstamo puente, los préstamos a plazo y los bonos de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https://www.sec.gov/Archives/edgar/data/1060955/000114036126033497/ef20080314_6k.htm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anuncia una emisión privada de bonos (nota de prensa,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https://www.sec.gov/Archives/edgar/data/1060955/000162828026053877/a20260804icon-launchpressr.htm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Reports Third Quarter 2025 Results (6-K,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https://www.sec.gov/Archives/edgar/data/1060955/000162828025045879/q32025pressrelease.htm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Reports First Quarter 2025 Results (6-K,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https://www.sec.gov/Archives/edgar/data/1060955/000106095525000031/q12025pressrelease.htm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Reports Fourth Quarter and Full Year 2024 Results (6-K,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https://www.sec.gov/Archives/edgar/data/1060955/000106095525000013/q42024pressrelease.htm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Provides Update on Audit Committee Investigation (6-K,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https://www.sec.gov/Archives/edgar/data/1060955/000162828026028107/a202604292iconannouncement.htm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6-K sobre el aviso de Nasdaq por el retraso del 20-F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https://www.sec.gov/Archives/edgar/data/1060955/000162828026038089/iconearningscallanddeficie.htm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Holdings,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https://www.sec.gov/Archives/edgar/data/1478242/000162828026008322/iqv-20251231.htm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Holdings, Form 10-K del ejercicio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https://www.sec.gov/Archives/edgar/data/1478242/000147824221000020/iqv-20201231.htm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Holdings, Form 10-K del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https://www.sec.gov/Archives/edgar/data/1478242/000147824223000044/iqv-20221231.htm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Holdings, Form 10-K del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https://www.sec.gov/Archives/edgar/data/1478242/000147824224000038/iqv-20231231.htm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Holdings, Form 10-K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https://www.sec.gov/Archives/edgar/data/1478242/000147824225000045/iqv-20241231.htm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Holdings, Form 10-K del ejercicio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https://www.sec.gov/Archives/edgar/data/1478242/000147824222000041/iqv-20211231.htm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https://www.sec.gov/Archives/edgar/data/1668397/000166839726000006/medp-20251231.htm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Fortrea Holdings,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Fortrea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https://www.sec.gov/Archives/edgar/data/1965040/000162828026012244/ftre-20251231.htm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Charles River Laboratories,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Charles River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https://www.sec.gov/Archives/edgar/data/1100682/000110068226000022/crl-20251227.htm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https://www.sec.gov/Archives/edgar/data/97745/000009774526000018/tmo-20251231.htm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Syneos Health, Form 10-K del ejercicio 2022 (último publicado antes de su exclusión de bolsa)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Syneos Health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https://www.sec.gov/Archives/edgar/data/1610950/000095017023002928/synh-20221231.htm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Reports Second-Quarter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https://www.sec.gov/Archives/edgar/data/1478242/000162828026049923/iqv-q2x2026earningspressre.htm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Reports First-Quarter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https://www.sec.gov/Archives/edgar/data/1478242/000147824225000082/iqv-q1x2025earningspressre.htm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Reports Second Quarter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https://www.sec.gov/Archives/edgar/data/1668397/000166839726000023/medp-2026722exx991.htm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Reports First Quarter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https://www.sec.gov/Archives/edgar/data/1668397/000166839725000056/medp-20250421exx991.htm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Fortrea Reports Second Quarter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Fortrea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https://www.sec.gov/Archives/edgar/data/1965040/000162828026050368/exhibit991-pressreleasedat.htm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Fortrea Reports Second Quarter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Fortrea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https://www.sec.gov/Archives/edgar/data/1965040/000196504025000048/exhibit991-pressreleasedat.htm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Form 20-F del ejercicio 2010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mar 2011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https://www.sec.gov/Archives/edgar/data/1060955/000115752311001681/a6635473.htm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Form 20-F del ejercicio cerrado el 31 de mayo de 2003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2003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https://www.sec.gov/Archives/edgar/data/1060955/000095016203001364/icon20f102103.txt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Reports Third-Quarter 2024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https://www.sec.gov/Archives/edgar/data/1478242/000147824224000113/iqv-q3x2024earningspressre.htm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publica su informe ICON Cares 2025 (6-K,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https://www.sec.gov/Archives/edgar/data/1060955/000162828026058141/iconcares2025reportpressre.htm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EY Biotech Beyond Borders Report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https://www.ey.com/content/dam/ey-unified-site/ey-com/en-gl/campaigns/life-sciences-securing-value-data-driven-platforms/documents/ey-gl-beyond-borders-biotech-report-06-2026.pdf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Announces CEO Transition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https://www.sec.gov/Archives/edgar/data/1060955/000106095525000074/externalpressreleasefinal.htm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Confirms 2025 Financial Guidance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https://www.sec.gov/Archives/edgar/data/1060955/000106095525000077/a6-kfinancialguidanceconfi.htm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Provides Update on Timing of Fourth Quarter and Full Year 2025 Earnings Results and Investigation into Accounting Practices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https://www.sec.gov/Archives/edgar/data/1060955/000162828026007449/iconpressrelease_finalvers.htm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Non-Reliance on Previously Issued Financial Statements y conclusión de la investigación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https://www.sec.gov/Archives/edgar/data/1060955/000162828026028107/a202504292non-reliance6k.htm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Convocatoria de la junta general anual de 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https://www.sec.gov/Archives/edgar/data/1060955/000162828026045649/icon2026agmproxy.htm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Announces Results of Annual General Meeting 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https://www.sec.gov/Archives/edgar/data/1060955/000162828026051419/pressrelease-iconannounces.htm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Announces Results of Annual General Meeting 2025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https://www.sec.gov/Archives/edgar/data/1060955/000106095525000056/a202507pragmresultsv2clean.htm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announces results of Annual General Meeting and changes to the Board of Directors 2024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https://www.sec.gov/Archives/edgar/data/1060955/000106095524000061/pressreleasere2024agmresul.htm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ICON plc (presentados de mayo a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https://www.sec.gov/cgi-bin/browse-edgar?action=getcompany&amp;CIK=1060955&amp;type=4&amp;dateb=&amp;owner=include&amp;count=40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Artisan Partners sobre ICON plc (Amendment No. 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https://www.sec.gov/Archives/edgar/data/1060955/000119312526096046/xslSCHEDULE_13G_X01/primary_doc.xml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Wellington Management sobre ICON plc (Amendment No. 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https://www.sec.gov/Archives/edgar/data/1060955/000090221926000146/xslSCHEDULE_13G_X02/primary_doc.xml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Harris Associates sobre ICON plc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https://www.sec.gov/Archives/edgar/data/1060955/000081391726000033/xslSCHEDULE_13G_X02/primary_doc.xml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FMR LLC sobre ICON plc (Amendment No. 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https://www.sec.gov/Archives/edgar/data/1060955/000031506626002011/xslSCHEDULE_13G_X02/primary_doc.xml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Invesco Ltd. sobre ICON plc (Amendment No. 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https://www.sec.gov/Archives/edgar/data/1060955/000091420826000291/xslSCHEDULE_13G_X02/primary_doc.xml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Orbis Investment Management sobre ICON plc (Amendment No. 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https://www.sec.gov/Archives/edgar/data/1060955/000094059426000033/xslSCHEDULE_13G_X02/primary_doc.xml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Wellington Management sobre ICON plc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https://www.sec.gov/Archives/edgar/data/1060955/000090221925000379/xslSCHEDULE_13G_X01/primary_doc.xml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Issues Financial Guidance for Full Year 2025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https://www.sec.gov/Archives/edgar/data/1060955/000106095525000004/a2025financialguidancepres.htm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segundo trimestre de 2025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https://www.sec.gov/Archives/edgar/data/1060955/000106095525000055/q22025pressrelease.htm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Issues Financial Guidance for Full Year 2024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https://www.sec.gov/Archives/edgar/data/1060955/000115752324000036/a53879357ex99_1.htm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tercer trimestre de 2024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https://www.sec.gov/Archives/edgar/data/1060955/000106095524000084/q32024pressrelease.htm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Issues Financial Guidance for Full Year 2023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https://www.sec.gov/Archives/edgar/data/1060955/000115752323000035/a53189773_ex991.htm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cuarto trimestre y del ejercicio 2023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https://www.sec.gov/Archives/edgar/data/1060955/000106095524000007/q42023pressrelease.htm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Issues Financial Guidance for Full Year 2022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ene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https://www.sec.gov/Archives/edgar/data/1060955/000115752322000053/a52561668ex99_1.htm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cuarto trimestre y del ejercicio 2022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https://www.sec.gov/Archives/edgar/data/1060955/000115752323000335/a53337465ex99_1.htm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cuarto trimestre y del ejercicio 2021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https://www.sec.gov/Archives/edgar/data/1060955/000115752322000227/a52582858ex99_1.htm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cuarto trimestre y del ejercicio 2019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https://www.sec.gov/Archives/edgar/data/1060955/000115752320000231/a52176102ex99_1.htm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primer trimestre de 2020 y retirada de la guía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https://www.sec.gov/Archives/edgar/data/1060955/000115752320000562/a52208045ex99_1.htm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Second Amended Complaint, In re ICON plc Securities Litigation, n.º 2:25-cv-00763 (E.D.N.Y.), alegaciones de los demandantes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Tribunal del Distrito Este de Nueva York (copia de Bleichmar Fonti &amp; Auld)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https://static.bfalaw.com/docs/70%20-%202026.06.26%20-%20Second%20Amended%20Complaint.pdf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de Nigel Clerkin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https://www.sec.gov/Archives/edgar/data/1060955/000195004725008386/xsl144X01/primary_doc.xml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de Barry Balfe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https://www.sec.gov/Archives/edgar/data/1060955/000195004726002141/xsl144X01/primary_doc.xml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de Barry Balfe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https://www.sec.gov/Archives/edgar/data/1060955/000195004726002393/xsl144X01/primary_doc.xml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de Stephen Cutler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https://www.sec.gov/Archives/edgar/data/1060955/000195004725007691/xsl144X01/primary_doc.xml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cotización de ICLR, S&amp;P 500, SPY, XLV, IBB, IQV, MEDP, CRL, FTRE y TMO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https://finance.yahoo.com/quote/ICLR/history/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Schedules Third Quarter 2026 Earnings Conference Call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https://www.sec.gov/Archives/edgar/data/1060955/000162828026065404/a20261008pressrelease-icon.htm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6-K: actualización sobre el calendario de resultados del 4T25 e investigación de prácticas contables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https://www.sec.gov/Archives/edgar/data/1060955/000162828026007449/a6kofpr-iconplcannounces.htm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(ICLR): estadísticas, estimaciones de analistas y recomendaciones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https://finance.yahoo.com/quote/ICLR/analysis/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Public Limited Company (ICLR): datos financieros y previsiones del consenso;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https://www.marketscreener.com/quote/stock/ICON-PUBLIC-LIMITED-COMPA-12685103/finances/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(ICLR)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https://stockanalysis.com/stocks/iclr/forecast/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(ICLR) Stock Forecast and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https://www.marketbeat.com/stocks/NASDAQ/ICLR/forecast/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financieros y previsiones del consenso de IQVIA, Medpace, Charles River, Fortrea, Thermo Fisher, Labcorp, WuXi AppTec y Hangzhou Tigermed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https://www.marketscreener.com/quote/stock/IQVIA-HOLDINGS-INC-40331382/finances/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Cotización, capitalización, deuda, caja y estimaciones de BPA de los comparables (IQV, MEDP, CRL, FTRE, TMO, LH, 2359.HK, 3347.HK)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https://finance.yahoo.com/quote/IQV/analysis/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ICON, IQVIA, Medpace, Charles River, Fortrea, Thermo Fisher y Labcorp (rentabilidad del capital invertido y por flujo libre)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https://stockanalysis.com/stocks/iclr/statistics/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Syneos Health: Definitive Proxy Statement (DEFM14A) de la fusión con Elliott, Patient Square y Veritas Capital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Syneos Health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https://www.sec.gov/Archives/edgar/data/1610950/000119312523176268/d450417ddefm14a.htm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to acquire PRA Health Sciences (comunicación 425)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https://www.sec.gov/Archives/edgar/data/1060955/000114036121005941/nc10020781x7_425.htm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PPD, Inc.: Definitive Information Statement (DEFM14C) de la fusión con Thermo Fisher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PPD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https://www.sec.gov/Archives/edgar/data/1793294/000119312521172340/d238109ddefm14c.htm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to Acquire Clario (nota de prensa,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https://www.sec.gov/Archives/edgar/data/97745/000009774525000156/thermofisherscientifictoac.htm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Form F-4/A de la fusión con PRA Health Sciences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https://www.sec.gov/Archives/edgar/data/1060955/000114036121014371/nt10020839x2_f4a.htm</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88,2 %</w:t>
      </w:r>
      <w:r>
        <w:t xml:space="preserve"> · Secciones con menos del 60 % de campos cubiertos: </w:t>
      </w:r>
      <w:r>
        <w:rPr>
          <w:b/>
          <w:bCs/>
        </w:rPr>
        <w:t xml:space="preserve">sentimiento</w:t>
      </w:r>
      <w:r>
        <w:t xml:space="preserve"> · Generado el 14 oct 2026.</w:t>
      </w:r>
    </w:p>
    <w:p>
      <w:pPr>
        <w:pStyle w:val="Nota"/>
        <w:spacing w:after="100"/>
      </w:pPr>
      <w:r>
        <w:t xml:space="preserve">Se valora la acción ordinaria de ICON plc en el Nasdaq (ICLR), en dólares, la misma divisa de las cuentas. El precio es el cierre del 8-oct-2026 (164,50 USD), porque la sesión del 9 no había cerrado a la fecha de corte [72]. Las acciones (77,68 M) son las 77,15 M en circulación a 30-jun-2026 más el efecto dilutivo del segundo trimestre; no hubo recompras en el primer semestre [6]. </w:t>
      </w:r>
      <w:r>
        <w:rPr>
          <w:b/>
        </w:rPr>
        <w:t xml:space="preserve">Las cuentas de 2023 y 2024 son las reexpresadas</w:t>
      </w:r>
      <w:r>
        <w:t xml:space="preserve"> en el 20-F de 2025 y los trimestres de 2024-2025, los del 6-K/A; 2019-2022 son las publicadas en su día, que la empresa no reexpresó [1, 2]. El EBITDA del informe es el contable (con pagos en acciones, reestructuración y costes de transacción dentro); solo se tratan como no recurrentes los deterioros de Data Solutions de 2025, la pérdida por su venta y los costes de la investigación. El consenso es de EBITDA y BPA ajustados por la empresa: el informe le resta 2,6 puntos de ventas para compararlo [78]. Los trimestres usan el EBITDA ajustado de ICON. Los 102,8 M de arrendamientos operativos no van al puente (US GAAP: su gasto ya está en el EBITDA) [6]. El puente es el balance de junio de 2026; la refinanciación de agosto cambia plazos y garantías, no el importe de la deuda [11]. Se excluyen de los comparables WuXi AppTec y Tigermed (China, con plusvalías dentro del EBITDA) [81].</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ICON plc (ICLR)</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164,50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(66,57 – 203,91)</c:v>
                </c:pt>
                <c:pt idx="1">
                  <c:v>Precio objetivo de los analistas (155,00 – 210,00)</c:v>
                </c:pt>
                <c:pt idx="2">
                  <c:v>Comparables: EV/EBITDA NTM (159,95 – 270,39)</c:v>
                </c:pt>
                <c:pt idx="3">
                  <c:v>Comparables: PER NTM (213,75 – 277,49)</c:v>
                </c:pt>
                <c:pt idx="4">
                  <c:v>Transacciones precedentes (EV/EBITDA) (144,55 – 314,84)</c:v>
                </c:pt>
                <c:pt idx="5">
                  <c:v>DCF (WACC y g ± 0,5) (136,72 – 178,80)</c:v>
                </c:pt>
                <c:pt idx="6">
                  <c:v>Escenarios (bajista – alcista) (103,26 – 194,06)</c:v>
                </c:pt>
                <c:pt idx="7">
                  <c:v>DCF con la prima implícita del mercado (4,2 %)</c:v>
                </c:pt>
                <c:pt idx="8">
                  <c:v>Precio actual (164,50)</c:v>
                </c:pt>
              </c:strCache>
            </c:strRef>
          </c:cat>
          <c:val>
            <c:numRef>
              <c:f>Hoja1!$B$2:$B$10</c:f>
              <c:numCache>
                <c:formatCode>#,##0</c:formatCode>
                <c:ptCount val="9"/>
                <c:pt idx="0">
                  <c:v>66.57</c:v>
                </c:pt>
                <c:pt idx="1">
                  <c:v>155</c:v>
                </c:pt>
                <c:pt idx="2">
                  <c:v>159.95</c:v>
                </c:pt>
                <c:pt idx="3">
                  <c:v>213.75</c:v>
                </c:pt>
                <c:pt idx="4">
                  <c:v>144.55</c:v>
                </c:pt>
                <c:pt idx="5">
                  <c:v>136.72</c:v>
                </c:pt>
                <c:pt idx="6">
                  <c:v>103.26</c:v>
                </c:pt>
                <c:pt idx="7">
                  <c:v>174.52</c:v>
                </c:pt>
                <c:pt idx="8">
                  <c:v>163.68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(66,57 – 203,91)</c:v>
                </c:pt>
                <c:pt idx="1">
                  <c:v>Precio objetivo de los analistas (155,00 – 210,00)</c:v>
                </c:pt>
                <c:pt idx="2">
                  <c:v>Comparables: EV/EBITDA NTM (159,95 – 270,39)</c:v>
                </c:pt>
                <c:pt idx="3">
                  <c:v>Comparables: PER NTM (213,75 – 277,49)</c:v>
                </c:pt>
                <c:pt idx="4">
                  <c:v>Transacciones precedentes (EV/EBITDA) (144,55 – 314,84)</c:v>
                </c:pt>
                <c:pt idx="5">
                  <c:v>DCF (WACC y g ± 0,5) (136,72 – 178,80)</c:v>
                </c:pt>
                <c:pt idx="6">
                  <c:v>Escenarios (bajista – alcista) (103,26 – 194,06)</c:v>
                </c:pt>
                <c:pt idx="7">
                  <c:v>DCF con la prima implícita del mercado (4,2 %)</c:v>
                </c:pt>
                <c:pt idx="8">
                  <c:v>Precio actual (164,50)</c:v>
                </c:pt>
              </c:strCache>
            </c:strRef>
          </c:cat>
          <c:val>
            <c:numRef>
              <c:f>Hoja1!$C$2:$C$10</c:f>
              <c:numCache>
                <c:formatCode>#,##0</c:formatCode>
                <c:ptCount val="9"/>
                <c:pt idx="0">
                  <c:v>137.34</c:v>
                </c:pt>
                <c:pt idx="1">
                  <c:v>55</c:v>
                </c:pt>
                <c:pt idx="2">
                  <c:v>110.44</c:v>
                </c:pt>
                <c:pt idx="3">
                  <c:v>63.74000000000001</c:v>
                </c:pt>
                <c:pt idx="4">
                  <c:v>170.28999999999996</c:v>
                </c:pt>
                <c:pt idx="5">
                  <c:v>42.08000000000001</c:v>
                </c:pt>
                <c:pt idx="6">
                  <c:v>90.8</c:v>
                </c:pt>
                <c:pt idx="7">
                  <c:v>37.84</c:v>
                </c:pt>
                <c:pt idx="8">
                  <c:v>1.6399999999999864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Primer cliente</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337.9</c:v>
                </c:pt>
                <c:pt idx="1">
                  <c:v>441.2</c:v>
                </c:pt>
                <c:pt idx="2">
                  <c:v>683.5</c:v>
                </c:pt>
                <c:pt idx="3">
                  <c:v>704</c:v>
                </c:pt>
                <c:pt idx="4">
                  <c:v>641.7</c:v>
                </c:pt>
                <c:pt idx="5">
                  <c:v>576.3</c:v>
                </c:pt>
              </c:numCache>
            </c:numRef>
          </c:val>
        </c:ser>
        <c:ser>
          <c:idx val="1"/>
          <c:order val="1"/>
          <c:tx>
            <c:strRef>
              <c:f>Hoja1!$C$1</c:f>
              <c:strCache>
                <c:ptCount val="1"/>
                <c:pt idx="0">
                  <c:v>Clientes 2 a 5</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754.9</c:v>
                </c:pt>
                <c:pt idx="1">
                  <c:v>1291.9</c:v>
                </c:pt>
                <c:pt idx="2">
                  <c:v>1506.1</c:v>
                </c:pt>
                <c:pt idx="3">
                  <c:v>1447.9</c:v>
                </c:pt>
                <c:pt idx="4">
                  <c:v>1422</c:v>
                </c:pt>
                <c:pt idx="5">
                  <c:v>1470</c:v>
                </c:pt>
              </c:numCache>
            </c:numRef>
          </c:val>
        </c:ser>
        <c:ser>
          <c:idx val="2"/>
          <c:order val="2"/>
          <c:tx>
            <c:strRef>
              <c:f>Hoja1!$D$1</c:f>
              <c:strCache>
                <c:ptCount val="1"/>
                <c:pt idx="0">
                  <c:v>Clientes 6 a 10</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350.9</c:v>
                </c:pt>
                <c:pt idx="1">
                  <c:v>752.3</c:v>
                </c:pt>
                <c:pt idx="2">
                  <c:v>1112.6</c:v>
                </c:pt>
                <c:pt idx="3">
                  <c:v>1168.1</c:v>
                </c:pt>
                <c:pt idx="4">
                  <c:v>1289</c:v>
                </c:pt>
                <c:pt idx="5">
                  <c:v>1164.9</c:v>
                </c:pt>
              </c:numCache>
            </c:numRef>
          </c:val>
        </c:ser>
        <c:ser>
          <c:idx val="3"/>
          <c:order val="3"/>
          <c:tx>
            <c:strRef>
              <c:f>Hoja1!$E$1</c:f>
              <c:strCache>
                <c:ptCount val="1"/>
                <c:pt idx="0">
                  <c:v>Clientes 11 a 25</c:v>
                </c:pt>
              </c:strCache>
            </c:strRef>
          </c:tx>
          <c:spPr>
            <a:solidFill>
              <a:srgbClr val="EDA100"/>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501.6</c:v>
                </c:pt>
                <c:pt idx="1">
                  <c:v>1077.1</c:v>
                </c:pt>
                <c:pt idx="2">
                  <c:v>1585.7</c:v>
                </c:pt>
                <c:pt idx="3">
                  <c:v>1747.7</c:v>
                </c:pt>
                <c:pt idx="4">
                  <c:v>1759.1</c:v>
                </c:pt>
                <c:pt idx="5">
                  <c:v>2072.3</c:v>
                </c:pt>
              </c:numCache>
            </c:numRef>
          </c:val>
        </c:ser>
        <c:ser>
          <c:idx val="4"/>
          <c:order val="4"/>
          <c:tx>
            <c:strRef>
              <c:f>Hoja1!$F$1</c:f>
              <c:strCache>
                <c:ptCount val="1"/>
                <c:pt idx="0">
                  <c:v>Resto de clientes</c:v>
                </c:pt>
              </c:strCache>
            </c:strRef>
          </c:tx>
          <c:spPr>
            <a:solidFill>
              <a:srgbClr val="E87BA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Hoja1!$F$2:$F$7</c:f>
              <c:numCache>
                <c:formatCode>#,##0</c:formatCode>
                <c:ptCount val="6"/>
                <c:pt idx="0">
                  <c:v>852</c:v>
                </c:pt>
                <c:pt idx="1">
                  <c:v>1918.3</c:v>
                </c:pt>
                <c:pt idx="2">
                  <c:v>2853.4</c:v>
                </c:pt>
                <c:pt idx="3">
                  <c:v>2987.2</c:v>
                </c:pt>
                <c:pt idx="4">
                  <c:v>3077.3</c:v>
                </c:pt>
                <c:pt idx="5">
                  <c:v>2967.9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Primer cliente</c:v>
                </c:pt>
                <c:pt idx="1">
                  <c:v>Clientes 2 a 5</c:v>
                </c:pt>
                <c:pt idx="2">
                  <c:v>Clientes 6 a 10</c:v>
                </c:pt>
                <c:pt idx="3">
                  <c:v>Clientes 11 a 25</c:v>
                </c:pt>
                <c:pt idx="4">
                  <c:v>Resto de clientes</c:v>
                </c:pt>
              </c:strCache>
            </c:strRef>
          </c:cat>
          <c:val>
            <c:numRef>
              <c:f>Hoja1!$B$2:$B$6</c:f>
              <c:numCache>
                <c:formatCode>General</c:formatCode>
                <c:ptCount val="5"/>
                <c:pt idx="0">
                  <c:v>7</c:v>
                </c:pt>
                <c:pt idx="1">
                  <c:v>17.8</c:v>
                </c:pt>
                <c:pt idx="2">
                  <c:v>14.1</c:v>
                </c:pt>
                <c:pt idx="3">
                  <c:v>25.1</c:v>
                </c:pt>
                <c:pt idx="4">
                  <c:v>36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Irlanda</c:v>
                </c:pt>
                <c:pt idx="1">
                  <c:v>Estados Unidos</c:v>
                </c:pt>
                <c:pt idx="2">
                  <c:v>Resto de Europa</c:v>
                </c:pt>
                <c:pt idx="3">
                  <c:v>Resto del mundo</c:v>
                </c:pt>
              </c:strCache>
            </c:strRef>
          </c:cat>
          <c:val>
            <c:numRef>
              <c:f>Hoja1!$B$2:$B$5</c:f>
              <c:numCache>
                <c:formatCode>0"%"</c:formatCode>
                <c:ptCount val="4"/>
                <c:pt idx="0">
                  <c:v>38.6</c:v>
                </c:pt>
                <c:pt idx="1">
                  <c:v>30.6</c:v>
                </c:pt>
                <c:pt idx="2">
                  <c:v>19.3</c:v>
                </c:pt>
                <c:pt idx="3">
                  <c:v>11.5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de gasto biofarmacéutico mundial en desarrollo de fármacos (estimación de IQVIA))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130000</c:v>
                </c:pt>
                <c:pt idx="1">
                  <c:v>150000</c:v>
                </c:pt>
                <c:pt idx="2">
                  <c:v>160000</c:v>
                </c:pt>
                <c:pt idx="3">
                  <c:v>184000</c:v>
                </c:pt>
                <c:pt idx="4">
                  <c:v>194000</c:v>
                </c:pt>
                <c:pt idx="5">
                  <c:v>199000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3</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ICON</c:v>
                </c:pt>
                <c:pt idx="1">
                  <c:v>IQVIA (Research &amp; Development Solutions)</c:v>
                </c:pt>
                <c:pt idx="2">
                  <c:v>Thermo Fisher (PPD, investigación clínica)</c:v>
                </c:pt>
                <c:pt idx="3">
                  <c:v>Syneos Health</c:v>
                </c:pt>
                <c:pt idx="4">
                  <c:v>Fortrea</c:v>
                </c:pt>
                <c:pt idx="5">
                  <c:v>Medpace</c:v>
                </c:pt>
                <c:pt idx="6">
                  <c:v>Charles River Laboratories</c:v>
                </c:pt>
                <c:pt idx="7">
                  <c:v>Parexel</c:v>
                </c:pt>
              </c:strCache>
            </c:strRef>
          </c:cat>
          <c:val>
            <c:numRef>
              <c:f>Hoja1!$B$2:$B$9</c:f>
              <c:numCache>
                <c:formatCode>0.0"%"</c:formatCode>
                <c:ptCount val="8"/>
                <c:pt idx="0">
                  <c:v>11.1</c:v>
                </c:pt>
                <c:pt idx="1">
                  <c:v>13.4</c:v>
                </c:pt>
                <c:pt idx="2">
                  <c:v>14</c:v>
                </c:pt>
                <c:pt idx="3">
                  <c:v>7.5</c:v>
                </c:pt>
                <c:pt idx="4">
                  <c:v>-32</c:v>
                </c:pt>
                <c:pt idx="5">
                  <c:v>21.1</c:v>
                </c:pt>
                <c:pt idx="6">
                  <c:v>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1</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Hoja1!$A$2:$A$18</c:f>
              <c:strCache>
                <c:ptCount val="17"/>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pt idx="15">
                  <c:v>2034e</c:v>
                </c:pt>
                <c:pt idx="16">
                  <c:v>2035e</c:v>
                </c:pt>
              </c:strCache>
            </c:strRef>
          </c:cat>
          <c:val>
            <c:numRef>
              <c:f>Hoja1!$B$2:$B$18</c:f>
              <c:numCache>
                <c:formatCode>#,##0</c:formatCode>
                <c:ptCount val="17"/>
                <c:pt idx="0">
                  <c:v>2805.8</c:v>
                </c:pt>
                <c:pt idx="1">
                  <c:v>2797.3</c:v>
                </c:pt>
                <c:pt idx="2">
                  <c:v>5480.8</c:v>
                </c:pt>
                <c:pt idx="3">
                  <c:v>7741.4</c:v>
                </c:pt>
                <c:pt idx="4">
                  <c:v>8054.9</c:v>
                </c:pt>
                <c:pt idx="5">
                  <c:v>8189</c:v>
                </c:pt>
                <c:pt idx="6">
                  <c:v>8251.3</c:v>
                </c:pt>
                <c:pt idx="7">
                  <c:v>8119</c:v>
                </c:pt>
                <c:pt idx="8">
                  <c:v>8403</c:v>
                </c:pt>
                <c:pt idx="9">
                  <c:v>8824</c:v>
                </c:pt>
                <c:pt idx="10">
                  <c:v>9265</c:v>
                </c:pt>
                <c:pt idx="11">
                  <c:v>9728</c:v>
                </c:pt>
                <c:pt idx="12">
                  <c:v>10166</c:v>
                </c:pt>
                <c:pt idx="13">
                  <c:v>10572</c:v>
                </c:pt>
                <c:pt idx="14">
                  <c:v>10942</c:v>
                </c:pt>
                <c:pt idx="15">
                  <c:v>11271</c:v>
                </c:pt>
                <c:pt idx="16">
                  <c:v>11609</c:v>
                </c:pt>
              </c:numCache>
            </c:numRef>
          </c:val>
        </c:ser>
        <c:ser>
          <c:idx val="1"/>
          <c:order val="1"/>
          <c:tx>
            <c:strRef>
              <c:f>Hoja1!$C$1</c:f>
              <c:strCache>
                <c:ptCount val="1"/>
                <c:pt idx="0">
                  <c:v>EBITDA</c:v>
                </c:pt>
              </c:strCache>
            </c:strRef>
          </c:tx>
          <c:spPr>
            <a:solidFill>
              <a:srgbClr val="EB6834"/>
            </a:solidFill>
            <a:ln w="9525">
              <a:noFill/>
            </a:ln>
          </c:spPr>
          <c:invertIfNegative val="0"/>
          <c:cat>
            <c:strRef>
              <c:f>Hoja1!$A$2:$A$18</c:f>
              <c:strCache>
                <c:ptCount val="17"/>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pt idx="15">
                  <c:v>2034e</c:v>
                </c:pt>
                <c:pt idx="16">
                  <c:v>2035e</c:v>
                </c:pt>
              </c:strCache>
            </c:strRef>
          </c:cat>
          <c:val>
            <c:numRef>
              <c:f>Hoja1!$C$2:$C$18</c:f>
              <c:numCache>
                <c:formatCode>#,##0</c:formatCode>
                <c:ptCount val="17"/>
                <c:pt idx="0">
                  <c:v>495</c:v>
                </c:pt>
                <c:pt idx="1">
                  <c:v>457.6</c:v>
                </c:pt>
                <c:pt idx="2">
                  <c:v>693.5</c:v>
                </c:pt>
                <c:pt idx="3">
                  <c:v>1364.8</c:v>
                </c:pt>
                <c:pt idx="4">
                  <c:v>1490.6</c:v>
                </c:pt>
                <c:pt idx="5">
                  <c:v>1520.9</c:v>
                </c:pt>
                <c:pt idx="6">
                  <c:v>1297.6</c:v>
                </c:pt>
                <c:pt idx="7">
                  <c:v>1129</c:v>
                </c:pt>
                <c:pt idx="8">
                  <c:v>1227</c:v>
                </c:pt>
                <c:pt idx="9">
                  <c:v>1341</c:v>
                </c:pt>
                <c:pt idx="10">
                  <c:v>1455</c:v>
                </c:pt>
                <c:pt idx="11">
                  <c:v>1566</c:v>
                </c:pt>
                <c:pt idx="12">
                  <c:v>1667</c:v>
                </c:pt>
                <c:pt idx="13">
                  <c:v>1744</c:v>
                </c:pt>
                <c:pt idx="14">
                  <c:v>1806</c:v>
                </c:pt>
                <c:pt idx="15">
                  <c:v>1860</c:v>
                </c:pt>
                <c:pt idx="16">
                  <c:v>1915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29.6</c:v>
                </c:pt>
                <c:pt idx="1">
                  <c:v>29.2</c:v>
                </c:pt>
                <c:pt idx="2">
                  <c:v>27.5</c:v>
                </c:pt>
                <c:pt idx="3">
                  <c:v>28.6</c:v>
                </c:pt>
                <c:pt idx="4">
                  <c:v>29.2</c:v>
                </c:pt>
                <c:pt idx="5">
                  <c:v>29</c:v>
                </c:pt>
                <c:pt idx="6">
                  <c:v>26.4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17.6</c:v>
                </c:pt>
                <c:pt idx="1">
                  <c:v>16.4</c:v>
                </c:pt>
                <c:pt idx="2">
                  <c:v>12.7</c:v>
                </c:pt>
                <c:pt idx="3">
                  <c:v>17.6</c:v>
                </c:pt>
                <c:pt idx="4">
                  <c:v>18.5</c:v>
                </c:pt>
                <c:pt idx="5">
                  <c:v>18.6</c:v>
                </c:pt>
                <c:pt idx="6">
                  <c:v>15.7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15.4</c:v>
                </c:pt>
                <c:pt idx="1">
                  <c:v>14</c:v>
                </c:pt>
                <c:pt idx="2">
                  <c:v>6.9</c:v>
                </c:pt>
                <c:pt idx="3">
                  <c:v>10.3</c:v>
                </c:pt>
                <c:pt idx="4">
                  <c:v>11.2</c:v>
                </c:pt>
                <c:pt idx="5">
                  <c:v>12.6</c:v>
                </c:pt>
                <c:pt idx="6">
                  <c:v>11.1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Hoja1!$E$2:$E$8</c:f>
              <c:numCache>
                <c:formatCode>0"%"</c:formatCode>
                <c:ptCount val="7"/>
                <c:pt idx="0">
                  <c:v>13.3</c:v>
                </c:pt>
                <c:pt idx="1">
                  <c:v>11.9</c:v>
                </c:pt>
                <c:pt idx="2">
                  <c:v>2.8</c:v>
                </c:pt>
                <c:pt idx="3">
                  <c:v>6.5</c:v>
                </c:pt>
                <c:pt idx="4">
                  <c:v>6.9</c:v>
                </c:pt>
                <c:pt idx="5">
                  <c:v>9</c:v>
                </c:pt>
                <c:pt idx="6">
                  <c:v>2.8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1">
                  <c:v>1</c:v>
                </c:pt>
                <c:pt idx="2">
                  <c:v>-1.4</c:v>
                </c:pt>
                <c:pt idx="3">
                  <c:v>-0.1</c:v>
                </c:pt>
                <c:pt idx="4">
                  <c:v>2.1</c:v>
                </c:pt>
                <c:pt idx="5">
                  <c:v>2.5</c:v>
                </c:pt>
                <c:pt idx="6">
                  <c:v>0.9</c:v>
                </c:pt>
                <c:pt idx="7">
                  <c:v>1.2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5">
                  <c:v>1.1</c:v>
                </c:pt>
                <c:pt idx="6">
                  <c:v>-1.9</c:v>
                </c:pt>
                <c:pt idx="7">
                  <c:v>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69</c:v>
                </c:pt>
                <c:pt idx="1">
                  <c:v>93</c:v>
                </c:pt>
                <c:pt idx="2">
                  <c:v>89</c:v>
                </c:pt>
                <c:pt idx="3">
                  <c:v>82</c:v>
                </c:pt>
                <c:pt idx="4">
                  <c:v>80</c:v>
                </c:pt>
                <c:pt idx="5">
                  <c:v>62</c:v>
                </c:pt>
                <c:pt idx="6">
                  <c:v>65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0</c:v>
                </c:pt>
                <c:pt idx="1">
                  <c:v>0</c:v>
                </c:pt>
                <c:pt idx="2">
                  <c:v>0</c:v>
                </c:pt>
                <c:pt idx="3">
                  <c:v>0</c:v>
                </c:pt>
                <c:pt idx="4">
                  <c:v>0</c:v>
                </c:pt>
                <c:pt idx="5">
                  <c:v>0</c:v>
                </c:pt>
                <c:pt idx="6">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4</c:v>
                </c:pt>
                <c:pt idx="1">
                  <c:v>9</c:v>
                </c:pt>
                <c:pt idx="2">
                  <c:v>8</c:v>
                </c:pt>
                <c:pt idx="3">
                  <c:v>5</c:v>
                </c:pt>
                <c:pt idx="4">
                  <c:v>8</c:v>
                </c:pt>
                <c:pt idx="5">
                  <c:v>11</c:v>
                </c:pt>
                <c:pt idx="6">
                  <c:v>12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373.6</c:v>
                </c:pt>
                <c:pt idx="1">
                  <c:v>527.1</c:v>
                </c:pt>
                <c:pt idx="2">
                  <c:v>735.3000000000001</c:v>
                </c:pt>
                <c:pt idx="3">
                  <c:v>421.09999999999997</c:v>
                </c:pt>
                <c:pt idx="4">
                  <c:v>1020.3</c:v>
                </c:pt>
                <c:pt idx="5">
                  <c:v>1118.6000000000001</c:v>
                </c:pt>
                <c:pt idx="6">
                  <c:v>862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374</c:v>
                </c:pt>
                <c:pt idx="1">
                  <c:v>332.3</c:v>
                </c:pt>
                <c:pt idx="2">
                  <c:v>153.2</c:v>
                </c:pt>
                <c:pt idx="3">
                  <c:v>505.3</c:v>
                </c:pt>
                <c:pt idx="4">
                  <c:v>554.2</c:v>
                </c:pt>
                <c:pt idx="5">
                  <c:v>739.1</c:v>
                </c:pt>
                <c:pt idx="6">
                  <c:v>229.3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25.7</c:v>
                </c:pt>
                <c:pt idx="1">
                  <c:v>24.1</c:v>
                </c:pt>
                <c:pt idx="2">
                  <c:v>4.2</c:v>
                </c:pt>
                <c:pt idx="3">
                  <c:v>5.6</c:v>
                </c:pt>
                <c:pt idx="4">
                  <c:v>6.9</c:v>
                </c:pt>
                <c:pt idx="5">
                  <c:v>7.6</c:v>
                </c:pt>
                <c:pt idx="6">
                  <c:v>6.8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10.1</c:v>
                </c:pt>
                <c:pt idx="1">
                  <c:v>10.1</c:v>
                </c:pt>
                <c:pt idx="2">
                  <c:v>10.1</c:v>
                </c:pt>
                <c:pt idx="3">
                  <c:v>10.1</c:v>
                </c:pt>
                <c:pt idx="4">
                  <c:v>10.1</c:v>
                </c:pt>
                <c:pt idx="5">
                  <c:v>10.1</c:v>
                </c:pt>
                <c:pt idx="6">
                  <c:v>10.1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23.1</c:v>
                </c:pt>
                <c:pt idx="1">
                  <c:v>19.2</c:v>
                </c:pt>
                <c:pt idx="2">
                  <c:v>3.1</c:v>
                </c:pt>
                <c:pt idx="3">
                  <c:v>6.1</c:v>
                </c:pt>
                <c:pt idx="4">
                  <c:v>6.3</c:v>
                </c:pt>
                <c:pt idx="5">
                  <c:v>7.9</c:v>
                </c:pt>
                <c:pt idx="6">
                  <c:v>2.5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-0.34</c:v>
                </c:pt>
                <c:pt idx="1">
                  <c:v>-1.07</c:v>
                </c:pt>
                <c:pt idx="2">
                  <c:v>6.75</c:v>
                </c:pt>
                <c:pt idx="3">
                  <c:v>3.2</c:v>
                </c:pt>
                <c:pt idx="4">
                  <c:v>2.28</c:v>
                </c:pt>
                <c:pt idx="5">
                  <c:v>1.9</c:v>
                </c:pt>
                <c:pt idx="6">
                  <c:v>2.12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c:v>
                </c:pt>
                <c:pt idx="1">
                  <c:v>2027</c:v>
                </c:pt>
                <c:pt idx="2">
                  <c:v>2028</c:v>
                </c:pt>
                <c:pt idx="3">
                  <c:v>2029</c:v>
                </c:pt>
                <c:pt idx="4">
                  <c:v>2030</c:v>
                </c:pt>
                <c:pt idx="5">
                  <c:v>2031</c:v>
                </c:pt>
                <c:pt idx="6">
                  <c:v>2032+</c:v>
                </c:pt>
              </c:strCache>
            </c:strRef>
          </c:cat>
          <c:val>
            <c:numRef>
              <c:f>Hoja1!$B$2:$B$8</c:f>
              <c:numCache>
                <c:formatCode>#,##0</c:formatCode>
                <c:ptCount val="7"/>
                <c:pt idx="0">
                  <c:v>0</c:v>
                </c:pt>
                <c:pt idx="1">
                  <c:v>0</c:v>
                </c:pt>
                <c:pt idx="2">
                  <c:v>0</c:v>
                </c:pt>
                <c:pt idx="3">
                  <c:v>1250</c:v>
                </c:pt>
                <c:pt idx="4">
                  <c:v>0</c:v>
                </c:pt>
                <c:pt idx="5">
                  <c:v>1000</c:v>
                </c:pt>
                <c:pt idx="6">
                  <c:v>1150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131.3</c:v>
                </c:pt>
                <c:pt idx="1">
                  <c:v>91.9</c:v>
                </c:pt>
                <c:pt idx="2">
                  <c:v>5914.5</c:v>
                </c:pt>
                <c:pt idx="3">
                  <c:v>0</c:v>
                </c:pt>
                <c:pt idx="4">
                  <c:v>71.8</c:v>
                </c:pt>
                <c:pt idx="5">
                  <c:v>84.2</c:v>
                </c:pt>
                <c:pt idx="6">
                  <c:v>2.5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0</c:v>
                </c:pt>
                <c:pt idx="1">
                  <c:v>0</c:v>
                </c:pt>
                <c:pt idx="2">
                  <c:v>0</c:v>
                </c:pt>
                <c:pt idx="3">
                  <c:v>0</c:v>
                </c:pt>
                <c:pt idx="4">
                  <c:v>0</c:v>
                </c:pt>
                <c:pt idx="5">
                  <c:v>0</c:v>
                </c:pt>
                <c:pt idx="6">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147</c:v>
                </c:pt>
                <c:pt idx="1">
                  <c:v>175.1</c:v>
                </c:pt>
                <c:pt idx="2">
                  <c:v>0</c:v>
                </c:pt>
                <c:pt idx="3">
                  <c:v>100</c:v>
                </c:pt>
                <c:pt idx="4">
                  <c:v>0</c:v>
                </c:pt>
                <c:pt idx="5">
                  <c:v>500.4</c:v>
                </c:pt>
                <c:pt idx="6">
                  <c:v>750.5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Otro externo</c:v>
                </c:pt>
                <c:pt idx="1">
                  <c:v>Ejecutivo</c:v>
                </c:pt>
                <c:pt idx="2">
                  <c:v>Independiente</c:v>
                </c:pt>
              </c:strCache>
            </c:strRef>
          </c:cat>
          <c:val>
            <c:numRef>
              <c:f>Hoja1!$B$2:$B$4</c:f>
              <c:numCache>
                <c:formatCode>0</c:formatCode>
                <c:ptCount val="3"/>
                <c:pt idx="0">
                  <c:v>2</c:v>
                </c:pt>
                <c:pt idx="1">
                  <c:v>1</c:v>
                </c:pt>
                <c:pt idx="2">
                  <c:v>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Artisan Partners</c:v>
                </c:pt>
                <c:pt idx="1">
                  <c:v>Wellington Management</c:v>
                </c:pt>
                <c:pt idx="2">
                  <c:v>FMR (Fidelity)</c:v>
                </c:pt>
                <c:pt idx="3">
                  <c:v>Invesco</c:v>
                </c:pt>
                <c:pt idx="4">
                  <c:v>Harris Associates</c:v>
                </c:pt>
                <c:pt idx="5">
                  <c:v>Orbis Investment Management</c:v>
                </c:pt>
                <c:pt idx="6">
                  <c:v>Consejeros y directivos (en conjunto)</c:v>
                </c:pt>
              </c:strCache>
            </c:strRef>
          </c:cat>
          <c:val>
            <c:numRef>
              <c:f>Hoja1!$B$2:$B$8</c:f>
              <c:numCache>
                <c:formatCode>0.0"%"</c:formatCode>
                <c:ptCount val="7"/>
                <c:pt idx="0">
                  <c:v>10.9</c:v>
                </c:pt>
                <c:pt idx="1">
                  <c:v>7.7</c:v>
                </c:pt>
                <c:pt idx="2">
                  <c:v>6.9</c:v>
                </c:pt>
                <c:pt idx="3">
                  <c:v>6.9</c:v>
                </c:pt>
                <c:pt idx="4">
                  <c:v>5.7</c:v>
                </c:pt>
                <c:pt idx="5">
                  <c:v>0</c:v>
                </c:pt>
                <c:pt idx="6">
                  <c:v>0.69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-3.2</c:v>
                </c:pt>
                <c:pt idx="1">
                  <c:v>49.1</c:v>
                </c:pt>
                <c:pt idx="2">
                  <c:v>15.2</c:v>
                </c:pt>
                <c:pt idx="3">
                  <c:v>33.3</c:v>
                </c:pt>
                <c:pt idx="4">
                  <c:v>13.2</c:v>
                </c:pt>
                <c:pt idx="5">
                  <c:v>58.8</c:v>
                </c:pt>
                <c:pt idx="6">
                  <c:v>-37.3</c:v>
                </c:pt>
                <c:pt idx="7">
                  <c:v>45.7</c:v>
                </c:pt>
                <c:pt idx="8">
                  <c:v>-25.9</c:v>
                </c:pt>
                <c:pt idx="9">
                  <c:v>-13.1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9.5</c:v>
                </c:pt>
                <c:pt idx="1">
                  <c:v>19.4</c:v>
                </c:pt>
                <c:pt idx="2">
                  <c:v>-6.2</c:v>
                </c:pt>
                <c:pt idx="3">
                  <c:v>28.9</c:v>
                </c:pt>
                <c:pt idx="4">
                  <c:v>16.3</c:v>
                </c:pt>
                <c:pt idx="5">
                  <c:v>26.9</c:v>
                </c:pt>
                <c:pt idx="6">
                  <c:v>-19.4</c:v>
                </c:pt>
                <c:pt idx="7">
                  <c:v>24.2</c:v>
                </c:pt>
                <c:pt idx="8">
                  <c:v>23.3</c:v>
                </c:pt>
                <c:pt idx="9">
                  <c:v>16.4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18.6</c:v>
                </c:pt>
                <c:pt idx="1">
                  <c:v>21.6</c:v>
                </c:pt>
                <c:pt idx="2">
                  <c:v>37.2</c:v>
                </c:pt>
                <c:pt idx="3">
                  <c:v>14.9</c:v>
                </c:pt>
                <c:pt idx="4">
                  <c:v>18</c:v>
                </c:pt>
                <c:pt idx="5">
                  <c:v>13.3</c:v>
                </c:pt>
                <c:pt idx="6">
                  <c:v>13.2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0.0"x"</c:formatCode>
                <c:ptCount val="7"/>
                <c:pt idx="0">
                  <c:v>18</c:v>
                </c:pt>
                <c:pt idx="1">
                  <c:v>18</c:v>
                </c:pt>
                <c:pt idx="2">
                  <c:v>18</c:v>
                </c:pt>
                <c:pt idx="3">
                  <c:v>18</c:v>
                </c:pt>
                <c:pt idx="4">
                  <c:v>18</c:v>
                </c:pt>
                <c:pt idx="5">
                  <c:v>18</c:v>
                </c:pt>
                <c:pt idx="6">
                  <c:v>18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ICON</c:v>
                </c:pt>
                <c:pt idx="1">
                  <c:v>IQVIA</c:v>
                </c:pt>
                <c:pt idx="2">
                  <c:v>Medpace</c:v>
                </c:pt>
                <c:pt idx="3">
                  <c:v>Charles River Laboratories</c:v>
                </c:pt>
                <c:pt idx="4">
                  <c:v>Fortrea</c:v>
                </c:pt>
                <c:pt idx="5">
                  <c:v>Thermo Fisher Scientific</c:v>
                </c:pt>
                <c:pt idx="6">
                  <c:v>Labcorp</c:v>
                </c:pt>
              </c:strCache>
            </c:strRef>
          </c:cat>
          <c:val>
            <c:numRef>
              <c:f>Hoja1!$B$2:$B$8</c:f>
              <c:numCache>
                <c:formatCode>0.0"x"</c:formatCode>
                <c:ptCount val="7"/>
                <c:pt idx="0">
                  <c:v>12.8</c:v>
                </c:pt>
                <c:pt idx="1">
                  <c:v>13.4</c:v>
                </c:pt>
                <c:pt idx="2">
                  <c:v>24.8</c:v>
                </c:pt>
                <c:pt idx="3">
                  <c:v>15.7</c:v>
                </c:pt>
                <c:pt idx="4">
                  <c:v>12.2</c:v>
                </c:pt>
                <c:pt idx="5">
                  <c:v>21.1</c:v>
                </c:pt>
                <c:pt idx="6">
                  <c:v>12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ICON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0.7</c:v>
                </c:pt>
              </c:numCache>
            </c:numRef>
          </c:xVal>
          <c:yVal>
            <c:numRef>
              <c:f>Hoja1!$C$2</c:f>
              <c:numCache>
                <c:formatCode>0.0"x"</c:formatCode>
                <c:ptCount val="1"/>
                <c:pt idx="0">
                  <c:v>12.8</c:v>
                </c:pt>
              </c:numCache>
            </c:numRef>
          </c:yVal>
          <c:smooth val="0"/>
        </c:ser>
        <c:ser>
          <c:idx val="1"/>
          <c:order val="1"/>
          <c:tx>
            <c:strRef>
              <c:f>Hoja1!$A$3</c:f>
              <c:strCache>
                <c:ptCount val="1"/>
                <c:pt idx="0">
                  <c:v>IQVIA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5.8</c:v>
                </c:pt>
              </c:numCache>
            </c:numRef>
          </c:xVal>
          <c:yVal>
            <c:numRef>
              <c:f>Hoja1!$C$3</c:f>
              <c:numCache>
                <c:formatCode>0.0"x"</c:formatCode>
                <c:ptCount val="1"/>
                <c:pt idx="0">
                  <c:v>13.4</c:v>
                </c:pt>
              </c:numCache>
            </c:numRef>
          </c:yVal>
          <c:smooth val="0"/>
        </c:ser>
        <c:ser>
          <c:idx val="2"/>
          <c:order val="2"/>
          <c:tx>
            <c:strRef>
              <c:f>Hoja1!$A$4</c:f>
              <c:strCache>
                <c:ptCount val="1"/>
                <c:pt idx="0">
                  <c:v>Medpace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6</c:v>
                </c:pt>
              </c:numCache>
            </c:numRef>
          </c:xVal>
          <c:yVal>
            <c:numRef>
              <c:f>Hoja1!$C$4</c:f>
              <c:numCache>
                <c:formatCode>0.0"x"</c:formatCode>
                <c:ptCount val="1"/>
                <c:pt idx="0">
                  <c:v>24.8</c:v>
                </c:pt>
              </c:numCache>
            </c:numRef>
          </c:yVal>
          <c:smooth val="0"/>
        </c:ser>
        <c:ser>
          <c:idx val="3"/>
          <c:order val="3"/>
          <c:tx>
            <c:strRef>
              <c:f>Hoja1!$A$5</c:f>
              <c:strCache>
                <c:ptCount val="1"/>
                <c:pt idx="0">
                  <c:v>Charles River Laboratories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-0.1</c:v>
                </c:pt>
              </c:numCache>
            </c:numRef>
          </c:xVal>
          <c:yVal>
            <c:numRef>
              <c:f>Hoja1!$C$5</c:f>
              <c:numCache>
                <c:formatCode>0.0"x"</c:formatCode>
                <c:ptCount val="1"/>
                <c:pt idx="0">
                  <c:v>15.7</c:v>
                </c:pt>
              </c:numCache>
            </c:numRef>
          </c:yVal>
          <c:smooth val="0"/>
        </c:ser>
        <c:ser>
          <c:idx val="4"/>
          <c:order val="4"/>
          <c:tx>
            <c:strRef>
              <c:f>Hoja1!$A$6</c:f>
              <c:strCache>
                <c:ptCount val="1"/>
                <c:pt idx="0">
                  <c:v>Fortrea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1.6</c:v>
                </c:pt>
              </c:numCache>
            </c:numRef>
          </c:xVal>
          <c:yVal>
            <c:numRef>
              <c:f>Hoja1!$C$6</c:f>
              <c:numCache>
                <c:formatCode>0.0"x"</c:formatCode>
                <c:ptCount val="1"/>
                <c:pt idx="0">
                  <c:v>12.2</c:v>
                </c:pt>
              </c:numCache>
            </c:numRef>
          </c:yVal>
          <c:smooth val="0"/>
        </c:ser>
        <c:ser>
          <c:idx val="5"/>
          <c:order val="5"/>
          <c:tx>
            <c:strRef>
              <c:f>Hoja1!$A$7</c:f>
              <c:strCache>
                <c:ptCount val="1"/>
                <c:pt idx="0">
                  <c:v>Thermo Fisher Scientific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5.9</c:v>
                </c:pt>
              </c:numCache>
            </c:numRef>
          </c:xVal>
          <c:yVal>
            <c:numRef>
              <c:f>Hoja1!$C$7</c:f>
              <c:numCache>
                <c:formatCode>0.0"x"</c:formatCode>
                <c:ptCount val="1"/>
                <c:pt idx="0">
                  <c:v>21.1</c:v>
                </c:pt>
              </c:numCache>
            </c:numRef>
          </c:yVal>
          <c:smooth val="0"/>
        </c:ser>
        <c:ser>
          <c:idx val="6"/>
          <c:order val="6"/>
          <c:tx>
            <c:strRef>
              <c:f>Hoja1!$A$8</c:f>
              <c:strCache>
                <c:ptCount val="1"/>
                <c:pt idx="0">
                  <c:v>Labcorp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5.3</c:v>
                </c:pt>
              </c:numCache>
            </c:numRef>
          </c:xVal>
          <c:yVal>
            <c:numRef>
              <c:f>Hoja1!$C$8</c:f>
              <c:numCache>
                <c:formatCode>0.0"x"</c:formatCode>
                <c:ptCount val="1"/>
                <c:pt idx="0">
                  <c:v>12</c:v>
                </c:pt>
              </c:numCache>
            </c:numRef>
          </c:yVal>
          <c:smooth val="0"/>
        </c:ser>
        <c:axId val="10"/>
        <c:axId val="20"/>
      </c:scatterChart>
      <c:valAx>
        <c:axId val="10"/>
        <c:scaling>
          <c:orientation val="minMax"/>
          <c:max val="8"/>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9"/>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Clario (datos de ensayos clínicos)</c:v>
                </c:pt>
                <c:pt idx="1">
                  <c:v>Syneos Health</c:v>
                </c:pt>
                <c:pt idx="2">
                  <c:v>Clinigen Group</c:v>
                </c:pt>
                <c:pt idx="3">
                  <c:v>UDG Healthcare</c:v>
                </c:pt>
                <c:pt idx="4">
                  <c:v>PPD</c:v>
                </c:pt>
                <c:pt idx="5">
                  <c:v>PRA Health Sciences</c:v>
                </c:pt>
                <c:pt idx="6">
                  <c:v>Huntsworth</c:v>
                </c:pt>
              </c:strCache>
            </c:strRef>
          </c:cat>
          <c:val>
            <c:numRef>
              <c:f>Hoja1!$B$2:$B$8</c:f>
              <c:numCache>
                <c:formatCode>0.0"x"</c:formatCode>
                <c:ptCount val="7"/>
                <c:pt idx="1">
                  <c:v>9.7</c:v>
                </c:pt>
                <c:pt idx="2">
                  <c:v>13.3</c:v>
                </c:pt>
                <c:pt idx="3">
                  <c:v>17.6</c:v>
                </c:pt>
                <c:pt idx="4">
                  <c:v>23.4</c:v>
                </c:pt>
                <c:pt idx="5">
                  <c:v>24.4</c:v>
                </c:pt>
                <c:pt idx="6">
                  <c:v>10.4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828</c:v>
                </c:pt>
                <c:pt idx="1">
                  <c:v>854</c:v>
                </c:pt>
                <c:pt idx="2">
                  <c:v>923</c:v>
                </c:pt>
                <c:pt idx="3">
                  <c:v>1001</c:v>
                </c:pt>
                <c:pt idx="4">
                  <c:v>1077</c:v>
                </c:pt>
                <c:pt idx="5">
                  <c:v>1149</c:v>
                </c:pt>
                <c:pt idx="6">
                  <c:v>1203</c:v>
                </c:pt>
                <c:pt idx="7">
                  <c:v>1243</c:v>
                </c:pt>
                <c:pt idx="8">
                  <c:v>1282</c:v>
                </c:pt>
                <c:pt idx="9">
                  <c:v>1318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6534</c:v>
                </c:pt>
                <c:pt idx="1">
                  <c:v>7863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164,50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103.26</c:v>
                </c:pt>
                <c:pt idx="1">
                  <c:v>154.88</c:v>
                </c:pt>
                <c:pt idx="2">
                  <c:v>194.06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164,50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(66,57 – 203,91)</c:v>
                </c:pt>
                <c:pt idx="1">
                  <c:v>Precio objetivo de los analistas (155,00 – 210,00)</c:v>
                </c:pt>
                <c:pt idx="2">
                  <c:v>Comparables: EV/EBITDA NTM (159,95 – 270,39)</c:v>
                </c:pt>
                <c:pt idx="3">
                  <c:v>Comparables: PER NTM (213,75 – 277,49)</c:v>
                </c:pt>
                <c:pt idx="4">
                  <c:v>Transacciones precedentes (EV/EBITDA) (144,55 – 314,84)</c:v>
                </c:pt>
                <c:pt idx="5">
                  <c:v>DCF (WACC y g ± 0,5) (136,72 – 178,80)</c:v>
                </c:pt>
                <c:pt idx="6">
                  <c:v>Escenarios (bajista – alcista) (103,26 – 194,06)</c:v>
                </c:pt>
                <c:pt idx="7">
                  <c:v>DCF con la prima implícita del mercado (4,2 %)</c:v>
                </c:pt>
                <c:pt idx="8">
                  <c:v>Precio actual (164,50)</c:v>
                </c:pt>
              </c:strCache>
            </c:strRef>
          </c:cat>
          <c:val>
            <c:numRef>
              <c:f>Hoja1!$B$2:$B$10</c:f>
              <c:numCache>
                <c:formatCode>#,##0</c:formatCode>
                <c:ptCount val="9"/>
                <c:pt idx="0">
                  <c:v>66.57</c:v>
                </c:pt>
                <c:pt idx="1">
                  <c:v>155</c:v>
                </c:pt>
                <c:pt idx="2">
                  <c:v>159.95</c:v>
                </c:pt>
                <c:pt idx="3">
                  <c:v>213.75</c:v>
                </c:pt>
                <c:pt idx="4">
                  <c:v>144.55</c:v>
                </c:pt>
                <c:pt idx="5">
                  <c:v>136.72</c:v>
                </c:pt>
                <c:pt idx="6">
                  <c:v>103.26</c:v>
                </c:pt>
                <c:pt idx="7">
                  <c:v>174.52</c:v>
                </c:pt>
                <c:pt idx="8">
                  <c:v>163.68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(66,57 – 203,91)</c:v>
                </c:pt>
                <c:pt idx="1">
                  <c:v>Precio objetivo de los analistas (155,00 – 210,00)</c:v>
                </c:pt>
                <c:pt idx="2">
                  <c:v>Comparables: EV/EBITDA NTM (159,95 – 270,39)</c:v>
                </c:pt>
                <c:pt idx="3">
                  <c:v>Comparables: PER NTM (213,75 – 277,49)</c:v>
                </c:pt>
                <c:pt idx="4">
                  <c:v>Transacciones precedentes (EV/EBITDA) (144,55 – 314,84)</c:v>
                </c:pt>
                <c:pt idx="5">
                  <c:v>DCF (WACC y g ± 0,5) (136,72 – 178,80)</c:v>
                </c:pt>
                <c:pt idx="6">
                  <c:v>Escenarios (bajista – alcista) (103,26 – 194,06)</c:v>
                </c:pt>
                <c:pt idx="7">
                  <c:v>DCF con la prima implícita del mercado (4,2 %)</c:v>
                </c:pt>
                <c:pt idx="8">
                  <c:v>Precio actual (164,50)</c:v>
                </c:pt>
              </c:strCache>
            </c:strRef>
          </c:cat>
          <c:val>
            <c:numRef>
              <c:f>Hoja1!$C$2:$C$10</c:f>
              <c:numCache>
                <c:formatCode>#,##0</c:formatCode>
                <c:ptCount val="9"/>
                <c:pt idx="0">
                  <c:v>137.34</c:v>
                </c:pt>
                <c:pt idx="1">
                  <c:v>55</c:v>
                </c:pt>
                <c:pt idx="2">
                  <c:v>110.44</c:v>
                </c:pt>
                <c:pt idx="3">
                  <c:v>63.74000000000001</c:v>
                </c:pt>
                <c:pt idx="4">
                  <c:v>170.28999999999996</c:v>
                </c:pt>
                <c:pt idx="5">
                  <c:v>42.08000000000001</c:v>
                </c:pt>
                <c:pt idx="6">
                  <c:v>90.8</c:v>
                </c:pt>
                <c:pt idx="7">
                  <c:v>37.84</c:v>
                </c:pt>
                <c:pt idx="8">
                  <c:v>1.6399999999999864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