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MSCI Inc.</w:t>
      </w:r>
    </w:p>
    <w:p>
      <w:pPr>
        <w:spacing w:after="60"/>
        <w:rPr>
          <w:color w:val="52514E"/>
          <w:sz w:val="22"/>
          <w:szCs w:val="22"/>
        </w:rPr>
      </w:pPr>
      <w:r>
        <w:rPr>
          <w:color w:val="52514E"/>
          <w:sz w:val="22"/>
          <w:szCs w:val="22"/>
        </w:rPr>
        <w:t xml:space="preserve">MSCI · New York Stock Exchange · ISIN US55354G1004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560,82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689,12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+24,3 % (base +22,6 %)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411,68 USD · mercado 461,59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40.884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20,2x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MSCI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MSCI / US55354G1004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Capital Markets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Nueva York · 1969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https://www.msci.com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560,82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501,08 – 644,77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40.884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47.106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689,12 USD</w:t>
      </w:r>
      <w:r>
        <w:t xml:space="preserve"> frente a 560,82 · Rentabilidad a 12 meses </w:t>
      </w:r>
      <w:r>
        <w:rPr>
          <w:b/>
          <w:bCs/>
        </w:rPr>
        <w:t xml:space="preserve">+24,3 % (base +22,6 %)</w:t>
      </w:r>
      <w:r>
        <w:t xml:space="preserve"> · Valor intrínseco 411,68 USD · con la prima implícita del mercado: 461,59 (-17,7 %) · Alcista / bajista -12,2 % / -51,2 %</w:t>
      </w:r>
    </w:p>
    <w:p>
      <w:pPr>
        <w:spacing w:after="100"/>
      </w:pPr>
      <w:r>
        <w:rPr>
          <w:b/>
        </w:rPr>
        <w:t xml:space="preserve">La recomendación y por qué.</w:t>
      </w:r>
      <w:r>
        <w:t xml:space="preserve"> Mantener, con convicción media. A 560,82 USD, nuestro objetivo a 12 meses es 701,04 USD (+26,4 % ponderado con dividendo, +28,6 % el base), por encima del objetivo medio de los analistas (677,65), pero el valor intrínseco es 411,68 USD, un 26,6 % por debajo del precio, y la regla exige valor real ≥ precio para comprar. La rentabilidad a 12 meses sale de que el PER adelantado (25,9 veces nuestro BPA ajustado de 2027) recupere la mitad de la distancia a su mediana de 34,6; no hay mejora de beneficio por encima del consenso. La convicción es media porque las dos reglas del valor intrínseco coinciden (Vender) y la de 12 meses da Mantener lejos de sus umbrales; subiría con un precio por debajo de 411,68 o con un run rate de suscripciones creciendo más del 10 %.</w:t>
      </w:r>
    </w:p>
    <w:p>
      <w:pPr>
        <w:spacing w:after="100"/>
      </w:pPr>
      <w:r>
        <w:rPr>
          <w:b/>
        </w:rPr>
        <w:t xml:space="preserve">El negocio.</w:t>
      </w:r>
      <w:r>
        <w:t xml:space="preserve"> MSCI es el segundo proveedor mundial de índices (24,9 % de un mercado de 7.200 M USD) con un foso amplio: los ETF y los mandatos replican el MSCI World y el Emerging Markets, la retención es del 95,3 % y el margen EBITDA del 61 % [3, 17]. El ROIC del 44,5 % supera en 34 puntos al WACC del 10,30 %: es una empresa de calidad (veredicto: Sí). La calidad sostiene el crecimiento que proyectamos (7,7 % anual, por debajo de la década): no necesita capital ni ganar cuota.</w:t>
      </w:r>
    </w:p>
    <w:p>
      <w:pPr>
        <w:spacing w:after="100"/>
      </w:pPr>
      <w:r>
        <w:rPr>
          <w:b/>
        </w:rPr>
        <w:t xml:space="preserve">Finanzas.</w:t>
      </w:r>
      <w:r>
        <w:t xml:space="preserve"> Ingresos de 3.333,8 M en 12 meses (+12,2 % en el 2T26), caja libre de 1.492,5 M y deuda neta de ≈ 6.070 M (3,0 veces el EBITDA), usada para recomprar: patrimonio negativo, sin problema de solvencia [2, 3]. El BPA ajustado creció un 18,5 % en el 2T26, pero Analytics perdió margen (46,5 %) y S&amp;C apenas crece.</w:t>
      </w:r>
    </w:p>
    <w:p>
      <w:pPr>
        <w:spacing w:after="100"/>
      </w:pPr>
      <w:r>
        <w:rPr>
          <w:b/>
        </w:rPr>
        <w:t xml:space="preserve">Equipo y gobierno.</w:t>
      </w:r>
      <w:r>
        <w:t xml:space="preserve"> Fernandez (3,08 % del capital) compró 12,5 M USD en el mercado en 12 meses, una señal fuerte [27]. Resta la concentración de cargos tras la jubilación de Pettit y la salida del director contable, sin sustituto [14, 26].</w:t>
      </w:r>
    </w:p>
    <w:p>
      <w:pPr>
        <w:spacing w:after="100"/>
      </w:pPr>
      <w:r>
        <w:rPr>
          <w:b/>
        </w:rPr>
        <w:t xml:space="preserve">Valoración.</w:t>
      </w:r>
      <w:r>
        <w:t xml:space="preserve"> El DCF da 412,24 USD y el inverso dice que el precio exige crecer un 11,7 % anual hasta 2033 frente a nuestro 7,1 %; con la prima del mercado el valor sube a 461,59, aún por debajo. Los comparables cotizan a 14 veces EBITDA y 23,5 veces beneficio frente a 20,2 y 26,3 de MSCI. El mercado paga la calidad; nosotros la vemos, pero no a este precio con el bono al 5,2 %.</w:t>
      </w:r>
    </w:p>
    <w:p>
      <w:pPr>
        <w:spacing w:after="100"/>
      </w:pPr>
      <w:r>
        <w:rPr>
          <w:b/>
        </w:rPr>
        <w:t xml:space="preserve">Riesgos y catalizadores.</w:t>
      </w:r>
      <w:r>
        <w:t xml:space="preserve"> Una caída de las bolsas (las comisiones sobre activos son el 25 % de los ingresos y crecen un 26,6 %) llevaría al bajista (273,94 USD); nuevas rebajas de tarifas de las grandes gestoras; y la IA, que no amenaza a Index pero sí a Analytics y S&amp;C (≈ 34 % de los ingresos). Riesgo de que la IA se coma el negocio: medio-bajo en el conjunto. Los foros están divididos y cansados de una acción plana cinco años, sin euforia ni capitulación. Catalizadores: resultados del 3T26 el 20-oct y la segunda rebaja a BlackRock en enero de 2027.</w:t>
      </w:r>
    </w:p>
    <w:p>
      <w:pPr>
        <w:spacing w:after="100"/>
      </w:pPr>
      <w:r>
        <w:rPr>
          <w:b/>
        </w:rPr>
        <w:t xml:space="preserve">Qué cambiaría la decisión.</w:t>
      </w:r>
      <w:r>
        <w:t xml:space="preserve"> Compraríamos por debajo de 411,68 USD; venderíamos por encima de 787,49. Pasaríamos a Vender si el run rate de suscripciones crece por debajo del 6 % o la retención baja del 93 %; a Comprar si el precio cae al valor intrínseco con el crecimiento intacto.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689,12 USD</w:t>
      </w:r>
      <w:r>
        <w:t xml:space="preserve"> (rentabilidad +24,3 % (base +22,6 %)) · Valor intrínseco: 411,68 USD (-26,6 % sobre 560,82) · con la prima implícita del mercado: 461,59 (-17,7 %)</w:t>
      </w:r>
    </w:p>
    <w:p>
      <w:pPr>
        <w:spacing w:after="100"/>
      </w:pPr>
      <w:r>
        <w:t xml:space="preserve">MSCI es un peaje sobre la indexación mundial: el 57 % de sus ingresos y el 74 % de su EBITDA de segmentos vienen de índices que replican ETF y fondos, con un margen del 77,8 % [3]. El 97 % de los ingresos es recurrente, la retención es del 95 % y el ROIC del 44,5 %. En diez años los ingresos crecieron al 11,8 % anual y las acciones bajaron un 24 % por las recompras [1].</w:t>
      </w:r>
    </w:p>
    <w:p>
      <w:pPr>
        <w:spacing w:after="100"/>
      </w:pPr>
      <w:r>
        <w:t xml:space="preserve">El precio de 560,82 USD descuenta un crecimiento de los ingresos del 11,7 % anual en 2027-2033, o una rentabilidad del 8,0 % frente a un WACC del 10,3 %. Cotiza a 26,3 veces el beneficio de los próximos 12 meses y 20,2 veces el EBITDA, con prima sobre todos sus comparables, pero un 15-21 % por debajo de su media de ocho años.</w:t>
      </w:r>
    </w:p>
    <w:p>
      <w:pPr>
        <w:spacing w:after="100"/>
      </w:pPr>
      <w:r>
        <w:t xml:space="preserve">El mercado acierta en la calidad y probablemente en el múltiplo a 12 meses: la acción está barata frente a su historia y la regla común le da +26 %. Pero para invertir hay que creer que el crecimiento vuelve al 11-12 % (o que los tipos bajan mucho), con la mayor cliente rebajando tarifas y la IA presionando a un tercio del negocio. No lo creemos a este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689,12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 × 21,35 = 486,78 · 28,5x × 23,86 = 680,01 · 36,3x × 25,06 = 909,68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 / 22,6 %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677,65 (nuestro base +0,3 %)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411,68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 -51,2 %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10,3 % y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frente a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411,68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411,68 y 774,24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774,24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411,68 USD con el crecimiento de suscripciones por encima del 7 %: Comprar.</w:t>
      </w:r>
    </w:p>
    <w:p>
      <w:pPr>
        <w:pStyle w:val="ListParagraph"/>
        <w:numPr>
          <w:ilvl w:val="0"/>
          <w:numId w:val="2"/>
        </w:numPr>
        <w:spacing w:after="60"/>
      </w:pPr>
      <w:r>
        <w:t xml:space="preserve">Precio por encima de 787,49 USD: Vender.</w:t>
      </w:r>
    </w:p>
    <w:p>
      <w:pPr>
        <w:pStyle w:val="ListParagraph"/>
        <w:numPr>
          <w:ilvl w:val="0"/>
          <w:numId w:val="2"/>
        </w:numPr>
        <w:spacing w:after="60"/>
      </w:pPr>
      <w:r>
        <w:t xml:space="preserve">Run rate orgánico de suscripciones por debajo del 6 % en el 3T26 o el 4T26: revisar a la baja el caso base y probablemente Vender.</w:t>
      </w:r>
    </w:p>
    <w:p>
      <w:pPr>
        <w:pStyle w:val="ListParagraph"/>
        <w:numPr>
          <w:ilvl w:val="0"/>
          <w:numId w:val="2"/>
        </w:numPr>
        <w:spacing w:after="60"/>
      </w:pPr>
      <w:r>
        <w:t xml:space="preserve">Bono a 10 años de EE. UU. por debajo del 4 %: el DCF sube ≈ 15 % y se acerca al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MSCI repite la década pasada: crecimiento del 11-12 % y múltiplo de 26-30 veces sostenido, con las comisiones sobre activos empujadas por unas bolsas en máximos y la IA como palanca de producto.</w:t>
      </w:r>
    </w:p>
    <w:p>
      <w:pPr>
        <w:keepNext/>
        <w:spacing w:after="100"/>
      </w:pPr>
      <w:r>
        <w:rPr>
          <w:b/>
          <w:bCs/>
        </w:rPr>
        <w:t xml:space="preserve">Lo que creemos nosotros.</w:t>
      </w:r>
    </w:p>
    <w:p>
      <w:pPr>
        <w:spacing w:after="100"/>
      </w:pPr>
      <w:r>
        <w:t xml:space="preserve">Un crecimiento del 8-9 % en 2027-2028 y del 7 % de media: suscripciones al 7-8 %, Analytics y S&amp;C lentos, y precio a la baja en la mayor fuente de comisiones (BlackRock). Una gran empresa que vale unos 412 USD con el bono al 5,2 %.</w:t>
      </w:r>
    </w:p>
    <w:p>
      <w:pPr>
        <w:keepNext/>
        <w:spacing w:after="100"/>
      </w:pPr>
      <w:r>
        <w:rPr>
          <w:b/>
          <w:bCs/>
        </w:rPr>
        <w:t xml:space="preserve">Por qué podemos tener razón.</w:t>
      </w:r>
    </w:p>
    <w:p>
      <w:pPr>
        <w:spacing w:after="100"/>
      </w:pPr>
      <w:r>
        <w:t xml:space="preserve">La rebaja a BlackRock (contrato de enero de 2026, efectiva también en 2027) y la caída del margen de Analytics son hechos, no opiniones [3, 10]; y el crecimiento del 12-14 % de 2026 lo explican sobre todo las comisiones sobre activos, cíclicas.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60,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 en índices</w:t>
      </w:r>
      <w:r>
        <w:t xml:space="preserve">: margen de Index del 77,8 % y retención del 95,3 %.</w:t>
      </w:r>
    </w:p>
    <w:p>
      <w:pPr>
        <w:pStyle w:val="ListParagraph"/>
        <w:numPr>
          <w:ilvl w:val="0"/>
          <w:numId w:val="2"/>
        </w:numPr>
        <w:spacing w:after="60"/>
      </w:pPr>
      <w:r>
        <w:rPr>
          <w:b/>
        </w:rPr>
        <w:t xml:space="preserve">ROIC del 44,5 %</w:t>
      </w:r>
      <w:r>
        <w:t xml:space="preserve"> frente a un WACC del 10,30 %.</w:t>
      </w:r>
    </w:p>
    <w:p>
      <w:pPr>
        <w:pStyle w:val="ListParagraph"/>
        <w:numPr>
          <w:ilvl w:val="0"/>
          <w:numId w:val="2"/>
        </w:numPr>
        <w:spacing w:after="60"/>
      </w:pPr>
      <w:r>
        <w:rPr>
          <w:b/>
        </w:rPr>
        <w:t xml:space="preserve">Compras del primer ejecutivo</w:t>
      </w:r>
      <w:r>
        <w:t xml:space="preserve">: 12,5 M USD en el mercado en 12 meses.</w:t>
      </w:r>
    </w:p>
    <w:p>
      <w:pPr>
        <w:pStyle w:val="ListParagraph"/>
        <w:numPr>
          <w:ilvl w:val="0"/>
          <w:numId w:val="2"/>
        </w:numPr>
        <w:spacing w:after="60"/>
      </w:pPr>
      <w:r>
        <w:rPr>
          <w:b/>
        </w:rPr>
        <w:t xml:space="preserve">Barata frente a su historia</w:t>
      </w:r>
      <w:r>
        <w:t xml:space="preserve">: 25,9 veces BPA adelantado frente a una mediana de 34,6.</w:t>
      </w:r>
    </w:p>
    <w:p>
      <w:pPr>
        <w:pStyle w:val="ListParagraph"/>
        <w:numPr>
          <w:ilvl w:val="0"/>
          <w:numId w:val="2"/>
        </w:numPr>
        <w:spacing w:after="60"/>
      </w:pPr>
      <w:r>
        <w:rPr>
          <w:b/>
        </w:rPr>
        <w:t xml:space="preserve">Caja libre de 1.492,5 M</w:t>
      </w:r>
      <w:r>
        <w:t xml:space="preserve"> y recompras del 3 % del capital al año.</w:t>
      </w:r>
    </w:p>
    <w:p>
      <w:pPr>
        <w:pStyle w:val="Heading2"/>
      </w:pPr>
      <w:r>
        <w:t xml:space="preserve">En contra</w:t>
      </w:r>
    </w:p>
    <w:p>
      <w:pPr>
        <w:pStyle w:val="ListParagraph"/>
        <w:numPr>
          <w:ilvl w:val="0"/>
          <w:numId w:val="2"/>
        </w:numPr>
        <w:spacing w:after="60"/>
      </w:pPr>
      <w:r>
        <w:rPr>
          <w:b/>
        </w:rPr>
        <w:t xml:space="preserve">Valor intrínseco de 411,68 USD</w:t>
      </w:r>
      <w:r>
        <w:t xml:space="preserve">, un 26,6 % por debajo del precio.</w:t>
      </w:r>
    </w:p>
    <w:p>
      <w:pPr>
        <w:pStyle w:val="ListParagraph"/>
        <w:numPr>
          <w:ilvl w:val="0"/>
          <w:numId w:val="2"/>
        </w:numPr>
        <w:spacing w:after="60"/>
      </w:pPr>
      <w:r>
        <w:rPr>
          <w:b/>
        </w:rPr>
        <w:t xml:space="preserve">El precio exige crecer un 11,7 % al año</w:t>
      </w:r>
      <w:r>
        <w:t xml:space="preserve">, frente a nuestro 7,1 %.</w:t>
      </w:r>
    </w:p>
    <w:p>
      <w:pPr>
        <w:pStyle w:val="ListParagraph"/>
        <w:numPr>
          <w:ilvl w:val="0"/>
          <w:numId w:val="2"/>
        </w:numPr>
        <w:spacing w:after="60"/>
      </w:pPr>
      <w:r>
        <w:rPr>
          <w:b/>
        </w:rPr>
        <w:t xml:space="preserve">Rebajas de tarifas a BlackRock</w:t>
      </w:r>
      <w:r>
        <w:t xml:space="preserve">, el 10,8 % de los ingresos, en 2026 y 2027.</w:t>
      </w:r>
    </w:p>
    <w:p>
      <w:pPr>
        <w:pStyle w:val="ListParagraph"/>
        <w:numPr>
          <w:ilvl w:val="0"/>
          <w:numId w:val="2"/>
        </w:numPr>
        <w:spacing w:after="60"/>
      </w:pPr>
      <w:r>
        <w:rPr>
          <w:b/>
        </w:rPr>
        <w:t xml:space="preserve">Analytics pierde margen</w:t>
      </w:r>
      <w:r>
        <w:t xml:space="preserve"> (46,5 % frente a 52,1 %) y S&amp;C crece un 1,9 %.</w:t>
      </w:r>
    </w:p>
    <w:p>
      <w:pPr>
        <w:pStyle w:val="ListParagraph"/>
        <w:numPr>
          <w:ilvl w:val="0"/>
          <w:numId w:val="2"/>
        </w:numPr>
        <w:spacing w:after="60"/>
      </w:pPr>
      <w:r>
        <w:rPr>
          <w:b/>
        </w:rPr>
        <w:t xml:space="preserve">Deuda de 6.425 M</w:t>
      </w:r>
      <w:r>
        <w:t xml:space="preserve"> para recomprar a 26 veces el beneficio.</w:t>
      </w:r>
    </w:p>
    <w:p>
      <w:pPr>
        <w:pStyle w:val="Heading2"/>
      </w:pPr>
      <w:r>
        <w:t xml:space="preserve">Qué tiene que pasar para que la tesis funcione</w:t>
      </w:r>
    </w:p>
    <w:p>
      <w:pPr>
        <w:spacing w:after="100"/>
      </w:pPr>
      <w:r>
        <w:t xml:space="preserve">La tesis depende de que el run rate de suscripciones siga creciendo al 7-8 % y de que las comisiones sobre activos no caigan con los mercados. La señal de que no se cumple: dos trimestres seguidos con el crecimiento orgánico de suscripciones por debajo del 7 % o la retención por debajo del 94 %, o un run rate de comisiones sobre activos por debajo de 850 M.</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 rate orgánico de suscripciones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negocio recurrente sin mercados.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retención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aviso de IA o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 rate de comisiones sobre activos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948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Sensibilidad a los mercados y a las tarifas.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Analytics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más expuesto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 la propia política.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 / 20,2x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30,7x / 26,3x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MSCI nació en 1969 como Capital International, que publicó los primeros índices mundiales de renta variable; Morgan Stanley compró la licencia en 1986 y creó Morgan Stanley Capital International (MSCI) [1, 22]. Henry Fernandez la dirige desde 1998. Salió a bolsa en noviembre de 2007 y Morgan Stanley vendió su participación en 2009 [1]. Compró Barra (modelos de riesgo, 2004, por Morgan Stanley) y RiskMetrics (2010), base de Analytics y de la actual división ESG, y vendió negocios no estratégicos (ISS en 2014) [1]. Desde 2019 ha comprado datos de clima (Carbon Delta), inmobiliario (RCA, 2021) y capital privado (Burgiss, 2023) [1]. La palanca de los últimos diez años fue el boom de los ETF: los activos ligados a sus índices multiplicaron las comisiones y el margen pasó del 45 % al 61 %.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International publica los primeros índices mundiales de acciones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Morgan Stanley licencia los índices: nace MSCI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Henry Fernandez, primer ejecutivo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Barra (modelos de riesgo, base de Analytics)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separación total de Morgan Stanley en 2009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RiskMetrics (y de su negocio ESG, origen de Sustainability and Climate)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ISS; empieza la política de recompras con deuda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Real Capital Analytics por ≈ 950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total de Burgiss (capital privado) por 696,8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 de ETF con BlackRock prorrogado hasta 2035 con tarifas más bajas; compras de Compass, Vantager, PM Insights y First Street [3,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MSCI vende herramientas de decisión a la industria de inversión: 6.800 clientes en más de 100 países [1]. </w:t>
      </w:r>
      <w:r>
        <w:rPr>
          <w:b/>
        </w:rPr>
        <w:t xml:space="preserve">Index</w:t>
      </w:r>
      <w:r>
        <w:t xml:space="preserve"> (57 % de los ingresos de 2025) calcula índices de renta variable de referencia (MSCI World, Emerging Markets, ACWI) que se licencian a gestoras, bancos y bolsas por suscripción y por comisión sobre los activos de los ETF y fondos que los replican [1]. </w:t>
      </w:r>
      <w:r>
        <w:rPr>
          <w:b/>
        </w:rPr>
        <w:t xml:space="preserve">Analytics</w:t>
      </w:r>
      <w:r>
        <w:t xml:space="preserve"> (23 %) vende modelos de riesgo y analítica de carteras (Barra, RiskMetrics) a gestoras, hedge funds y bancos. </w:t>
      </w:r>
      <w:r>
        <w:rPr>
          <w:b/>
        </w:rPr>
        <w:t xml:space="preserve">Sustainability and Climate</w:t>
      </w:r>
      <w:r>
        <w:t xml:space="preserve"> (11 %) vende calificaciones ESG y datos y modelos de clima. </w:t>
      </w:r>
      <w:r>
        <w:rPr>
          <w:b/>
        </w:rPr>
        <w:t xml:space="preserve">Activos privados</w:t>
      </w:r>
      <w:r>
        <w:t xml:space="preserve"> (9 %) vende datos de rentabilidad de fondos de capital privado (Burgiss) e inmobiliario (RCA). Clientes tipo: gestoras (≈ la mitad del run rate), propietarios de activos, hedge funds, bancos e intermediarios, gestores patrimoniales [1, 3].</w:t>
      </w:r>
    </w:p>
    <w:p>
      <w:pPr>
        <w:pStyle w:val="Heading2"/>
      </w:pPr>
      <w:r>
        <w:t xml:space="preserve">Cómo gana dinero</w:t>
      </w:r>
    </w:p>
    <w:p>
      <w:pPr>
        <w:spacing w:after="100"/>
      </w:pPr>
      <w:r>
        <w:t xml:space="preserve">El 97 % de los ingresos de 2025 es recurrente: 72,7 % suscripciones anuales (2.278,7 M) y 24,6 % comisiones sobre activos (770,7 M); solo el 2,7 % es puntual [1]. Las comisiones sobre activos son puntos básicos sobre el patrimonio de los ETF y fondos indexados: suben con la bolsa y con las entradas de dinero, y caen con ellas (un 22 % de caída de los mercados en 2022 recortó los ingresos de Index) [1, 3]. Las suscripciones suben con el número de usuarios y módulos y con subidas de precio anuales; la retención está en el 93-95 % [3]. Como los índices y modelos se calculan una vez y se venden muchas, el coste marginal es casi nulo: el margen EBITDA de Index es del 77,8 % frente al 46,5 % de Analytics y el 22,9 % de activos privados (2T26) [3]. Estacionalidad baja; el 4T concentra las renovaciones y las ventas nuevas.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Index</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Analytics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Sustainability and Climate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activos privados (Private Capital Solutions y Real Assets)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Index</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Analytics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Sustainability and Climate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activos privados (Private Capital Solutions y Real Assets)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moderada con un cliente crítico: BlackRock supuso el 10,8 % de los ingresos de 2025 (10,2 % en 2024 y 9,8 % en 2023) y el 18,7 % de los de Index, casi todo comisiones de sus iShares [1]. El contrato de ETF con BlackRock se prorrogó en enero de 2026 hasta marzo de 2035, con renovaciones automáticas de tres años, a cambio de </w:t>
      </w:r>
      <w:r>
        <w:rPr>
          <w:b/>
        </w:rPr>
        <w:t xml:space="preserve">rebajar las tarifas de ciertos fondos desde enero de 2026 y otra vez desde enero de 2027</w:t>
      </w:r>
      <w:r>
        <w:t xml:space="preserve">, según el TER y los activos de cada fondo («intercambio de precio por volumen») [10]. Es la prueba de los límites del poder de precios en las comisiones sobre activos; en suscripciones, la retención del 95,3 % y el run rate orgánico del 8,1 % muestran poder de precios sostenido [3]. Ningún otro cliente llega al 10 %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 rate total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anualizado contratado; el de comisiones sobre activos sube con los mercados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run rate de suscripciones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Index 11,1 %, Analytics 6,6 %, S&amp;C 3,2 %, activos privados 8,3 %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retención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4T25 bajó al 93,4 % por cancelaciones en S&amp;C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 rate de comisiones sobre activos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757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948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por los activos de ETF ligados a índices MSCI; +190,9 M en un año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BlackRock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96,5 % de lo que paga BlackRock son comisiones sobre activos de sus ETF; contrato prorrogado hasta 2035 con rebaja de tarifas en 2026 y 2027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6.268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 en países emergentes (India, México, Filipinas…), base del margen [1,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proveedores de índices</w:t>
      </w:r>
      <w:r>
        <w:t xml:space="preserve"> (licencias de índices y comisiones sobre activos indexados), que da el 57 % de los ingresos y el 74 % del EBITDA de segmentos de MSCI; ámbito mundial [1, 17]. Analytics y S&amp;C compiten en el mercado más amplio de datos y analítica financiera (≈ 49.200 M USD en 2025, +6,5 %, Burton-Taylor), del que MSCI tiene menos del 3 % [19, 20]. Usamos la serie de ingresos de la industria de índices de Burton-Taylor (2022 y 2025 publicados; 2021 y 2024 deducidos de los crecimientos publicados) y la contrastamos con la del gasto en datos de la ficha sectorial [17,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7.200 M USD de ingresos mundiales de proveedores de índices en 2025, +13,4 % (Burton-Taylor) [17]; 49.200 M de gasto en datos y analítica financiera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mundiales de proveedores de índices; 2021 y 2024 deducidos de los crecimientos publicados; 2030e, estimación propia al 8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la gestión activa a la indexada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Run rate de comisiones sobre activos de MSCI +25 % interanual en jun-26, con récord de activos en ETF ligados a sus índices [3]; la industria de índices creció un 13,4 % en 2025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Nivel de los mercados de renta variable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comisiones sobre activos (24,6 % de los ingresos) siguen al valor de los activos: en 2022 la acción cayó un 24 % con el mercado y las comisiones bajaron [1,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tarifas de las grandes gestoras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tarifas a BlackRock en 2026 y 2027 a cambio de prorrogar hasta 2035 [10]; los ETF compiten por TER y las comisiones son un % del TER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privados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Run rate de activos privados +8,0 % (Private Capital Solutions); S&amp;P compró With Intelligence por 1.800 M y BlackRock Preqin por 3.200 M [3,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ESG y clima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Run rate de S&amp;C +1,9 % en jun-26 frente a +10 % en 2025; ventas netas nulas o negativas previstas por cancelaciones en América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ha lanzado el doble de productos en 2026 que en todo 2024 con IA [3]; a la vez abarata la analítica genérica (Analytics, margen 46,5 % en el 2T26 frente al 52,1 %) [3,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proveedores reúnen más de dos tercios de los ingresos de índices: S&amp;P DJI 1.850 M, MSCI 1.790 M y FTSE Russell 1.290 M en 2025 [17]. Compiten por nuevos productos, no por precio en los índices de referencia.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 es el 18,7 % de Index y consiguió rebajas en 2026 y 2027 [1, 10]; Vanguard ya cambió de MSCI a FTSE y CRSP en 2012 para ahorrar costes [1]. En suscripciones el cliente está atomizado y la retención es del 95 %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personal (71 % en países emergentes) y datos de bolsas; el margen de Index del 77,8 % muestra que no capturan valor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índice de referencia tarda décadas en ganar activos replicados y mandatos; los autoindexados de gestoras y los índices de bajo coste (Solactive, CRSP) entran por la parte baja [1,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Índices propios de gestoras, gestión directa indexada y analítica construida con IA por los clientes sustituyen parte de Analytics y S&amp;C; los índices de referencia son difíciles de sustituir por los mandatos que los citan [1, 19].</w:t>
            </w:r>
          </w:p>
        </w:tc>
      </w:tr>
    </w:tbl>
    <w:p>
      <w:pPr>
        <w:spacing w:after="160" w:before="0"/>
      </w:pPr>
    </w:p>
    <w:p>
      <w:pPr>
        <w:pStyle w:val="Heading2"/>
      </w:pPr>
      <w:r>
        <w:t xml:space="preserve">Ciclo</w:t>
      </w:r>
    </w:p>
    <w:p>
      <w:pPr>
        <w:spacing w:after="100"/>
      </w:pPr>
      <w:r>
        <w:t xml:space="preserve">Mercados de acciones en máximos (S&amp;P 500 +17,5 % en 12 meses a 13-oct-2026) y entradas récord en ETF: las comisiones sobre activos crecen un 26,6 % [3]. Es la parte cíclica: en 2022 (bolsas −19 %) la acción de MSCI cayó un 24 % y el crecimiento de Index se frenó; en 2020 el sector aguantó por las suscripciones; 2008-2009 no lo verificamos con documentos primarios. Las suscripciones (73 % de los ingresos) apenas notan el ciclo [1, 19].</w:t>
      </w:r>
    </w:p>
    <w:p>
      <w:pPr>
        <w:pStyle w:val="Heading2"/>
      </w:pPr>
      <w:r>
        <w:t xml:space="preserve">Regulación</w:t>
      </w:r>
    </w:p>
    <w:p>
      <w:pPr>
        <w:spacing w:after="100"/>
      </w:pPr>
      <w:r>
        <w:t xml:space="preserve">Reglamento de Índices de Referencia (BMR) de la UE, revisado en 2025-2026, que exige autorización a los administradores de índices; MSCI está autorizado en la UE y en el Reino Unido [1, 19]. Reglamento europeo de calificaciones ESG (2024/3005), aplicable desde julio de 2026: autorización y supervisión de la ESMA, separación de actividades y transparencia de métodos; sube el coste de S&amp;C [24]. En EE. UU., la SEC estudió regular a los proveedores de índices como asesores (2022) sin norma final [1]. Riesgo político en ESG en EE. UU. (estados que limitan su uso) [19].</w:t>
      </w:r>
    </w:p>
    <w:p>
      <w:pPr>
        <w:pStyle w:val="Heading2"/>
      </w:pPr>
      <w:r>
        <w:t xml:space="preserve">Tendencias y disrupción</w:t>
      </w:r>
    </w:p>
    <w:p>
      <w:pPr>
        <w:spacing w:after="100"/>
      </w:pPr>
      <w:r>
        <w:t xml:space="preserve">Tres tendencias: (1) la indexación sigue ganando cuota a la gestión activa, y MSCI gana con los índices de mercados mundiales y emergentes y los índices a medida (run rate de suscripciones de Index +11,1 %) [3]; (2) la IA abarata construir analítica y datos, lo que presiona a Analytics y S&amp;C pero permite a MSCI lanzar productos más rápido [3]; (3) los mercados privados piden referencias y datos de rentabilidad, donde MSCI tiene la base de Burgiss y compite con Preqin (BlackRock) y With Intelligence (S&amp;P) [3,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proveedor mundial de índices por ingresos (1.790 M USD de 7.200 M en 2025, 24,9 %; S&amp;P DJI 25,7 %, FTSE Russell 17,9 %) [17]; en analítica de riesgo, uno de los cuatro grandes con Bloomberg, Axioma (SimCorp) y FactSet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(S&amp;P Dow Jones Indices)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índices (S&amp;P 500, Dow Jones); S&amp;P DJI es una empresa conjunta con CME (27 %). Ingresos y cuota de índices de Burton-Taylor; margen ajustado de su división de índices [17,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 (FTSE Russell)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Tercero en índices (Russell 2000, FTSE All-World); compite en índices mundiales y de renta fija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Bloomberg (índices y terminales)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líder en índices de renta fija y en analítica de carteras (PORT); competidor de Analytics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Analytics en analítica de carteras y riesgo; ventas y margen aproximados de la ficha sectorial [1,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en datos de riesgo, clima y ESG (Moody's Analytics); ventas y EBIT de 2025 del informe del 14-oct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índices Morningstar)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directo en calificaciones ESG (Sustainalytics) e índices para gestores patrimoniales; ventas de 12 meses de Stock Analysis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Cuantos más activos y mandatos usan el MSCI World o el Emerging Markets como referencia, más difícil es cambiarlo: los gestores activos se miden contra él y los ETF lo replican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del 95,3 % en suscripciones; cambiar de índice obliga a reescribir folletos y mandatos, y de modelo de riesgo a revalidar procesos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desde 1969 y autorizaciones de administrador de índices (BMR) en la UE y el Reino Unido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 de la plantilla en países emergentes; margen EBITDA del 61 % frente al 51 % de S&amp;P Global y Moody's [4,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índice de referencia se calcula una vez y se vende muchas: margen de Index del 77,8 % [5].</w:t>
            </w:r>
          </w:p>
        </w:tc>
      </w:tr>
    </w:tbl>
    <w:p>
      <w:pPr>
        <w:spacing w:after="160" w:before="0"/>
      </w:pPr>
    </w:p>
    <w:p>
      <w:pPr>
        <w:pStyle w:val="Heading2"/>
      </w:pPr>
      <w:r>
        <w:t xml:space="preserve">Amenazas</w:t>
      </w:r>
    </w:p>
    <w:p>
      <w:pPr>
        <w:spacing w:after="100"/>
      </w:pPr>
      <w:r>
        <w:t xml:space="preserve">La amenaza principal no es un nuevo proveedor sino la presión de tarifas de las grandes gestoras: BlackRock (18,7 % de Index) arrancó rebajas en 2026 y 2027, y Vanguard ya se fue en 2012 [1, 10]. Probabilidad media de nuevas rebajas cuando venzan otros contratos. Segunda: la IA y los índices propios de las gestoras abaratan Analytics y S&amp;C (≈ 34 % de los ingresos), donde el foso es más estrecho (margen del 46,5 % y del 38,7 %) [3]. Tercera: un cambio político o regulatorio contra el ESG reduce la demanda de S&amp;C (run rate +1,9 %) [3].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2016-2025: ingresos </w:t>
      </w:r>
      <w:r>
        <w:rPr>
          <w:b/>
          <w:bCs/>
        </w:rPr>
        <w:t xml:space="preserve">11,8 %</w:t>
      </w:r>
      <w:r>
        <w:t xml:space="preserve">, EBITDA </w:t>
      </w:r>
      <w:r>
        <w:rPr>
          <w:b/>
          <w:bCs/>
        </w:rPr>
        <w:t xml:space="preserve">14,4 %</w:t>
      </w:r>
      <w:r>
        <w:t xml:space="preserve">, BPA </w:t>
      </w:r>
      <w:r>
        <w:rPr>
          <w:b/>
          <w:bCs/>
        </w:rPr>
        <w:t xml:space="preserve">21,6 %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Ingresos de 1.150,7 M en 2016 a 3.134,5 M en 2025 (TCAC del 11,8 %) y 3.333,8 M en los últimos 12 meses [1, 3, 8]. El crecimiento es casi todo orgánico salvo 2021 (RCA) y 2023-2024 (Burgiss): el orgánico fue del 9,0-9,5 % en 2025 y del 12,2-13,3 % en el 1S26, empujado por las comisiones sobre activos (+26,6 % en los dos trimestres) [3, 4]. El margen EBITDA (EBIT + todas las amortizaciones) pasó del 45,4 % de 2016 al 60,8 % de 2025 y al 61,5 % en los últimos 12 meses: apalancamiento operativo puro, porque el 71 % de la plantilla está en países emergentes y el coste crece la mitad que los ingresos (gastos del EBITDA ajustado +10,1 % frente a ingresos +12,2 % en el 2T26) [3]. Años no comparables: 2023 (plusvalía de Burgiss de 143 M en el resultado financiero: BPA 14,39 USD frente a 14,05 de 2024), 2025 (cargo fiscal por la reestructuración societaria en el 4T25) y 1S26 (beneficio fiscal de 88 M en el 1T26) [1, 3, 5].</w:t>
      </w:r>
    </w:p>
    <w:p>
      <w:pPr>
        <w:pStyle w:val="Heading2"/>
      </w:pPr>
      <w:r>
        <w:t xml:space="preserve">Ajustes y partidas no recurrentes</w:t>
      </w:r>
    </w:p>
    <w:p>
      <w:pPr>
        <w:spacing w:after="100"/>
      </w:pPr>
      <w:r>
        <w:t xml:space="preserve">Usamos el EBIT y el BPA publicados (US GAAP). El EBITDA de la cuenta es EBIT + depreciación + amortización de intangibles (incluye software activado y activos comprados) y coincide con el EBITDA ajustado de la empresa salvo los costes de integración de compras (2,9 M en 2023 y 7,0 M en 2024, en no_recurrentes_en_ebitda) [1]. El BPA ajustado de la empresa excluye la amortización de intangibles comprados y las partidas fiscales y financieras puntuales: 17,28 USD en 2025 frente a 15,69 publicado; 9,49 en el 1S26 frente a 10,23 (el beneficio fiscal de 88 M sube el publicado) [3, 5]. La diferencia recurrente es la amortización de intangibles comprados, ≈ 1,0 USD por acción al año. La rentabilidad a 12 meses usa el BPA ajustado, la base del consenso y de la historia del PER.</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ajustado de la empresa y BPA diluido publicado [3, 4, 5, 6, 7, 8]. En el 2T26 (21-jul) los ingresos crecieron un 12,2 % y el BPA ajustado un 18,5 % (4,94 USD), pero quedaron por debajo del consenso previo (4,99 USD y 870,7 M) y la acción cayó un 10,1 % en la sesión [13]. La dirección destacó el récord del run rate de comisiones sobre activos y su mejor trimestre con hedge funds, y habló de IA: «hemos lanzado el doble de productos en 2026 que en todo 2024» [3]. Lo que pesó: subió la guía de gastos del año (gastos del EBITDA ajustado 1.340-1.370 M frente a 1.305-1.335 M), por la compra de First Street, la retribución variable y más inversión; y avisó de que las ventas netas recurrentes de Sustainability and Climate serán nulas o algo negativas en los dos próximos trimestres por cancelaciones en América [3, 12, 13]. Analytics bajó su margen del 52,1 % al 46,5 % [3]. En el 1T26 (21-abr) el mensaje fue de aceleración (+14,1 %) con la rebaja de tarifas a BlackRock ya en vigor desde enero; la dirección no cuantificó en ninguna de las dos el efecto de la segunda rebaja de enero de 2027 [4, 10]. Consenso previo de trimestres anteriores no verificado en fuente con fecha: vs_consenso en blanco.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Real Capital Analytics (RCA), comprada por ≈ 950 M USD en septiembre de 2021 [1].; 2023: Burgiss: compra del 66,4 % restante por 696,8 M el 2-oct-2023; consolida desde el 4T23 y la revalorización del 33,6 % previo dio una plusvalía no recurrente de 143,0 M fuera del EBIT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patrimonio es negativo desde 2018 (−2.689,5 M en jun-26) porque las recompras (7.400 M en 2016-2025) superan el beneficio retenido: no es un problema de solvencia sino una decisión de estructura de capital, financiada con deuda hasta 3-3,5 veces el EBITDA [1, 2, 8]. La deuda bruta subió de 4.511 M en 2024 a 6.202 M en 2025 por los bonos de 2035 y 2036, que pagaron 2.484 M de recompras ese año [1]. El circulante comercial es negativo: clientes 884,4 M frente a 1.136,9 M de ingresos diferidos en jun-26 [2]; las suscripciones se facturan por adelantado, sobre todo en el 4T. Deuda neta de ≈ 6.070 M a jun-26, 3,0 veces el EBITDA de 12 meses.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8.631</w:t>
      </w:r>
      <w:r>
        <w:t xml:space="preserve">, conversión </w:t>
      </w:r>
      <w:r>
        <w:rPr>
          <w:b/>
          <w:bCs/>
        </w:rPr>
        <w:t xml:space="preserve">118 %</w:t>
      </w:r>
      <w:r>
        <w:t xml:space="preserve"> del beneficio neto; adquisiciones 1.722, dividendos 3.038, recompras 8.415.</w:t>
      </w:r>
    </w:p>
    <w:p>
      <w:pPr>
        <w:spacing w:after="100"/>
      </w:pPr>
      <w:r>
        <w:t xml:space="preserve">Conversión excelente: flujo operativo de 1.588 M en 2025 frente a un beneficio de 1.202 M (132 %) y caja libre de 1.459 M tras 129,9 M de inversión (39,3 M en inmovilizado y 90,5 M de software activado, incluido aquí en el capex) [1]. La guía de 2026 da 1.485-1.545 M de caja libre con 160-170 M de capex [3]. Casi toda la inversión es de mantenimiento y desarrollo de producto (software de datos y plataformas); el software activado ha pasado del 0,9 % de las ventas en 2016 al 2,9 % en 2025, señal de más desarrollo interno y de la apuesta por IA [8]. Usos de la caja en 2016-2025: 7.400 M de recompras, 3.000 M de dividendos y 1.700 M de compras (RCA, Burgiss, Carbon Delta, Fabric…) [1, 8]. Años anómalos: 2021 y 2023 por las compras; 2025 por recompras de 2.484 M financiadas con deuda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 a 31-dic-2025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auditor PwC desde 2014, opinión favorable y control interno eficaz [1]. Los indicadores del motor dan Altman Z 5,77 (zona segura, a pesar del patrimonio negativo), Piotroski 8 de 9 y Beneish −2,72 (sin señales de manipulación). Tres puntos a vigilar: (1) la remuneración en acciones sube (111,8 M en 2025, 3,6 % de las ventas, frente a 58 M en 2022) [8]; (2) el software activado crece más que las ventas (90,5 M en 2025) y su amortización va fuera del EBITDA, aunque lo contamos como capex [8]; (3) partidas fiscales puntuales grandes en el 4T25 y el 1T26 por una reestructuración societaria, que la empresa excluye del BPA ajustado [3, 5]. La salida del director contable en agosto, sin sustituto, es la única señal de gobierno contable [14, 15].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director contable (CAO) en agosto de 2026, sin sustituto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Read dimitió en marzo para otro puesto, «sin desacuerdo» con las cuentas; el director financiero asume interinamente la función contable desde el 10-ago [14,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fiscales puntuales grandes (cargo en el 4T25, beneficio de 88 M en el 1T26)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societaria interna en dos fases; distorsiona el BPA publicado de 2025 y 2026; el ajustado las excluye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activado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10 M en 2016 a 90,5 M en 2025 (2,9 % de ventas): su amortización entra en la de intangibles; lo tratamos como capex [8].</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70,1 % · </w:t>
      </w:r>
      <w:r>
        <w:rPr>
          <w:b/>
          <w:bCs/>
        </w:rPr>
        <w:t xml:space="preserve">WACC</w:t>
      </w:r>
      <w:r>
        <w:t xml:space="preserve">: 10,3 %.</w:t>
      </w:r>
    </w:p>
    <w:p>
      <w:pPr>
        <w:spacing w:after="100"/>
      </w:pPr>
      <w:r>
        <w:t xml:space="preserve">MSCI crea valor con holgura: ROIC del 44,5 % en 2025 frente a un WACC del 10,30 %, por encima del 35 % desde 2018 [1]. El ROIC sube por rotación (0,56 veces en 2025 frente a 0,43 en 2022) y por margen (EBITDA del 60,8 %), no por apalancamiento: el capital invertido apenas crece (3.097 M en 2025) porque el fondo de comercio de las compras es pequeño y el circulante es negativo. El ROIC incremental de la década es del 70,1 %: cada dólar invertido en compras y producto ha rendido el 70 %. El ROE no tiene sentido (patrimonio negativo por recompras). Frente a los comparables (mediana de ROIC 12,1 %), solo Moody's y Verisk (32 %) se acercan; S&amp;P Global, LSEG e ICE quedan en el 6-11 % por sus grandes compras [34].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6.223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356,4 M (jun-26; mínimo operativo de 225-275 M) + 1.125 M disponibles de la línea de crédito de 1.600 M hasta ago-2030 [2,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(estable, desde may-2024), S&amp;P BBB− y Fitch BBB−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bruta de 6.425 M de principal a 30-jun-2026: siete bonos sin garantía al 3,25-5,25 % con vencimientos de 2029 a 2036 y 475 M de la línea revolving a SOFR + 1,50 % (5,1 %) [2]. Sin covenants financieros relevantes en los bonos; la línea pide un apalancamiento máximo (la empresa se fija 3,0-3,5 veces deuda/EBITDA ajustado y está en 3,1) [2, 3]. Arrendamientos operativos de 163,8 M (US GAAP: su gasto ya está en el EBITDA; no van al puente) [2]. Pagos contingentes de compras: 33,9 M (Vantager, Compass, PM Insights) [2]; First Street, 120 M al cierre (previsto en el 3T26) más pagos ligados a ingresos en dos años [3]. Ingresos diferidos de 1.136,9 M: cobros por adelantado que financian el circulante [2]. Sin pensiones de prestación definida relevantes.</w:t>
      </w:r>
    </w:p>
    <w:p>
      <w:pPr>
        <w:pStyle w:val="Heading1"/>
      </w:pPr>
      <w:r>
        <w:t xml:space="preserve">12. Asignación de capital</w:t>
      </w:r>
    </w:p>
    <w:p>
      <w:pPr>
        <w:pStyle w:val="Confianza"/>
        <w:spacing w:after="100"/>
      </w:pPr>
      <w:r>
        <w:t xml:space="preserve">Confianza: Alta</w:t>
      </w:r>
    </w:p>
    <w:p>
      <w:pPr>
        <w:spacing w:after="100"/>
      </w:pPr>
      <w:r>
        <w:t xml:space="preserve">Dividendo trimestral de 2,05 USD (+13,9 % en 2026; 8,20 USD al año, ≈ 40 % del BPA ajustado) y recompras oportunistas: programa de 3.000 M aprobado el 25-oct-2025, con ≈ 1.600 M disponibles a 20-jul-2026 [3, 6]. La dirección se fija 3,0-3,5 veces deuda/EBITDA ajustado y reinvierte sobre todo en producto (software activado) y en compras pequeñas de datos y tecnología (Compass, Vantager, PM Insights en 2026; First Street por 120 M + variable)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Street Technology (riesgo climático físico)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en el 3T26; más pagos ligados a ingresos durante dos años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Vantager, Compass y PM Insights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pagos contingentes (33,9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el 1S26; aportan 3,2 M de gasto trimestral sin cifra de ingresos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Burgiss (66,4 %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Ahora Private Capital Solutions: el segmento de activos privados crece un 8 % en run rate pero su margen cayó del 28 % al 22,9 % (2T26)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Capital Analytics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Assets crece poco; sin deterioros del fondo de comercio [1, 8].</w:t>
            </w:r>
          </w:p>
        </w:tc>
      </w:tr>
    </w:tbl>
    <w:p>
      <w:pPr>
        <w:spacing w:after="160" w:before="0"/>
      </w:pPr>
    </w:p>
    <w:p>
      <w:pPr>
        <w:spacing w:after="100"/>
      </w:pPr>
      <w:r>
        <w:t xml:space="preserve">Buen asignador: en 2016-2025 generó 8.631 M de caja libre (conversión del 118 % del beneficio) y devolvió 8.415 M en recompras y 3.038 M en dividendos, más de lo generado, con la deuda como palanca [1]. Las acciones diluidas bajaron de 96,5 M en 2016 a 72,9 M (−24 %) [8]. Las compras (1.722 M) han sido pequeñas y caras pero rentables en conjunto (ROIC incremental del 70,1 %); la peor, Burgiss, cuyo segmento pierde margen [3]. El riesgo es que recomprar a 26-30 veces el beneficio con deuda al 5,25 % rinde menos que antes: la rentabilidad del beneficio (≈ 3,8 %) está ya por debajo del coste de la deuda.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A. Fernandez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primer ejecutivo y presidente ejecutivo (desde mar-2026)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de la MSCI independiente; la dirige desde 1998 y preside el consejo desde 2007 [22]. Bajo su mando los ingresos pasaron de 1.151 M en 2016 a 3.134 M en 2025 y el BPA ajustado creció a doble dígito 11 años seguidos [5, 22]. Ha comprado 12,5 M USD de acciones en el mercado en los últimos 12 meses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C. Wiechmann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responsable contable interino desde ago-2026)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MSCI desde 2008 (estrategia, relación con inversores); director financiero desde 2021 [22]. Lleva la política de deuda de 3-3,5 veces el EBITDA y las recompras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Alvise J. Munari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segmentos de clientes (antes director de producto)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producto; desde nov-2025 al frente de los segmentos de clientes tras la salida de Pettit [22]. Vendió 5,9 M USD de acciones en abril de 2026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Crum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recursos humanos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cargo desde 2014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J. Gutowski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vendió 0,35 M USD de acciones en el periodo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1.450-1.510 M y gastos del EBITDA ajustado dentro de la guía de enero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1.459 M; BPA ajustado 17,28 USD (+13,7 %)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doble dígito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15,20 USD (+12,4 %)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doble dígito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11,45 USD (+15,1 %) pese a la caída de los mercados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doble dígito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7,83 USD (+21,6 %)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del EBITDA ajustado 1.305-1.335 M (abril), subida a 1.340-1.370 M en julio; caja libre 1.485-1.545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gasto al alza por First Street y retribución variable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con mucho capital propio: Fernandez tiene el 3,08 % (≈ 1.270 M USD) y compra en mercado [22, 27]. La debilidad es la sucesión: con la jubilación de Baer Pettit (presidente y director de operaciones, en marzo de 2026) Fernandez, de 67 años, vuelve a acumular presidente del consejo, primer ejecutivo y presidente ejecutivo, sin número dos designado [22, 26]. A eso se suma la salida del director contable en agosto, cubierta en interino por el director financiero [14, 15]. Credibilidad alta: once años seguidos de BPA ajustado creciendo a doble dígito [5, 22]; el primer fallo frente al consenso trimestral en años llegó en el 2T26.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A. Fernandez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G. Ashe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Matlock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Jacques P. Perold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Sandy C. Rattray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Linda H. Riefler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Michelle Seitz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Marcus L.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Rajat Taneja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Paula Volent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June Yang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 a 31-dic-2025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15,51 / ventas 7,04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(13G/A de abril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y principal cliente (13G/A)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7,3 % de derechos de voto según el 8-K de enero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A. Fernandez y su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mercado de 12,5 M USD en 12 meses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Gutowski Robert J. (General Counsel)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Fernandez Henry A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Wiechmann Andrew C. (Chief Financial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Fernandez Henry A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Ashe Robert G.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Wiechmann Andrew C. (Chief Financial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Munari Alvise J. (Chief Product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Fernandez Henry A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Wiechmann Andrew C. (Chief Financial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Taneja Rajat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33,3 M USD en 2025: 1,0 M de fijo, 1,35 M de variable anual y 29,6 M en acciones y opciones, de ellos 15,0 M de una concesión especial de opciones con precio de ejercicio por encima del de mercado (PPO); sin ella, 18,3 M y 325 veces el salario mediano (592 con ella) [22]. El variable a largo plazo depende de la TSR absoluta anual compuesta (PSU) y, a partes iguales, de los ingresos y el BPA ajustado acumulados en tres años (PSO) [22]: premia crecer y recomprar, no el ROIC. El variable anual pasó a ser 100 % por fórmula en 2026 [22]. Say-on-pay: 94,0 % a favor en 2025 y 93,4 % en 2026 (6,4 % en contra) [22, 25].</w:t>
      </w:r>
    </w:p>
    <w:p>
      <w:pPr>
        <w:pStyle w:val="Heading2"/>
      </w:pPr>
      <w:r>
        <w:t xml:space="preserve">Operaciones vinculadas, estructura de control y defensas</w:t>
      </w:r>
    </w:p>
    <w:p>
      <w:pPr>
        <w:spacing w:after="100"/>
      </w:pPr>
      <w:r>
        <w:t xml:space="preserve">Sin accionista de control: el mayor es Vanguard (12,8 %), pasivo; BlackRock (8,1 %) es a la vez accionista, distribuidor y primer cliente, conflicto que el propio 10-K reconoce [22]. Una acción, un voto; consejo elegido cada año; consejero coordinador independiente (Robert Ashe). El punto débil es la concentración de poder: Fernandez es presidente del consejo, primer ejecutivo y presidente ejecutivo desde marzo de 2026 [22, 26]. Sin operaciones vinculadas relevantes más allá del contrato con BlackRock, a precios de mercado [22].</w:t>
      </w:r>
    </w:p>
    <w:p>
      <w:pPr>
        <w:pStyle w:val="Heading2"/>
      </w:pPr>
      <w:r>
        <w:t xml:space="preserve">Señales de alerta</w:t>
      </w:r>
    </w:p>
    <w:p>
      <w:pPr>
        <w:pStyle w:val="ListParagraph"/>
        <w:numPr>
          <w:ilvl w:val="0"/>
          <w:numId w:val="2"/>
        </w:numPr>
        <w:spacing w:after="60"/>
      </w:pPr>
      <w:r>
        <w:t xml:space="preserve">Salida del director contable (agosto de 2026) sin sustituto; el director financiero lo cubre en interino [14, 15].</w:t>
      </w:r>
    </w:p>
    <w:p>
      <w:pPr>
        <w:pStyle w:val="ListParagraph"/>
        <w:numPr>
          <w:ilvl w:val="0"/>
          <w:numId w:val="2"/>
        </w:numPr>
        <w:spacing w:after="60"/>
      </w:pPr>
      <w:r>
        <w:t xml:space="preserve">Concentración de cargos en Fernandez (67 años) tras la jubilación de Pettit, sin sucesor designado [26].</w:t>
      </w:r>
    </w:p>
    <w:p>
      <w:pPr>
        <w:pStyle w:val="ListParagraph"/>
        <w:numPr>
          <w:ilvl w:val="0"/>
          <w:numId w:val="2"/>
        </w:numPr>
        <w:spacing w:after="60"/>
      </w:pPr>
      <w:r>
        <w:t xml:space="preserve">Concesión especial de opciones de 15 M USD al primer ejecutivo en 2025 [22].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actualizada el 21-jul-2026: gastos operativos 1.535-1.575 M (antes 1.490-1.530), gastos del EBITDA ajustado 1.340-1.370 M (antes 1.305-1.335), intereses 282-286 M, amortizaciones 195-205 M, tipo fiscal 18-20 %, capex 160-170 M, flujo operativo 1.655-1.705 M y caja libre 1.485-1.545 M [2]. Incluye First Street desde el 3T26. La subida de gastos se explica por compras, más retribución variable y más inversión, con unos activos ligados a índices por encima del supuesto de mercados planos [2]. No hay plan a medio plazo con cifras; la empresa repite el objetivo de crecer a doble dígito el BPA ajustado.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 18 analistas (Stock Analysis da 19,69 USD de BPA ajustado con 15 analistas)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 Stock Analysis: 22,43 USD de BPA ajustado y 3.830 M de ingresos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677,65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570,00 – 755,00</w:t>
            </w:r>
          </w:p>
        </w:tc>
      </w:tr>
    </w:tbl>
    <w:p>
      <w:pPr>
        <w:spacing w:after="160" w:before="0"/>
      </w:pPr>
    </w:p>
    <w:p>
      <w:pPr>
        <w:pStyle w:val="Heading2"/>
      </w:pPr>
      <w:r>
        <w:t xml:space="preserve">Revisiones de estimaciones</w:t>
      </w:r>
    </w:p>
    <w:p>
      <w:pPr>
        <w:spacing w:after="100"/>
      </w:pPr>
      <w:r>
        <w:t xml:space="preserve">Tras el 2T26 (21-jul) los analistas bajaron objetivos (JPMorgan a 700 USD desde 742, Morgan Stanley a 700 desde 727) sin cambiar recomendaciones, por más gasto y ventas netas por debajo de lo esperado [31]. El BPA de 2026 del consenso (19,69-19,91) no se movió apenas porque las comisiones sobre activos compensan el gasto [29, 30]. Fuente única de estimaciones completas (MarketScreener); objetivo y recomendaciones contrastados con Stock Analysis. Reparto entre comprar y mantener estimado a partir de la recomendación media «Comprar» [30].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MSCI va muy por detrás del mercado: −2,3 % en el año y +1,3 % en 12 meses frente al +14,0 % y +17,5 % del S&amp;P 500, y −1,8 % anual en cinco años, aunque en diez años gana (+21,1 % anual frente a +13,9 %) [28]. El múltiplo se ha desinflado desde el máximo de noviembre de 2021 (caída máxima del 43,7 % hasta mayo de 2022) aunque el BPA ajustado se ha multiplicado por 1,7 desde entonces. En 2026 pesaron la rebaja de tarifas a BlackRock (enero, −6,9 % el 3-feb y −7,8 % el 10-feb, en plena venta de empresas de datos y software por la IA) y el fallo del 2T26 (−10,1 % el 21-jul) [28]. Volatilidad del 30,3 % y beta mensual de 1,23 (0,85 semanal a dos años) [28].</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MSCI cotiza a 23,0 veces el EBITDA de los últimos 12 meses y a 30,7 veces el beneficio publicado, un 15 % y un 21 % por debajo de su media de ocho años (27,2 y 38,7 veces) y en el percentil 38 y 25. En BPA ajustado adelantado cotiza a 25,9 veces frente a una mediana de 34,6 en 2022-2025. El descuento tiene causa: la tasa libre a 10 años ha pasado del 1,5 % de 2020-2021 al 5,2 %, el crecimiento de suscripciones bajó del 10-12 % al 7-8 % y la IA ha bajado el múltiplo de todo el sector de datos [28, 34]. No esperamos volver a la media.</w:t>
      </w:r>
    </w:p>
    <w:p>
      <w:pPr>
        <w:pStyle w:val="Heading1"/>
      </w:pPr>
      <w:r>
        <w:t xml:space="preserve">18. Comparables cotizados</w:t>
      </w:r>
    </w:p>
    <w:p>
      <w:pPr>
        <w:pStyle w:val="Confianza"/>
        <w:spacing w:after="100"/>
      </w:pPr>
      <w:r>
        <w:t xml:space="preserve">Confianza: Media</w:t>
      </w:r>
    </w:p>
    <w:p>
      <w:pPr>
        <w:spacing w:after="100"/>
      </w:pPr>
      <w:r>
        <w:t xml:space="preserve">Nueve cotizadas de índices, datos y analítica financiera con ingresos recurrentes: S&amp;P Global (rival directo en índices con S&amp;P DJI), Moody's (datos, riesgo y ESG), LSEG (FTSE Russell y datos), FactSet (analítica de carteras, rival de Analytics), Morningstar (Sustainalytics e índices), Verisk y Thomson Reuters (datos por suscripción), Nasdaq e ICE (índices y datos junto a sus bolsas). Fuera CME, Deutsche Börse y Tradeweb: su negocio es la negociación. Cifras de la ficha sectorial del repo, llevadas al cierre del 13-oct-2026 [34]; Morningstar, de Stock Analysis del 14-oct, sin EV/EBITDA de los próximos 12 meses (no hay estimación del mismo proveedor)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13,9x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15,3x / 18,5x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 / 23,5x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 / 8,6x / 10,2x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6,8 + 0,99 × crecimiento; R² = 0,20. El crecimiento explica poco los múltiplos de estos comparables (R² &lt; 0,3): la regresión no se usa en la valoración.</w:t>
      </w:r>
    </w:p>
    <w:p>
      <w:pPr>
        <w:spacing w:after="100"/>
      </w:pPr>
      <w:r>
        <w:t xml:space="preserve">MSCI cotiza con prima sobre todos: 20,2 veces el EBITDA de los próximos 12 meses frente a una mediana de 14,0, y 26,3 veces el beneficio frente a 23,5 [34]. La prima se justifica en parte: crece más (10,2 % frente a 7,3 %), tiene el mejor margen EBITDA (61 % frente a 51 %) y el mayor ROIC (44,5 % frente a 12,1 %). Pero ni siquiera S&amp;P Global, su gemelo en índices, pasa de 17,2 veces EBITDA. Usamos el PER de los próximos 12 meses (500,23 USD a la mediana), más justo con un negocio sin capital; EV/EBITDA penaliza su mayor deuda. La regresión no explica los múltiplos (R² 0,20)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ventas (870 M) y EBITDA (430 M) de 12 meses a jun-26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mercados privados; múltiplo sobre ≈ 130 M de ingresos previstos de 2025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Burgiss (66,4 %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696,8 M por el 66,4 %; el 33,6 % previo valía 353,2 M: ≈ 1.050 M por el 100 %. Sin ventas ni EBITDA publicados de Burgiss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riesgo y cumplimiento; múltiplos sobre la previsión de 2023 (≈ 590 M de ingresos, margen del 58 %): estimación sobre datos de Nasdaq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ventas de 4.288 M y EBITDA ajustado de 1.837 M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acciones; ingresos de 6.204 M y EBITDA ajustado de 2.054 M de 2018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282,09 – 636,18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datos e índices se pagan a 13-31 veces el EBITDA (mediana ≈ 18,5 veces) y 4-18 veces las ventas: los activos de suscripción con márgenes altos cotizan caros también en privado [35, 36, 37, 38, 39]. MSCI, con 41.000 M de capitalización y sin accionista de control, solo podría comprarla un rival muy grande (S&amp;P Global, LSEG) o capital privado con mucha deuda, y una compra por S&amp;P chocaría con competencia en índices (los dos primeros suman el 50 % del mercado). Las transacciones sirven de referencia, no de catalizador.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+12,2 % en 2026 (1S26 +13,1 % y guía de gastos coherente con ≈ 3.520 M) [3, 29], luego del 9,0 % en 2027 bajando al 4,5 % en 2033. La historia sostiene más: TCAC del 11,8 % en 2016-2025 y run rate +12,0 % a junio [1, 3]. Rebajamos por la segunda rebaja de tarifas a BlackRock en enero de 2027 [10], por el estancamiento de Sustainability and Climate (run rate +1,9 %) y porque el 26,6 % de las comisiones sobre activos depende de unos mercados en máximos. El consenso da +8,8 % en 2027 y +8,3 % en 2028 [29]: estamos en línea.</w:t>
      </w:r>
    </w:p>
    <w:p>
      <w:pPr>
        <w:keepNext/>
        <w:spacing w:after="100"/>
      </w:pPr>
      <w:r>
        <w:rPr>
          <w:b/>
          <w:bCs/>
        </w:rPr>
        <w:t xml:space="preserve">Márgenes.</w:t>
      </w:r>
    </w:p>
    <w:p>
      <w:pPr>
        <w:spacing w:after="100"/>
      </w:pPr>
      <w:r>
        <w:t xml:space="preserve">Margen EBITDA del 61,5 % en 2026 (guía de gastos del EBITDA ajustado de 1.340-1.370 M) subiendo al 63,0 % en 2029 y estable después [29]. Ha subido del 45,4 % en 2016 al 60,8 % en 2025, unos 1,7 puntos al año, por apalancamiento operativo [1]. Proyectamos solo 1,5 puntos más en siete años porque Analytics y activos privados pierden margen (46,5 % y 22,9 % en el 2T26) y la inversión en IA sube el gasto [3]. El consenso llega al 62,7 % en 2028 [29].</w:t>
      </w:r>
    </w:p>
    <w:p>
      <w:pPr>
        <w:keepNext/>
        <w:spacing w:after="100"/>
      </w:pPr>
      <w:r>
        <w:rPr>
          <w:b/>
          <w:bCs/>
        </w:rPr>
        <w:t xml:space="preserve">Inversión y circulante.</w:t>
      </w:r>
    </w:p>
    <w:p>
      <w:pPr>
        <w:spacing w:after="100"/>
      </w:pPr>
      <w:r>
        <w:t xml:space="preserve">Capex (inmovilizado + software activado) del 4,7 % de las ventas en 2026 (guía 160-170 M) convergiendo al 5,0 %; amortización del 5,7 % bajando al 5,0 %, porque una parte es de intangibles comprados que no se reponen [3]. Circulante del −8 % de las ventas: los ingresos diferidos (1.232 M en 2025) superan a los clientes (987 M) [1]. Sin compras en la proyección: First Street (120 M) va en el puente.</w:t>
      </w:r>
    </w:p>
    <w:p>
      <w:pPr>
        <w:keepNext/>
        <w:spacing w:after="100"/>
      </w:pPr>
      <w:r>
        <w:rPr>
          <w:b/>
          <w:bCs/>
        </w:rPr>
        <w:t xml:space="preserve">Coste del capital.</w:t>
      </w:r>
    </w:p>
    <w:p>
      <w:pPr>
        <w:spacing w:after="100"/>
      </w:pPr>
      <w:r>
        <w:t xml:space="preserve">Tasa libre del 5,21 % (Tesoro a 10 años, 13-oct-2026) [32], beta de 1,10 (mensual de cinco años 1,23, semanal de dos años 0,85, ajustada 1,15) [28], prima de mercado del 5,5 % y coste de la deuda del 5,2 % (bonos de 2035 al 5,25 % y revolving al 5,1 %) [2]. Peso de la deuda del 13,6 % a valor de mercado. WACC del 10,30 %. Con la prima implícita del mercado (4,2 %) el WACC baja al 9,06 % [33].</w:t>
      </w:r>
    </w:p>
    <w:p>
      <w:pPr>
        <w:keepNext/>
        <w:spacing w:after="100"/>
      </w:pPr>
      <w:r>
        <w:rPr>
          <w:b/>
          <w:bCs/>
        </w:rPr>
        <w:t xml:space="preserve">Valor terminal.</w:t>
      </w:r>
    </w:p>
    <w:p>
      <w:pPr>
        <w:spacing w:after="100"/>
      </w:pPr>
      <w:r>
        <w:t xml:space="preserve">Media de Gordon al 3,5 % y de un múltiplo de salida de 17 veces el EBITDA. El 3,5 % es crecimiento real del 1-1,5 % más la inflación en dólares, por debajo de la tasa libre menos medio punto; 17 veces está entre la mediana de los comparables (14,0 veces los próximos 12 meses) y la historia de MSCI (27,2 de media) [34]. El valor terminal pesa el 69 % del total.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490,04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M (-2 % del NOPAT)</w:t>
            </w:r>
          </w:p>
        </w:tc>
      </w:tr>
    </w:tbl>
    <w:p>
      <w:pPr>
        <w:spacing w:after="160" w:before="0"/>
      </w:pPr>
    </w:p>
    <w:p>
      <w:pPr>
        <w:spacing w:after="100"/>
      </w:pPr>
      <w:r>
        <w:t xml:space="preserve">La proyección apenas necesita inversión neta de la amortización (reinversión acumulada de -354 M, con un capex bruto medio del 4,8 % de las ventas). En un negocio de activos ligeros, el crecimiento medio del 7,7 %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suscripciones nuevas y usuarios (run rate orgánico de suscripciones +8,1 %) y entradas en ETF; precio: subidas anuales de tarifa menos la primera rebaja a BlackRock; otros: subida de los mercados que aumenta los activos replicados, divisa y las compras de 2026 [3,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rebaja de tarifas a BlackRock desde enero (en precio) y mercados planos; volumen por ventas netas de Index y activos privados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al 7-8 % y comisiones sobre activos al ritmo de unos mercados que crecen un 6-7 % al año.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 con Sustainability and Climate estabilizado.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Desaceleración hacia el crecimiento del mercado de índices (8 % previsto).</w:t>
            </w:r>
          </w:p>
        </w:tc>
      </w:tr>
    </w:tbl>
    <w:p>
      <w:pPr>
        <w:spacing w:after="160" w:before="0"/>
      </w:pPr>
    </w:p>
    <w:p>
      <w:pPr>
        <w:spacing w:after="100"/>
      </w:pPr>
      <w:r>
        <w:t xml:space="preserve">Sí. El crecimiento medio proyectado (7,7 %) es inferior al de la década (11,8 %) y al previsto para el mercado de índices (8 %), así que no exige ganar cuota (24,9 % hoy) [17]. El negocio no necesita capital: la reinversión neta es negativa y el motor no puede hacer la prueba financiera, así que la hacemos a mano con el poder de precios y la cuota: retención del 95,3 %, run rate de suscripciones +8,1 % orgánico con subidas anuales de precio, y ROIC del 44,5 % con un ROIC incremental histórico del 70,1 % [3]. La única grieta es el precio en comisiones sobre activos (rebajas a BlackRock), que ya está en el puente.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 (base: 7,1 %)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81,2 % (base: 63,0 %)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10,3 %)</w:t>
            </w:r>
          </w:p>
        </w:tc>
      </w:tr>
    </w:tbl>
    <w:p>
      <w:pPr>
        <w:spacing w:after="160" w:before="0"/>
      </w:pPr>
    </w:p>
    <w:p>
      <w:pPr>
        <w:spacing w:after="100"/>
      </w:pPr>
      <w:r>
        <w:t xml:space="preserve">El DCF da 412,24 USD por acción, un 26,5 % por debajo del precio, con el 69 % del valor en el terminal. El DCF inverso dice que el precio de 560,82 USD exige un crecimiento de los ingresos del 11,7 % anual en 2027-2033, frente a nuestro 7,1 % y al 8,8 % del consenso para 2027, o una rentabilidad exigida del 8,0 % frente a nuestro WACC del 10,3 % y al 9,1 % que pide el mercado. Ese 11,7 % es la media de la última década (11,8 %), pero esa década tuvo la expansión del margen del 45 % al 61 % y el boom de los ETF; repetirlo con el margen ya en el 61 % y con la mayor cliente rebajando tarifas es exigente. La diferencia se debe sobre todo a la tasa: con un WACC del 9,3 % y un terminal del 4,5 % el DCF llega a 503,66, aún por debajo del precio. Comprar a este precio es apostar a que el mercado siga pagando 26-30 veces el beneficio a una empresa que crece un 8-9 %.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Repetición de 2022: las bolsas caen un 20-25 %, las comisiones sobre activos bajan y las ventas nuevas se frenan; otras gestoras piden rebajas como BlackRock y la IA abarata la analítica. Crecimiento 3 puntos menor cada año, margen 2,5 puntos menor y terminal del 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al 7-8 %, comisiones sobre activos al ritmo de los mercados, rebaja a BlackRock absorbida y margen hasta el 63 %.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Entradas récord en ETF que siguen, aceleración de activos privados y de productos con IA: crecimiento 1,5 puntos mayor y margen un punto mejor.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60,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397,67 USD (-29,1 %).</w:t>
      </w:r>
    </w:p>
    <w:p>
      <w:pPr>
        <w:spacing w:after="100"/>
      </w:pPr>
      <w:r>
        <w:t xml:space="preserve">La asimetría es mala con nuestro WACC: el alcista vale 492,24 USD (−12,2 %) y el bajista 273,94 (−51,2 %), y ni el alcista llega al precio. Con la prima del mercado el abanico es 316,56-571,04 y solo el alcista lo supera. A 12 meses la lectura cambia (bajista 510,27, base 713,41, alcista 867,08) porque la regla común supone que el múltiplo vuelve a medias a su historia: es esa reversión, no el beneficio, la que sostiene la rentabilidad a 12 meses.</w:t>
      </w:r>
    </w:p>
    <w:p>
      <w:pPr>
        <w:pStyle w:val="Heading1"/>
      </w:pPr>
      <w:r>
        <w:t xml:space="preserve">22. Suma de partes</w:t>
      </w:r>
    </w:p>
    <w:p>
      <w:pPr>
        <w:pStyle w:val="Confianza"/>
        <w:spacing w:after="100"/>
      </w:pPr>
      <w:r>
        <w:t xml:space="preserve">Confianza: Media</w:t>
      </w:r>
    </w:p>
    <w:p>
      <w:pPr>
        <w:spacing w:after="100"/>
      </w:pPr>
      <w:r>
        <w:t xml:space="preserve">No aplica en el valor objetivo: Index aporta el 74 % del EBITDA de segmentos y las otras tres unidades comparten clientes, datos y plataforma. Como contraste, Index a 22 veces su EBITDA ajustado de 2025 (1.366 M) ya vale ≈ 30.000 M, el 64 % del valor empresa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60,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411,68 USD (-26,6 % sobre 560,82).</w:t>
      </w:r>
    </w:p>
    <w:p>
      <w:pPr>
        <w:spacing w:after="100"/>
      </w:pPr>
      <w:r>
        <w:t xml:space="preserve">Pesos: DCF 40 %, escenarios 35 % y comparables 25 %; sin transacciones (no hay comprador realista para 41.000 M de capitalización y su mediana, 435,95 USD, solo sirve de contraste). El DCF es el método más fiable porque el negocio es estable y casi sin inversión, pero es muy sensible a la tasa: con un WACC del 9,3 % y el mismo crecimiento sale 465,82 USD, y con la prima implícita del mercado 461,59. Los comparables dan menos aún (360,56 por EV/EBITDA y 500,23 por PER de los próximos 12 meses), porque cotizan a 14 veces EBITDA frente a las 20,2 de MSCI. La dispersión entre métodos (344-500 USD) queda entera por debajo del precio: ningún método justifica 561 USD salvo el múltiplo histórico propio.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(25.9x) × 1.1 (tope: la mediana de 5 años, 36.3x,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+63,6 %</w:t>
            </w:r>
          </w:p>
        </w:tc>
      </w:tr>
    </w:tbl>
    <w:p>
      <w:pPr>
        <w:spacing w:after="160" w:before="0"/>
      </w:pPr>
    </w:p>
    <w:p>
      <w:pPr>
        <w:spacing w:after="100"/>
      </w:pPr>
      <w:r>
        <w:rPr>
          <w:b/>
          <w:bCs/>
        </w:rPr>
        <w:t xml:space="preserve">Objetivo a 12 meses (ponderado):</w:t>
      </w:r>
      <w:r>
        <w:t xml:space="preserve"> 689,12 USD · rentabilidad +24,3 % (base +22,6 %) · señal Mantener.</w:t>
      </w:r>
    </w:p>
    <w:p>
      <w:pPr>
        <w:spacing w:after="100"/>
      </w:pPr>
      <w:r>
        <w:t xml:space="preserve">Para comparar, con la regla v2 (historia al cierre, mismo precio): 22,0x / 25,9x / 33,7x, 15,1 % Mantener; con el tope anterior del base (×1,3, 14-oct mediodía): 30,5 % Mantener. Decide la regla vigente (v3 con tope ×1,1; METODO-VIGENTE.md).</w:t>
      </w:r>
    </w:p>
    <w:p>
      <w:pPr>
        <w:keepNext/>
        <w:spacing w:after="100"/>
      </w:pPr>
      <w:r>
        <w:rPr>
          <w:b/>
          <w:bCs/>
        </w:rPr>
        <w:t xml:space="preserve">Frente al consenso (solo contraste).</w:t>
      </w:r>
    </w:p>
    <w:p>
      <w:pPr>
        <w:spacing w:after="100"/>
      </w:pPr>
      <w:r>
        <w:t xml:space="preserve">Nuestro BPA ajustado de 2027 (21,66 USD) queda un 3,4 % por debajo del consenso (22,43) y el de 2026 (19,56) en línea (19,69): la diferencia es que no contamos recompras no anunciadas (la empresa recompra ≈ 3 % del capital al año) [30]. Nuestro precio base a 12 meses (713,41) supera en un 5,3 % el objetivo medio de los analistas (677,65): no por beneficio sino por múltiplo, porque la regla común lleva el PER desde 25,9x hacia su mediana histórica de 34,6x. El objetivo medio de los analistas queda dentro de nuestro rango (510,27-867,08).</w:t>
      </w:r>
    </w:p>
    <w:p>
      <w:pPr>
        <w:keepNext/>
        <w:spacing w:after="100"/>
      </w:pPr>
      <w:r>
        <w:rPr>
          <w:b/>
          <w:bCs/>
        </w:rPr>
        <w:t xml:space="preserve">Del valor intrínseco al objetivo a 12 meses.</w:t>
      </w:r>
    </w:p>
    <w:p>
      <w:pPr>
        <w:spacing w:after="100"/>
      </w:pPr>
      <w:r>
        <w:t xml:space="preserve">La distancia entre el valor intrínseco (411,68 USD) y el objetivo a 12 meses (701,04) es enorme: el DCF descuenta al 10,3 % con un bono al 5,21 % y no paga el múltiplo de 30-35 veces al que MSCI ha cotizado en la última década, mientras que la regla a 12 meses supone que el mercado le devuelve la mitad del camino hacia ese múltiplo. Para cerrar la distancia por arriba haría falta que bajen los tipos largos o que el crecimiento de suscripciones vuelva al 10 %; por abajo, que el mercado deje de pagar 26 veces. La tesis a 12 meses depende del múltiplo, no del beneficio, y por eso no basta para comprar.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tras el fallo del 2T26: ventas netas de suscripciones, retención y guía de gastos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2026-T4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First Street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 120 M de salida de caja y gasto en S&amp;C; poca influencia en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rebaja de tarifas a BlackRock en vigor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 precio en las comisiones sobre activos (18,7 % de Index); la empresa no ha cuantificado el efecto.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gastos y de caja libre; nuevo programa de recompras posible.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director contable y plan de sucesión del primer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Reduciría el riesgo de gobierno.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Bajadas de tipos a largo plazo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medio punto menos de WACC sube el DCF ≈ 5-6 %.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los mercados de renta variable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frente al base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73 % de los ingresos son suscripciones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Run rate de comisiones sobre activos por debajo de 850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rebajas de tarifas de las grandes gestoras (BlackRock, Vanguard, State Street)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con BlackRock hasta 2035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Puntos básicos medios de comisión sobre activos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Analytics y S&amp;C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y modelos con historia de décadas; Index casi inmune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Analytics por debajo del 93 % o margen por debajo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el mercado deja de pagar 26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(PER a 21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creciendo al 10-12 %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23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y concentración de poder en Fernandez (67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estable y consejo independiente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otro alto directivo sin sustituto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índices y de calificaciones ESG (UE)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ya concedida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Sanciones de la ESMA o costes de cumplimiento en S&amp;C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y tipos: refinanciación a tipos más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vencimientos hasta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Deuda/EBITDA por encima de 3,5 veces</w:t>
            </w:r>
          </w:p>
        </w:tc>
      </w:tr>
    </w:tbl>
    <w:p>
      <w:pPr>
        <w:spacing w:after="160" w:before="0"/>
      </w:pPr>
    </w:p>
    <w:p>
      <w:pPr>
        <w:pStyle w:val="Heading2"/>
      </w:pPr>
      <w:r>
        <w:t xml:space="preserve">Pre-mortem</w:t>
      </w:r>
    </w:p>
    <w:p>
      <w:pPr>
        <w:spacing w:after="100"/>
      </w:pPr>
      <w:r>
        <w:t xml:space="preserve">Octubre de 2029: la acción ha caído un 40 %, a 335 USD. Lo que pasó: en 2027 una corrección del 25 % de las bolsas, tras años de entradas récord en ETF, recortó un 20 % el run rate de comisiones sobre activos justo cuando entraba la segunda rebaja a BlackRock. Vanguard y State Street pidieron condiciones parecidas en sus renovaciones. Al mismo tiempo, los clientes de Analytics empezaron a construir su analítica de riesgo con modelos de lenguaje sobre datos baratos, la retención de Analytics bajó del 95 % al 91 % y S&amp;C siguió perdiendo clientes en EE. UU. El crecimiento de los ingresos cayó al 4 % y la dirección mantuvo las recompras con deuda, con el apalancamiento en 3,8 veces. El mercado, que pagaba 26 veces, bajó a 18 veces, como FactSet. Las señales estaban: el run rate de suscripciones creciendo por debajo del 7 % dos trimestres seguidos, la retención por debajo del 94 % y la caída de margen de Analytics en el 2T26.</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 (calificación propia no aplicable)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Lo material para MSCI es (1) la gobernanza de los índices y de las calificaciones ESG, regulados en la UE (BMR, Reglamento 2024/3005): un fallo de método o de independencia es un riesgo de multa y de reputación [1, 24]; (2) la seguridad de los datos y la ciberseguridad, por la dependencia de sus clientes del cálculo diario de índices [1]; (3) el capital humano: 6.327 empleados, rotación voluntaria del 7 % en 2025 [1, 3].</w:t>
      </w:r>
    </w:p>
    <w:p>
      <w:pPr>
        <w:pStyle w:val="Heading2"/>
      </w:pPr>
      <w:r>
        <w:t xml:space="preserve">Controversias</w:t>
      </w:r>
    </w:p>
    <w:p>
      <w:pPr>
        <w:spacing w:after="100"/>
      </w:pPr>
      <w:r>
        <w:t xml:space="preserve">Sin multas ni litigios materiales en los últimos tres años según el 10-K 2025 [1]. La controversia es reputacional: críticas políticas en EE. UU. a las calificaciones ESG y a la inclusión de empresas chinas en sus índices de emergentes (comité de la Cámara de Representantes, 2023-2024) [1,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restan a los ingresos de 2026 y 2027 las dos rebajas de tarifas y qué volumen adicional se pactó a cambio?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10,8 % de los ingresos y el efecto no se ha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productos nuevos con IA se cobra aparte y cuánto pesa en las ventas netas?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palanca o amenaza en Analytics.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Analytics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cayó el margen de Analytics del 52,1 % al 46,5 % y cuándo se recupera?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23 % de los ingresos y el negocio más expuesto a la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rentabilidad mínima recompran acciones con deuda al 5,25 %?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rentabilidad del beneficio ya es menor que el coste de la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sucesor interno para Fernandez y cuándo se nombrará director contable?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 cargos tras la salida de Pettit.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vuelven a ser positivas las ventas netas de Sustainability and Climate y qué aporta First Street?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 rate +1,9 % y ventas netas negativas previstas.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($MSCI)</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−10 % del 21-jul, mensajes que lo ven como compra en soporte técnico y defienden el foso («los proveedores de datos propios de confianza ganarán a la IA»), frente a la frustración por una acción que no se mueve; se repite que fue el primer fallo frente al consenso en muchos trimestres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bajistas tras el 2T26 («los miedos están justificados», «ni tras la caída está barata») y tres alcistas («el crecimiento llega tras cinco años», el ecosistema de índices sigue componiendo) [12].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(listas y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 aparece entre los «gigantes del S&amp;P 500 que no se han movido en un año» [12].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comentarios (TIKR)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Pone el foco en las cancelaciones de clientes de sostenibilidad en América y en las ventas de directivos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amenaza o palanca para los datos financieros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razón a las dos partes: Index (77,8 % de margen, +17,5 %) no lo nota, mientras Analytics bajó su margen del 52,1 % al 46,5 % en el 2T26 [A3].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al alza y primer fallo frente al consenso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pero pequeño: BPA ajustado de 4,94 frente a 4,99 (−1 %) y guía de gastos +35 M; el BPA ajustado creció un 18,5 % [A3, A13].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Sostenibilidad y clima en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Run rate de S&amp;C +1,9 % y ventas netas nulas o negativas previstas; pesa el 11 % de los ingresos [A3].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compras del primer ejecutivo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2.484 M de recompras en 2025 y compras de Fernandez por 12,5 M USD en 12 meses [A1, C6].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Rebaja de tarifas a BlackRock</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Rebajas en 2026 y 2027 a cambio de prórroga hasta 2035; las comisiones sobre activos crecen aun así un 26,6 % por el volumen [A3, A10].</w:t>
            </w:r>
          </w:p>
        </w:tc>
      </w:tr>
    </w:tbl>
    <w:p>
      <w:pPr>
        <w:spacing w:after="160" w:before="0"/>
      </w:pPr>
    </w:p>
    <w:p>
      <w:pPr>
        <w:spacing w:after="100"/>
      </w:pPr>
      <w:r>
        <w:t xml:space="preserve">El inversor particular está dividido y más cansado que asustado: la acción lleva cinco años plana y los foros discuten si la IA y las rebajas de tarifas justifican el múltiplo más bajo en una década. No hay euforia ni capitulación. Anticipa el mismo riesgo que nuestro análisis (Analytics y S&amp;C pierden margen y crecen poco) y no ve el positivo de los activos indexados. Va algo por detrás del consenso de analistas (12 de 18 recomiendan comprar), que bajó objetivos pero no recomendaciones.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42 (26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-8,3 % real: genera una variación de circulante de -21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3,5 % en dólares, con el bono a 10 años al 5,21 %: dentro de la regla del prompt (entre la inflación esperada y la tasa libre menos medio punto). El terminal se promedia con un múltiplo de salida de 17 veces el EBITDA.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0,20: el crecimiento no explica los múltiplos de estos comparables; no uses el valor de la regresión. Explicación: R² de 0,20: el crecimiento no explica los múltiplos de estos comparables (pesan más la mezcla de negocio y el ROIC);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16, 40,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3T24-1T26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(no lo dan); 2) RSS de Seeking Alpha (solo titulares del 2T26); 3) Stocktwits y prensa (sin cifra de consenso fechada)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2021-2022 en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2023-2025); 2) 10-K 2023 (segmentación anterior: ESG and Climate, Real Assets, Burgiss); 3) notas de resultados (sin reexpresión)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de terceros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(no las publican); 2) ficha sectorial del repo (sin dato); 3) búsqueda no hecha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FINRA (sin descarga en el presupuesto); 2) Stock Analysis (403 con curl); 3) prensa (sin dato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 de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recientes); 2) Stock Analysis (403); 3) cálculo propio con BPA ajustado (en la rentabilidad a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notas de segmentos, deuda, ingresos por geografía, clientes)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https://www.sec.gov/Archives/edgar/data/1408198/000140819826000011/msci-20251231.htm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segundo trimestre de 2026 (balance, flujos del semestre, deuda,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https://www.sec.gov/Archives/edgar/data/1408198/000140819826000046/msci-20260630.htm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Reports Financial Results for Second Quarter and Six Months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https://www.sec.gov/Archives/edgar/data/1408198/000140819826000044/exhibit991earningsrelease-.htm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Reports Financial Results for First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https://www.sec.gov/Archives/edgar/data/1408198/000140819826000032/earningsrelease-20260331xe.htm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Reports Financial Results for Fourth Quarter and Full Year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https://www.sec.gov/Archives/edgar/data/1408198/000140819826000005/exhibit991earningsrelease-.htm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Reports Financial Results for Third Quarter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https://www.sec.gov/Archives/edgar/data/1408198/000140819825000194/exhibit991earningsrelease-.htm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Reports Financial Results for Second Quarter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https://www.sec.gov/Archives/edgar/data/1408198/000140819825000175/exhibit991earningsrelease-.htm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MSCI Inc. (series anuales y trimestrales 2016-2026)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(data.sec.gov)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https://data.sec.gov/api/xbrl/companyfacts/CIK0001408198.json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2024, 2022, 2020 y 2018 (8-K, anexos 99.1: BPA y EBITDA ajustados)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https://www.sec.gov/Archives/edgar/data/1408198/000140819825000014/earningsrelease-20241231xf.htm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enmienda del contrato de licencia de índices para ETF con BlackRock (hasta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https://www.sec.gov/Archives/edgar/data/1408198/000140819826000008/msci-20260127.htm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5,25 % 2035 (FWP; ratings Baa3/BBB−/BBB−)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https://www.sec.gov/Archives/edgar/data/1408198/000119312525173577/d945235dfwp.htm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misses top-line and bottom-line estimates; updates FY2026 outlook / MSCI signals S&amp;C net new sales roughly flat (titulares del 21-jul-2026)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 de MSCI)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https://seekingalpha.com/api/sa/combined/MSCI.xml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Stock Tumbles 10% After Q2 Earnings and Revenue Miss Wall Street Targets (consenso previo: BPA 4,99 USD, ingresos 870,7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https://www.tikr.com/blog/msci-nyse-stock-tumbles-after-second-quarter-earnings-and-revenue-miss-wall-street-targets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dimisión del director contable (Jack Read), 27-mar-2026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https://www.sec.gov/Archives/edgar/data/1408198/000140819826000027/msci-20260327.htm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el director financiero, responsable contable interino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https://www.sec.gov/Archives/edgar/data/1408198/000140819826000049/msci-20260807.htm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2018 (8-K, anexo 99.1: BPA ajustado 2017-2018)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https://www.sec.gov/Archives/edgar/data/1408198/000115752319000193/a51933098ex99_1.htm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Indexing industry revenues hit record $7.2bn (estudio Burton-Taylor 2026: S&amp;P DJI 1.850 M, MSCI 1.790 M, FTSE Russell 1.290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ETF Trends / ETFdb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https://etfdb.com/news/2026/05/19/indexing-industry-revenues-hit-record-7-2bn/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index revenues increase 5.9% to $5.3 billion in 2022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Mondo Visione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https://mondovisione.com/media-and-resources/news/global-index-revenues-increase-59-to-53-billion-in-2022-as-surging-demand-fo-2023426/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Infraestructura de mercados y datos financieros: ficha sectorial corta (14-oct-2026; Burton-Taylor, SEC, FIA,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(ficha de 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sectores/bolsas-datos-financieros-2026-10-14.md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del repositorio: S&amp;P Global (12-oct), Moody's (14-oct) y LSEG (14-oct): márgenes y cifras de competidores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informes/moodys-2026-10-14/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historia, asignación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https://www.sec.gov/Archives/edgar/data/1408198/000140819826000023/msci-20260310.htm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 Inc. (MORN): estadísticas (capitalización, EV, ingresos y EBITDA de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https://stockanalysis.com/stocks/morn/statistics/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ESG Ratings / calificaciones de la empresa (MSCI, Sustainalytics) y regulación de calificaciones ESG de la UE (Reglamento 2024/3005)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Diario Oficial de la 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https://eur-lex.europa.eu/eli/reg/2024/3005/oj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2026 (say-on-pay 59,08 M a favor, 4,06 M en contra)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https://www.sec.gov/Archives/edgar/data/1408198/000140819826000038/msci-20260421.htm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jubilación de Baer Pettit (presidente y director de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https://www.sec.gov/Archives/edgar/data/1408198/000140819825000199/msci-20251112.htm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MSCI Inc. presentados entre el 14-oct-2025 y el 14-oct-2026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https://www.sec.gov/cgi-bin/browse-edgar?action=getcompany&amp;CIK=0001408198&amp;type=4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^GSPC y XLF: históricos diarios (precio, rango, volumen, betas, cierres de ejercicio) con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https://finance.yahoo.com/quote/MSCI/history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finanzas y estimaciones 2024-2028 (ventas, EBITDA, EBIT, BPA, dividendo, flujo libre,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(MSCI) stock forecast: 18 analistas, objetivo medio 677,65 USD (570-755); BPA 2026e 19,69 y del año siguiente 22,43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 Wall Street analysts bullish on MSCI stock? (recortes de objetivo tras el 2T26: JPMorgan a 700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https://www.barchart.com/story/news/4001735/are-wall-street-analysts-bullish-on-msci-stock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infraestructura de mercados y datos financieros a 13/14-oct-2026 (MarketScreener y Stock Analysis vía informes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(ficha sectorial de 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sectores/bolsas-datos-financieros-2026-10-14-comparables.json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con ICE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agrees to acquire With Intelligence for $1.8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Motive Partners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https://motivepartners.com/news/s-p-global-agrees-to-acquire-with-intelligence-from-motive-partners-for-1-8-billion-establishing-its-leadership-in-private-markets-intelligence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all-share acquisition of Refinitiv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https://www.lseg.com/content/dam/lseg/en_us/documents/investor-relations/mergers-and-acquisitions/refinitiv/lseg-refinitiv-acquisition-all-share-proposed-rns-01aug2019.pdf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announces 2026 quarterly earnings reporting dates (3T26: 20-oct-2026, 11:00 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https://ir.msci.com/node/22526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cierres del 9 y 13-oct-2026 de los comparables (SPGI, MCO, FDS, MORN, LSEG.L, VRSK, TRI, NDAQ,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https://query1.finance.yahoo.com/v8/finance/chart/MORN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$MSCI (jul-oct 2026, ≈ 30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https://api.stocktwits.com/api/2/streams/symbol/MSCI.json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92,8 %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única (NYSE, USD). Precio: cierre del 13-oct-2026 (560,82 USD; la sesión del 14-oct no había cerrado al hacer el informe). Cuentas de 2016-2025 del XBRL de la SEC comprobadas con el 10-K 2025 y las notas de resultados; la amortización incluye la de intangibles (el XBRL solo daba la depreciación) y el capex incluye el software activado. Segmentos solo de 2023-2025: la segmentación vigente no está reexpresada antes. Arrendamientos operativos (US GAAP) fuera de la deuda y del puente, porque su gasto ya está en el EBITDA. Consenso de estimaciones completas de un solo proveedor (MarketScreener), contrastado en BPA ajustado, objetivos y recomendaciones con Stock Analysis. Comparables de la ficha sectorial del repo (MarketScreener y Stock Analysis vía los informes de S&amp;P Global, Moody's, ICE y LSEG) llevados al cierre del 13-oct con la variación del precio; Morningstar de Stock Analysis sin EV/EBITDA de los próximos 12 meses. Sector y Porter apoyados en la ficha sectorial de LSEG del 14-oct.</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MSCI Inc. (MSCI)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560,82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(501,08 – 644,77)</c:v>
                </c:pt>
                <c:pt idx="1">
                  <c:v>Precio objetivo de los analistas (570,00 – 755,00)</c:v>
                </c:pt>
                <c:pt idx="2">
                  <c:v>Comparables: EV/EBITDA NTM (334,99 – 438,08)</c:v>
                </c:pt>
                <c:pt idx="3">
                  <c:v>Comparables: PER NTM (459,78 – 513,00)</c:v>
                </c:pt>
                <c:pt idx="4">
                  <c:v>Transacciones precedentes (EV/EBITDA) (282,09 – 636,18)</c:v>
                </c:pt>
                <c:pt idx="5">
                  <c:v>DCF (WACC y g ± 0,5) (381,23 – 451,41)</c:v>
                </c:pt>
                <c:pt idx="6">
                  <c:v>Escenarios (bajista – alcista) (273,94 – 492,24)</c:v>
                </c:pt>
                <c:pt idx="7">
                  <c:v>DCF con la prima implícita del mercado (4,2 %)</c:v>
                </c:pt>
                <c:pt idx="8">
                  <c:v>Precio actual (560,82)</c:v>
                </c:pt>
              </c:strCache>
            </c:strRef>
          </c:cat>
          <c:val>
            <c:numRef>
              <c:f>Hoja1!$B$2:$B$10</c:f>
              <c:numCache>
                <c:formatCode>#,##0</c:formatCode>
                <c:ptCount val="9"/>
                <c:pt idx="0">
                  <c:v>501.08</c:v>
                </c:pt>
                <c:pt idx="1">
                  <c:v>570</c:v>
                </c:pt>
                <c:pt idx="2">
                  <c:v>334.99</c:v>
                </c:pt>
                <c:pt idx="3">
                  <c:v>459.78</c:v>
                </c:pt>
                <c:pt idx="4">
                  <c:v>282.09</c:v>
                </c:pt>
                <c:pt idx="5">
                  <c:v>381.23</c:v>
                </c:pt>
                <c:pt idx="6">
                  <c:v>273.94</c:v>
                </c:pt>
                <c:pt idx="7">
                  <c:v>450.34</c:v>
                </c:pt>
                <c:pt idx="8">
                  <c:v>558.02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(501,08 – 644,77)</c:v>
                </c:pt>
                <c:pt idx="1">
                  <c:v>Precio objetivo de los analistas (570,00 – 755,00)</c:v>
                </c:pt>
                <c:pt idx="2">
                  <c:v>Comparables: EV/EBITDA NTM (334,99 – 438,08)</c:v>
                </c:pt>
                <c:pt idx="3">
                  <c:v>Comparables: PER NTM (459,78 – 513,00)</c:v>
                </c:pt>
                <c:pt idx="4">
                  <c:v>Transacciones precedentes (EV/EBITDA) (282,09 – 636,18)</c:v>
                </c:pt>
                <c:pt idx="5">
                  <c:v>DCF (WACC y g ± 0,5) (381,23 – 451,41)</c:v>
                </c:pt>
                <c:pt idx="6">
                  <c:v>Escenarios (bajista – alcista) (273,94 – 492,24)</c:v>
                </c:pt>
                <c:pt idx="7">
                  <c:v>DCF con la prima implícita del mercado (4,2 %)</c:v>
                </c:pt>
                <c:pt idx="8">
                  <c:v>Precio actual (560,82)</c:v>
                </c:pt>
              </c:strCache>
            </c:strRef>
          </c:cat>
          <c:val>
            <c:numRef>
              <c:f>Hoja1!$C$2:$C$10</c:f>
              <c:numCache>
                <c:formatCode>#,##0</c:formatCode>
                <c:ptCount val="9"/>
                <c:pt idx="0">
                  <c:v>143.69</c:v>
                </c:pt>
                <c:pt idx="1">
                  <c:v>185</c:v>
                </c:pt>
                <c:pt idx="2">
                  <c:v>103.08999999999997</c:v>
                </c:pt>
                <c:pt idx="3">
                  <c:v>53.22000000000003</c:v>
                </c:pt>
                <c:pt idx="4">
                  <c:v>354.09</c:v>
                </c:pt>
                <c:pt idx="5">
                  <c:v>70.18</c:v>
                </c:pt>
                <c:pt idx="6">
                  <c:v>218.3</c:v>
                </c:pt>
                <c:pt idx="7">
                  <c:v>65.08999999999997</c:v>
                </c:pt>
                <c:pt idx="8">
                  <c:v>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Index</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1451.8</c:v>
                </c:pt>
                <c:pt idx="1">
                  <c:v>1596.1</c:v>
                </c:pt>
                <c:pt idx="2">
                  <c:v>1786.8</c:v>
                </c:pt>
              </c:numCache>
            </c:numRef>
          </c:val>
        </c:ser>
        <c:ser>
          <c:idx val="1"/>
          <c:order val="1"/>
          <c:tx>
            <c:strRef>
              <c:f>Hoja1!$C$1</c:f>
              <c:strCache>
                <c:ptCount val="1"/>
                <c:pt idx="0">
                  <c:v>Analytics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616</c:v>
                </c:pt>
                <c:pt idx="1">
                  <c:v>675.1</c:v>
                </c:pt>
                <c:pt idx="2">
                  <c:v>714.4</c:v>
                </c:pt>
              </c:numCache>
            </c:numRef>
          </c:val>
        </c:ser>
        <c:ser>
          <c:idx val="2"/>
          <c:order val="2"/>
          <c:tx>
            <c:strRef>
              <c:f>Hoja1!$D$1</c:f>
              <c:strCache>
                <c:ptCount val="1"/>
                <c:pt idx="0">
                  <c:v>Sustainability and Climate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287.6</c:v>
                </c:pt>
                <c:pt idx="1">
                  <c:v>326.6</c:v>
                </c:pt>
                <c:pt idx="2">
                  <c:v>353.9</c:v>
                </c:pt>
              </c:numCache>
            </c:numRef>
          </c:val>
        </c:ser>
        <c:ser>
          <c:idx val="3"/>
          <c:order val="3"/>
          <c:tx>
            <c:strRef>
              <c:f>Hoja1!$E$1</c:f>
              <c:strCache>
                <c:ptCount val="1"/>
                <c:pt idx="0">
                  <c:v>Otros: activos privados (Private Capital Solutions y Real Assets)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173.6</c:v>
                </c:pt>
                <c:pt idx="1">
                  <c:v>258.3</c:v>
                </c:pt>
                <c:pt idx="2">
                  <c:v>279.3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Index</c:v>
                </c:pt>
                <c:pt idx="1">
                  <c:v>Analytics</c:v>
                </c:pt>
                <c:pt idx="2">
                  <c:v>Sustainability and Climate</c:v>
                </c:pt>
                <c:pt idx="3">
                  <c:v>Otros: activos privados (Private Capital Solutions y Real Assets)</c:v>
                </c:pt>
              </c:strCache>
            </c:strRef>
          </c:cat>
          <c:val>
            <c:numRef>
              <c:f>Hoja1!$B$2:$B$5</c:f>
              <c:numCache>
                <c:formatCode>General</c:formatCode>
                <c:ptCount val="4"/>
                <c:pt idx="0">
                  <c:v>57</c:v>
                </c:pt>
                <c:pt idx="1">
                  <c:v>22.8</c:v>
                </c:pt>
                <c:pt idx="2">
                  <c:v>11.3</c:v>
                </c:pt>
                <c:pt idx="3">
                  <c:v>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Estados Unidos</c:v>
                </c:pt>
                <c:pt idx="1">
                  <c:v>Resto de América</c:v>
                </c:pt>
                <c:pt idx="2">
                  <c:v>Reino Unido</c:v>
                </c:pt>
                <c:pt idx="3">
                  <c:v>Resto de EMEA</c:v>
                </c:pt>
                <c:pt idx="4">
                  <c:v>Japón</c:v>
                </c:pt>
                <c:pt idx="5">
                  <c:v>Resto de Asia y Australia</c:v>
                </c:pt>
              </c:strCache>
            </c:strRef>
          </c:cat>
          <c:val>
            <c:numRef>
              <c:f>Hoja1!$B$2:$B$7</c:f>
              <c:numCache>
                <c:formatCode>0"%"</c:formatCode>
                <c:ptCount val="6"/>
                <c:pt idx="0">
                  <c:v>40.4</c:v>
                </c:pt>
                <c:pt idx="1">
                  <c:v>4.5</c:v>
                </c:pt>
                <c:pt idx="2">
                  <c:v>17.3</c:v>
                </c:pt>
                <c:pt idx="3">
                  <c:v>22.3</c:v>
                </c:pt>
                <c:pt idx="4">
                  <c:v>4.1</c:v>
                </c:pt>
                <c:pt idx="5">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mundiales de proveedores de índices; 2021 y 2024 deducidos de los crecimientos publicados; 2030e, estimación propia al 8 %))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2024</c:v>
                </c:pt>
                <c:pt idx="3">
                  <c:v>2025</c:v>
                </c:pt>
                <c:pt idx="4">
                  <c:v>2030e</c:v>
                </c:pt>
              </c:strCache>
            </c:strRef>
          </c:cat>
          <c:val>
            <c:numRef>
              <c:f>Hoja1!$B$2:$B$6</c:f>
              <c:numCache>
                <c:formatCode>#,##0</c:formatCode>
                <c:ptCount val="5"/>
                <c:pt idx="0">
                  <c:v>5000</c:v>
                </c:pt>
                <c:pt idx="1">
                  <c:v>5300</c:v>
                </c:pt>
                <c:pt idx="2">
                  <c:v>6350</c:v>
                </c:pt>
                <c:pt idx="3">
                  <c:v>7200</c:v>
                </c:pt>
                <c:pt idx="4">
                  <c:v>10580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MSCI</c:v>
                </c:pt>
                <c:pt idx="1">
                  <c:v>S&amp;P Global (S&amp;P Dow Jones Indices)</c:v>
                </c:pt>
                <c:pt idx="2">
                  <c:v>LSEG (FTSE Russell)</c:v>
                </c:pt>
                <c:pt idx="3">
                  <c:v>Bloomberg (índices y terminales)</c:v>
                </c:pt>
                <c:pt idx="4">
                  <c:v>FactSet</c:v>
                </c:pt>
                <c:pt idx="5">
                  <c:v>Moody's</c:v>
                </c:pt>
                <c:pt idx="6">
                  <c:v>Morningstar (Sustainalytics, índices Morningstar)</c:v>
                </c:pt>
              </c:strCache>
            </c:strRef>
          </c:cat>
          <c:val>
            <c:numRef>
              <c:f>Hoja1!$B$2:$B$8</c:f>
              <c:numCache>
                <c:formatCode>0.0"%"</c:formatCode>
                <c:ptCount val="7"/>
                <c:pt idx="0">
                  <c:v>54.7</c:v>
                </c:pt>
                <c:pt idx="1">
                  <c:v>69</c:v>
                </c:pt>
                <c:pt idx="4">
                  <c:v>31</c:v>
                </c:pt>
                <c:pt idx="5">
                  <c:v>43.4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1150.7</c:v>
                </c:pt>
                <c:pt idx="1">
                  <c:v>1274.2</c:v>
                </c:pt>
                <c:pt idx="2">
                  <c:v>1434</c:v>
                </c:pt>
                <c:pt idx="3">
                  <c:v>1557.8</c:v>
                </c:pt>
                <c:pt idx="4">
                  <c:v>1695.4</c:v>
                </c:pt>
                <c:pt idx="5">
                  <c:v>2043.5</c:v>
                </c:pt>
                <c:pt idx="6">
                  <c:v>2248.6</c:v>
                </c:pt>
                <c:pt idx="7">
                  <c:v>2528.9</c:v>
                </c:pt>
                <c:pt idx="8">
                  <c:v>2856.1</c:v>
                </c:pt>
                <c:pt idx="9">
                  <c:v>3134.5</c:v>
                </c:pt>
                <c:pt idx="10">
                  <c:v>3517</c:v>
                </c:pt>
                <c:pt idx="11">
                  <c:v>3833</c:v>
                </c:pt>
                <c:pt idx="12">
                  <c:v>4159</c:v>
                </c:pt>
                <c:pt idx="13">
                  <c:v>4492</c:v>
                </c:pt>
                <c:pt idx="14">
                  <c:v>4829</c:v>
                </c:pt>
                <c:pt idx="15">
                  <c:v>5143</c:v>
                </c:pt>
                <c:pt idx="16">
                  <c:v>5426</c:v>
                </c:pt>
                <c:pt idx="17">
                  <c:v>5670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569.4</c:v>
                </c:pt>
                <c:pt idx="1">
                  <c:v>659.7</c:v>
                </c:pt>
                <c:pt idx="2">
                  <c:v>772.4</c:v>
                </c:pt>
                <c:pt idx="3">
                  <c:v>835.1</c:v>
                </c:pt>
                <c:pt idx="4">
                  <c:v>971.5</c:v>
                </c:pt>
                <c:pt idx="5">
                  <c:v>1182.2</c:v>
                </c:pt>
                <c:pt idx="6">
                  <c:v>1325.6</c:v>
                </c:pt>
                <c:pt idx="7">
                  <c:v>1522.9</c:v>
                </c:pt>
                <c:pt idx="8">
                  <c:v>1716.5</c:v>
                </c:pt>
                <c:pt idx="9">
                  <c:v>1906.5</c:v>
                </c:pt>
                <c:pt idx="10">
                  <c:v>2163</c:v>
                </c:pt>
                <c:pt idx="11">
                  <c:v>2377</c:v>
                </c:pt>
                <c:pt idx="12">
                  <c:v>2600</c:v>
                </c:pt>
                <c:pt idx="13">
                  <c:v>2830</c:v>
                </c:pt>
                <c:pt idx="14">
                  <c:v>3042</c:v>
                </c:pt>
                <c:pt idx="15">
                  <c:v>3240</c:v>
                </c:pt>
                <c:pt idx="16">
                  <c:v>3418</c:v>
                </c:pt>
                <c:pt idx="17">
                  <c:v>3572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78.1</c:v>
                </c:pt>
                <c:pt idx="1">
                  <c:v>78.5</c:v>
                </c:pt>
                <c:pt idx="2">
                  <c:v>80</c:v>
                </c:pt>
                <c:pt idx="3">
                  <c:v>81.1</c:v>
                </c:pt>
                <c:pt idx="4">
                  <c:v>82.8</c:v>
                </c:pt>
                <c:pt idx="5">
                  <c:v>82.4</c:v>
                </c:pt>
                <c:pt idx="6">
                  <c:v>82</c:v>
                </c:pt>
                <c:pt idx="7">
                  <c:v>82.3</c:v>
                </c:pt>
                <c:pt idx="8">
                  <c:v>82</c:v>
                </c:pt>
                <c:pt idx="9">
                  <c:v>82.4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49.5</c:v>
                </c:pt>
                <c:pt idx="1">
                  <c:v>51.8</c:v>
                </c:pt>
                <c:pt idx="2">
                  <c:v>53.9</c:v>
                </c:pt>
                <c:pt idx="3">
                  <c:v>53.6</c:v>
                </c:pt>
                <c:pt idx="4">
                  <c:v>57.3</c:v>
                </c:pt>
                <c:pt idx="5">
                  <c:v>57.9</c:v>
                </c:pt>
                <c:pt idx="6">
                  <c:v>59</c:v>
                </c:pt>
                <c:pt idx="7">
                  <c:v>60.2</c:v>
                </c:pt>
                <c:pt idx="8">
                  <c:v>60.1</c:v>
                </c:pt>
                <c:pt idx="9">
                  <c:v>60.8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42.4</c:v>
                </c:pt>
                <c:pt idx="1">
                  <c:v>45.5</c:v>
                </c:pt>
                <c:pt idx="2">
                  <c:v>47.9</c:v>
                </c:pt>
                <c:pt idx="3">
                  <c:v>48.5</c:v>
                </c:pt>
                <c:pt idx="4">
                  <c:v>52.2</c:v>
                </c:pt>
                <c:pt idx="5">
                  <c:v>52.5</c:v>
                </c:pt>
                <c:pt idx="6">
                  <c:v>53.7</c:v>
                </c:pt>
                <c:pt idx="7">
                  <c:v>54.9</c:v>
                </c:pt>
                <c:pt idx="8">
                  <c:v>53.8</c:v>
                </c:pt>
                <c:pt idx="9">
                  <c:v>54.7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22.7</c:v>
                </c:pt>
                <c:pt idx="1">
                  <c:v>23.9</c:v>
                </c:pt>
                <c:pt idx="2">
                  <c:v>35.4</c:v>
                </c:pt>
                <c:pt idx="3">
                  <c:v>36.2</c:v>
                </c:pt>
                <c:pt idx="4">
                  <c:v>35.5</c:v>
                </c:pt>
                <c:pt idx="5">
                  <c:v>35.5</c:v>
                </c:pt>
                <c:pt idx="6">
                  <c:v>38.7</c:v>
                </c:pt>
                <c:pt idx="7">
                  <c:v>45.4</c:v>
                </c:pt>
                <c:pt idx="8">
                  <c:v>38.8</c:v>
                </c:pt>
                <c:pt idx="9">
                  <c:v>38.4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15.9</c:v>
                </c:pt>
                <c:pt idx="1">
                  <c:v>7.7</c:v>
                </c:pt>
                <c:pt idx="2">
                  <c:v>9.7</c:v>
                </c:pt>
                <c:pt idx="3">
                  <c:v>9.1</c:v>
                </c:pt>
                <c:pt idx="4">
                  <c:v>9.5</c:v>
                </c:pt>
                <c:pt idx="5">
                  <c:v>10.6</c:v>
                </c:pt>
                <c:pt idx="6">
                  <c:v>14.1</c:v>
                </c:pt>
                <c:pt idx="7">
                  <c:v>12.2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3">
                  <c:v>8.3</c:v>
                </c:pt>
                <c:pt idx="4">
                  <c:v>9</c:v>
                </c:pt>
                <c:pt idx="5">
                  <c:v>10.2</c:v>
                </c:pt>
                <c:pt idx="6">
                  <c:v>13.3</c:v>
                </c:pt>
                <c:pt idx="7">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70</c:v>
                </c:pt>
                <c:pt idx="1">
                  <c:v>94</c:v>
                </c:pt>
                <c:pt idx="2">
                  <c:v>120</c:v>
                </c:pt>
                <c:pt idx="3">
                  <c:v>117</c:v>
                </c:pt>
                <c:pt idx="4">
                  <c:v>120</c:v>
                </c:pt>
                <c:pt idx="5">
                  <c:v>119</c:v>
                </c:pt>
                <c:pt idx="6">
                  <c:v>108</c:v>
                </c:pt>
                <c:pt idx="7">
                  <c:v>121</c:v>
                </c:pt>
                <c:pt idx="8">
                  <c:v>105</c:v>
                </c:pt>
                <c:pt idx="9">
                  <c:v>115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c:v>
                </c:pt>
                <c:pt idx="1">
                  <c:v>2</c:v>
                </c:pt>
                <c:pt idx="2">
                  <c:v>5</c:v>
                </c:pt>
                <c:pt idx="3">
                  <c:v>8</c:v>
                </c:pt>
                <c:pt idx="4">
                  <c:v>18</c:v>
                </c:pt>
                <c:pt idx="5">
                  <c:v>14</c:v>
                </c:pt>
                <c:pt idx="6">
                  <c:v>14</c:v>
                </c:pt>
                <c:pt idx="7">
                  <c:v>8</c:v>
                </c:pt>
                <c:pt idx="8">
                  <c:v>10</c:v>
                </c:pt>
                <c:pt idx="9">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399.79999999999995</c:v>
                </c:pt>
                <c:pt idx="1">
                  <c:v>355.4</c:v>
                </c:pt>
                <c:pt idx="2">
                  <c:v>563.8</c:v>
                </c:pt>
                <c:pt idx="3">
                  <c:v>655.7</c:v>
                </c:pt>
                <c:pt idx="4">
                  <c:v>760.2</c:v>
                </c:pt>
                <c:pt idx="5">
                  <c:v>883.3000000000001</c:v>
                </c:pt>
                <c:pt idx="6">
                  <c:v>1022.5000000000001</c:v>
                </c:pt>
                <c:pt idx="7">
                  <c:v>1145.1</c:v>
                </c:pt>
                <c:pt idx="8">
                  <c:v>1386.3999999999999</c:v>
                </c:pt>
                <c:pt idx="9">
                  <c:v>1458.6000000000001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260.9</c:v>
                </c:pt>
                <c:pt idx="1">
                  <c:v>304</c:v>
                </c:pt>
                <c:pt idx="2">
                  <c:v>507.9</c:v>
                </c:pt>
                <c:pt idx="3">
                  <c:v>563.6</c:v>
                </c:pt>
                <c:pt idx="4">
                  <c:v>601.8</c:v>
                </c:pt>
                <c:pt idx="5">
                  <c:v>726</c:v>
                </c:pt>
                <c:pt idx="6">
                  <c:v>870.6</c:v>
                </c:pt>
                <c:pt idx="7">
                  <c:v>1148.6</c:v>
                </c:pt>
                <c:pt idx="8">
                  <c:v>1109.1</c:v>
                </c:pt>
                <c:pt idx="9">
                  <c:v>1202.3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20.6</c:v>
                </c:pt>
                <c:pt idx="1">
                  <c:v>23.7</c:v>
                </c:pt>
                <c:pt idx="2">
                  <c:v>35.8</c:v>
                </c:pt>
                <c:pt idx="3">
                  <c:v>47.2</c:v>
                </c:pt>
                <c:pt idx="4">
                  <c:v>49.9</c:v>
                </c:pt>
                <c:pt idx="5">
                  <c:v>43.2</c:v>
                </c:pt>
                <c:pt idx="6">
                  <c:v>39.6</c:v>
                </c:pt>
                <c:pt idx="7">
                  <c:v>40</c:v>
                </c:pt>
                <c:pt idx="8">
                  <c:v>38.8</c:v>
                </c:pt>
                <c:pt idx="9">
                  <c:v>44.5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10.3</c:v>
                </c:pt>
                <c:pt idx="1">
                  <c:v>10.3</c:v>
                </c:pt>
                <c:pt idx="2">
                  <c:v>10.3</c:v>
                </c:pt>
                <c:pt idx="3">
                  <c:v>10.3</c:v>
                </c:pt>
                <c:pt idx="4">
                  <c:v>10.3</c:v>
                </c:pt>
                <c:pt idx="5">
                  <c:v>10.3</c:v>
                </c:pt>
                <c:pt idx="6">
                  <c:v>10.3</c:v>
                </c:pt>
                <c:pt idx="7">
                  <c:v>10.3</c:v>
                </c:pt>
                <c:pt idx="8">
                  <c:v>10.3</c:v>
                </c:pt>
                <c:pt idx="9">
                  <c:v>10.3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82.1</c:v>
                </c:pt>
                <c:pt idx="1">
                  <c:v>84.6</c:v>
                </c:pt>
                <c:pt idx="2">
                  <c:v>433.2</c:v>
                </c:pt>
                <c:pt idx="3">
                  <c:v>-463.5</c:v>
                </c:pt>
                <c:pt idx="4">
                  <c:v>-231.5</c:v>
                </c:pt>
                <c:pt idx="5">
                  <c:v>-239.3</c:v>
                </c:pt>
                <c:pt idx="6">
                  <c:v>-148.6</c:v>
                </c:pt>
                <c:pt idx="7">
                  <c:v>-131.4</c:v>
                </c:pt>
                <c:pt idx="8">
                  <c:v>-132.1</c:v>
                </c:pt>
                <c:pt idx="9">
                  <c:v>-66.9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2.25</c:v>
                </c:pt>
                <c:pt idx="1">
                  <c:v>1.8</c:v>
                </c:pt>
                <c:pt idx="2">
                  <c:v>2.16</c:v>
                </c:pt>
                <c:pt idx="3">
                  <c:v>1.87</c:v>
                </c:pt>
                <c:pt idx="4">
                  <c:v>2.13</c:v>
                </c:pt>
                <c:pt idx="5">
                  <c:v>2.32</c:v>
                </c:pt>
                <c:pt idx="6">
                  <c:v>2.65</c:v>
                </c:pt>
                <c:pt idx="7">
                  <c:v>2.66</c:v>
                </c:pt>
                <c:pt idx="8">
                  <c:v>2.39</c:v>
                </c:pt>
                <c:pt idx="9">
                  <c:v>2.98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c:v>
                </c:pt>
                <c:pt idx="1">
                  <c:v>2027</c:v>
                </c:pt>
                <c:pt idx="2">
                  <c:v>2028</c:v>
                </c:pt>
                <c:pt idx="3">
                  <c:v>2029</c:v>
                </c:pt>
                <c:pt idx="4">
                  <c:v>2030</c:v>
                </c:pt>
                <c:pt idx="5">
                  <c:v>2031</c:v>
                </c:pt>
                <c:pt idx="6">
                  <c:v>2033</c:v>
                </c:pt>
                <c:pt idx="7">
                  <c:v>2035+</c:v>
                </c:pt>
              </c:strCache>
            </c:strRef>
          </c:cat>
          <c:val>
            <c:numRef>
              <c:f>Hoja1!$B$2:$B$9</c:f>
              <c:numCache>
                <c:formatCode>#,##0</c:formatCode>
                <c:ptCount val="8"/>
                <c:pt idx="0">
                  <c:v>0</c:v>
                </c:pt>
                <c:pt idx="1">
                  <c:v>0</c:v>
                </c:pt>
                <c:pt idx="2">
                  <c:v>0</c:v>
                </c:pt>
                <c:pt idx="3">
                  <c:v>1000</c:v>
                </c:pt>
                <c:pt idx="4">
                  <c:v>1375</c:v>
                </c:pt>
                <c:pt idx="5">
                  <c:v>1600</c:v>
                </c:pt>
                <c:pt idx="6">
                  <c:v>700</c:v>
                </c:pt>
                <c:pt idx="7">
                  <c:v>1750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0.1</c:v>
                </c:pt>
                <c:pt idx="1">
                  <c:v>0</c:v>
                </c:pt>
                <c:pt idx="2">
                  <c:v>0</c:v>
                </c:pt>
                <c:pt idx="3">
                  <c:v>18.2</c:v>
                </c:pt>
                <c:pt idx="4">
                  <c:v>0</c:v>
                </c:pt>
                <c:pt idx="5">
                  <c:v>949</c:v>
                </c:pt>
                <c:pt idx="6">
                  <c:v>0</c:v>
                </c:pt>
                <c:pt idx="7">
                  <c:v>727.3</c:v>
                </c:pt>
                <c:pt idx="8">
                  <c:v>27.5</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96.3</c:v>
                </c:pt>
                <c:pt idx="1">
                  <c:v>119.8</c:v>
                </c:pt>
                <c:pt idx="2">
                  <c:v>171</c:v>
                </c:pt>
                <c:pt idx="3">
                  <c:v>222.9</c:v>
                </c:pt>
                <c:pt idx="4">
                  <c:v>246.4</c:v>
                </c:pt>
                <c:pt idx="5">
                  <c:v>302.4</c:v>
                </c:pt>
                <c:pt idx="6">
                  <c:v>372.9</c:v>
                </c:pt>
                <c:pt idx="7">
                  <c:v>441</c:v>
                </c:pt>
                <c:pt idx="8">
                  <c:v>509.1</c:v>
                </c:pt>
                <c:pt idx="9">
                  <c:v>556.5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774.6</c:v>
                </c:pt>
                <c:pt idx="1">
                  <c:v>150.5</c:v>
                </c:pt>
                <c:pt idx="2">
                  <c:v>949.9</c:v>
                </c:pt>
                <c:pt idx="3">
                  <c:v>292.1</c:v>
                </c:pt>
                <c:pt idx="4">
                  <c:v>778.5</c:v>
                </c:pt>
                <c:pt idx="5">
                  <c:v>198.4</c:v>
                </c:pt>
                <c:pt idx="6">
                  <c:v>1397.5</c:v>
                </c:pt>
                <c:pt idx="7">
                  <c:v>504.2</c:v>
                </c:pt>
                <c:pt idx="8">
                  <c:v>885.3</c:v>
                </c:pt>
                <c:pt idx="9">
                  <c:v>2484.3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 Inc.</c:v>
                </c:pt>
                <c:pt idx="2">
                  <c:v>Henry A. Fernandez y su familia</c:v>
                </c:pt>
                <c:pt idx="3">
                  <c:v>Consejeros y directivos (16 personas)</c:v>
                </c:pt>
              </c:strCache>
            </c:strRef>
          </c:cat>
          <c:val>
            <c:numRef>
              <c:f>Hoja1!$B$2:$B$5</c:f>
              <c:numCache>
                <c:formatCode>0.0"%"</c:formatCode>
                <c:ptCount val="4"/>
                <c:pt idx="0">
                  <c:v>12.82</c:v>
                </c:pt>
                <c:pt idx="1">
                  <c:v>8.13</c:v>
                </c:pt>
                <c:pt idx="2">
                  <c:v>3.08</c:v>
                </c:pt>
                <c:pt idx="3">
                  <c:v>3.76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9.2</c:v>
                </c:pt>
                <c:pt idx="1">
                  <c:v>60.6</c:v>
                </c:pt>
                <c:pt idx="2">
                  <c:v>16.5</c:v>
                </c:pt>
                <c:pt idx="3">
                  <c:v>75.1</c:v>
                </c:pt>
                <c:pt idx="4">
                  <c:v>73</c:v>
                </c:pt>
                <c:pt idx="5">
                  <c:v>37.2</c:v>
                </c:pt>
                <c:pt idx="6">
                  <c:v>-24.1</c:v>
                </c:pt>
                <c:pt idx="7">
                  <c:v>21.6</c:v>
                </c:pt>
                <c:pt idx="8">
                  <c:v>6.1</c:v>
                </c:pt>
                <c:pt idx="9">
                  <c:v>-4.4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15.6</c:v>
                </c:pt>
                <c:pt idx="1">
                  <c:v>19.4</c:v>
                </c:pt>
                <c:pt idx="2">
                  <c:v>19.3</c:v>
                </c:pt>
                <c:pt idx="3">
                  <c:v>28.3</c:v>
                </c:pt>
                <c:pt idx="4">
                  <c:v>41</c:v>
                </c:pt>
                <c:pt idx="5">
                  <c:v>45.6</c:v>
                </c:pt>
                <c:pt idx="6">
                  <c:v>31.1</c:v>
                </c:pt>
                <c:pt idx="7">
                  <c:v>32.3</c:v>
                </c:pt>
                <c:pt idx="8">
                  <c:v>30</c:v>
                </c:pt>
                <c:pt idx="9">
                  <c:v>26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27.2</c:v>
                </c:pt>
                <c:pt idx="1">
                  <c:v>27.2</c:v>
                </c:pt>
                <c:pt idx="2">
                  <c:v>27.2</c:v>
                </c:pt>
                <c:pt idx="3">
                  <c:v>27.2</c:v>
                </c:pt>
                <c:pt idx="4">
                  <c:v>27.2</c:v>
                </c:pt>
                <c:pt idx="5">
                  <c:v>27.2</c:v>
                </c:pt>
                <c:pt idx="6">
                  <c:v>27.2</c:v>
                </c:pt>
                <c:pt idx="7">
                  <c:v>27.2</c:v>
                </c:pt>
                <c:pt idx="8">
                  <c:v>27.2</c:v>
                </c:pt>
                <c:pt idx="9">
                  <c:v>27.2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MSCI</c:v>
                </c:pt>
                <c:pt idx="1">
                  <c:v>S&amp;P Global</c:v>
                </c:pt>
                <c:pt idx="2">
                  <c:v>Intercontinental Exchange</c:v>
                </c:pt>
                <c:pt idx="3">
                  <c:v>Nasdaq</c:v>
                </c:pt>
                <c:pt idx="4">
                  <c:v>Verisk Analytics</c:v>
                </c:pt>
                <c:pt idx="5">
                  <c:v>Thomson Reuters</c:v>
                </c:pt>
                <c:pt idx="6">
                  <c:v>London Stock Exchange Group</c:v>
                </c:pt>
                <c:pt idx="7">
                  <c:v>FactSet Research Systems</c:v>
                </c:pt>
                <c:pt idx="8">
                  <c:v>Moody's</c:v>
                </c:pt>
                <c:pt idx="9">
                  <c:v>Morningstar</c:v>
                </c:pt>
              </c:strCache>
            </c:strRef>
          </c:cat>
          <c:val>
            <c:numRef>
              <c:f>Hoja1!$B$2:$B$11</c:f>
              <c:numCache>
                <c:formatCode>0.0"x"</c:formatCode>
                <c:ptCount val="10"/>
                <c:pt idx="0">
                  <c:v>20.2</c:v>
                </c:pt>
                <c:pt idx="1">
                  <c:v>17.2</c:v>
                </c:pt>
                <c:pt idx="2">
                  <c:v>13.8</c:v>
                </c:pt>
                <c:pt idx="3">
                  <c:v>16.1</c:v>
                </c:pt>
                <c:pt idx="4">
                  <c:v>14.1</c:v>
                </c:pt>
                <c:pt idx="5">
                  <c:v>13.7</c:v>
                </c:pt>
                <c:pt idx="6">
                  <c:v>9.4</c:v>
                </c:pt>
                <c:pt idx="7">
                  <c:v>11.5</c:v>
                </c:pt>
                <c:pt idx="8">
                  <c:v>18.4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MSCI</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9.8</c:v>
                </c:pt>
              </c:numCache>
            </c:numRef>
          </c:xVal>
          <c:yVal>
            <c:numRef>
              <c:f>Hoja1!$C$2</c:f>
              <c:numCache>
                <c:formatCode>0.0"x"</c:formatCode>
                <c:ptCount val="1"/>
                <c:pt idx="0">
                  <c:v>20.2</c:v>
                </c:pt>
              </c:numCache>
            </c:numRef>
          </c:yVal>
          <c:smooth val="0"/>
        </c:ser>
        <c:ser>
          <c:idx val="1"/>
          <c:order val="1"/>
          <c:tx>
            <c:strRef>
              <c:f>Hoja1!$A$3</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7.6</c:v>
                </c:pt>
              </c:numCache>
            </c:numRef>
          </c:xVal>
          <c:yVal>
            <c:numRef>
              <c:f>Hoja1!$C$3</c:f>
              <c:numCache>
                <c:formatCode>0.0"x"</c:formatCode>
                <c:ptCount val="1"/>
                <c:pt idx="0">
                  <c:v>17.2</c:v>
                </c:pt>
              </c:numCache>
            </c:numRef>
          </c:yVal>
          <c:smooth val="0"/>
        </c:ser>
        <c:ser>
          <c:idx val="2"/>
          <c:order val="2"/>
          <c:tx>
            <c:strRef>
              <c:f>Hoja1!$A$4</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8.1</c:v>
                </c:pt>
              </c:numCache>
            </c:numRef>
          </c:xVal>
          <c:yVal>
            <c:numRef>
              <c:f>Hoja1!$C$4</c:f>
              <c:numCache>
                <c:formatCode>0.0"x"</c:formatCode>
                <c:ptCount val="1"/>
                <c:pt idx="0">
                  <c:v>13.8</c:v>
                </c:pt>
              </c:numCache>
            </c:numRef>
          </c:yVal>
          <c:smooth val="0"/>
        </c:ser>
        <c:ser>
          <c:idx val="3"/>
          <c:order val="3"/>
          <c:tx>
            <c:strRef>
              <c:f>Hoja1!$A$5</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10.1</c:v>
                </c:pt>
              </c:numCache>
            </c:numRef>
          </c:xVal>
          <c:yVal>
            <c:numRef>
              <c:f>Hoja1!$C$5</c:f>
              <c:numCache>
                <c:formatCode>0.0"x"</c:formatCode>
                <c:ptCount val="1"/>
                <c:pt idx="0">
                  <c:v>16.1</c:v>
                </c:pt>
              </c:numCache>
            </c:numRef>
          </c:yVal>
          <c:smooth val="0"/>
        </c:ser>
        <c:ser>
          <c:idx val="4"/>
          <c:order val="4"/>
          <c:tx>
            <c:strRef>
              <c:f>Hoja1!$A$6</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6.1</c:v>
                </c:pt>
              </c:numCache>
            </c:numRef>
          </c:xVal>
          <c:yVal>
            <c:numRef>
              <c:f>Hoja1!$C$6</c:f>
              <c:numCache>
                <c:formatCode>0.0"x"</c:formatCode>
                <c:ptCount val="1"/>
                <c:pt idx="0">
                  <c:v>14.1</c:v>
                </c:pt>
              </c:numCache>
            </c:numRef>
          </c:yVal>
          <c:smooth val="0"/>
        </c:ser>
        <c:ser>
          <c:idx val="5"/>
          <c:order val="5"/>
          <c:tx>
            <c:strRef>
              <c:f>Hoja1!$A$7</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8.2</c:v>
                </c:pt>
              </c:numCache>
            </c:numRef>
          </c:xVal>
          <c:yVal>
            <c:numRef>
              <c:f>Hoja1!$C$7</c:f>
              <c:numCache>
                <c:formatCode>0.0"x"</c:formatCode>
                <c:ptCount val="1"/>
                <c:pt idx="0">
                  <c:v>13.7</c:v>
                </c:pt>
              </c:numCache>
            </c:numRef>
          </c:yVal>
          <c:smooth val="0"/>
        </c:ser>
        <c:ser>
          <c:idx val="6"/>
          <c:order val="6"/>
          <c:tx>
            <c:strRef>
              <c:f>Hoja1!$A$8</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6.5</c:v>
                </c:pt>
              </c:numCache>
            </c:numRef>
          </c:xVal>
          <c:yVal>
            <c:numRef>
              <c:f>Hoja1!$C$8</c:f>
              <c:numCache>
                <c:formatCode>0.0"x"</c:formatCode>
                <c:ptCount val="1"/>
                <c:pt idx="0">
                  <c:v>9.4</c:v>
                </c:pt>
              </c:numCache>
            </c:numRef>
          </c:yVal>
          <c:smooth val="0"/>
        </c:ser>
        <c:ser>
          <c:idx val="7"/>
          <c:order val="7"/>
          <c:tx>
            <c:strRef>
              <c:f>Hoja1!$A$9</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6.3</c:v>
                </c:pt>
              </c:numCache>
            </c:numRef>
          </c:xVal>
          <c:yVal>
            <c:numRef>
              <c:f>Hoja1!$C$9</c:f>
              <c:numCache>
                <c:formatCode>0.0"x"</c:formatCode>
                <c:ptCount val="1"/>
                <c:pt idx="0">
                  <c:v>11.5</c:v>
                </c:pt>
              </c:numCache>
            </c:numRef>
          </c:yVal>
          <c:smooth val="0"/>
        </c:ser>
        <c:ser>
          <c:idx val="8"/>
          <c:order val="8"/>
          <c:tx>
            <c:strRef>
              <c:f>Hoja1!$A$10</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7.3</c:v>
                </c:pt>
              </c:numCache>
            </c:numRef>
          </c:xVal>
          <c:yVal>
            <c:numRef>
              <c:f>Hoja1!$C$10</c:f>
              <c:numCache>
                <c:formatCode>0.0"x"</c:formatCode>
                <c:ptCount val="1"/>
                <c:pt idx="0">
                  <c:v>18.4</c:v>
                </c:pt>
              </c:numCache>
            </c:numRef>
          </c:yVal>
          <c:smooth val="0"/>
        </c:ser>
        <c:axId val="10"/>
        <c:axId val="20"/>
      </c:scatterChart>
      <c:valAx>
        <c:axId val="10"/>
        <c:scaling>
          <c:orientation val="minMax"/>
          <c:max val="12"/>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MarketAxess Holdings</c:v>
                </c:pt>
                <c:pt idx="1">
                  <c:v>With Intelligence</c:v>
                </c:pt>
                <c:pt idx="2">
                  <c:v>Burgiss (66,4 % restante)</c:v>
                </c:pt>
                <c:pt idx="3">
                  <c:v>Adenza</c:v>
                </c:pt>
                <c:pt idx="4">
                  <c:v>IHS Markit</c:v>
                </c:pt>
                <c:pt idx="5">
                  <c:v>Refinitiv</c:v>
                </c:pt>
              </c:strCache>
            </c:strRef>
          </c:cat>
          <c:val>
            <c:numRef>
              <c:f>Hoja1!$B$2:$B$7</c:f>
              <c:numCache>
                <c:formatCode>0.0"x"</c:formatCode>
                <c:ptCount val="6"/>
                <c:pt idx="0">
                  <c:v>13</c:v>
                </c:pt>
                <c:pt idx="3">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1636</c:v>
                </c:pt>
                <c:pt idx="1">
                  <c:v>1803</c:v>
                </c:pt>
                <c:pt idx="2">
                  <c:v>1971</c:v>
                </c:pt>
                <c:pt idx="3">
                  <c:v>2140</c:v>
                </c:pt>
                <c:pt idx="4">
                  <c:v>2293</c:v>
                </c:pt>
                <c:pt idx="5">
                  <c:v>2432</c:v>
                </c:pt>
                <c:pt idx="6">
                  <c:v>2556</c:v>
                </c:pt>
                <c:pt idx="7">
                  <c:v>2667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11295</c:v>
                </c:pt>
                <c:pt idx="1">
                  <c:v>24980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560,82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273.94</c:v>
                </c:pt>
                <c:pt idx="1">
                  <c:v>412.24</c:v>
                </c:pt>
                <c:pt idx="2">
                  <c:v>492.24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560,82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(501,08 – 644,77)</c:v>
                </c:pt>
                <c:pt idx="1">
                  <c:v>Precio objetivo de los analistas (570,00 – 755,00)</c:v>
                </c:pt>
                <c:pt idx="2">
                  <c:v>Comparables: EV/EBITDA NTM (334,99 – 438,08)</c:v>
                </c:pt>
                <c:pt idx="3">
                  <c:v>Comparables: PER NTM (459,78 – 513,00)</c:v>
                </c:pt>
                <c:pt idx="4">
                  <c:v>Transacciones precedentes (EV/EBITDA) (282,09 – 636,18)</c:v>
                </c:pt>
                <c:pt idx="5">
                  <c:v>DCF (WACC y g ± 0,5) (381,23 – 451,41)</c:v>
                </c:pt>
                <c:pt idx="6">
                  <c:v>Escenarios (bajista – alcista) (273,94 – 492,24)</c:v>
                </c:pt>
                <c:pt idx="7">
                  <c:v>DCF con la prima implícita del mercado (4,2 %)</c:v>
                </c:pt>
                <c:pt idx="8">
                  <c:v>Precio actual (560,82)</c:v>
                </c:pt>
              </c:strCache>
            </c:strRef>
          </c:cat>
          <c:val>
            <c:numRef>
              <c:f>Hoja1!$B$2:$B$10</c:f>
              <c:numCache>
                <c:formatCode>#,##0</c:formatCode>
                <c:ptCount val="9"/>
                <c:pt idx="0">
                  <c:v>501.08</c:v>
                </c:pt>
                <c:pt idx="1">
                  <c:v>570</c:v>
                </c:pt>
                <c:pt idx="2">
                  <c:v>334.99</c:v>
                </c:pt>
                <c:pt idx="3">
                  <c:v>459.78</c:v>
                </c:pt>
                <c:pt idx="4">
                  <c:v>282.09</c:v>
                </c:pt>
                <c:pt idx="5">
                  <c:v>381.23</c:v>
                </c:pt>
                <c:pt idx="6">
                  <c:v>273.94</c:v>
                </c:pt>
                <c:pt idx="7">
                  <c:v>450.34</c:v>
                </c:pt>
                <c:pt idx="8">
                  <c:v>558.02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(501,08 – 644,77)</c:v>
                </c:pt>
                <c:pt idx="1">
                  <c:v>Precio objetivo de los analistas (570,00 – 755,00)</c:v>
                </c:pt>
                <c:pt idx="2">
                  <c:v>Comparables: EV/EBITDA NTM (334,99 – 438,08)</c:v>
                </c:pt>
                <c:pt idx="3">
                  <c:v>Comparables: PER NTM (459,78 – 513,00)</c:v>
                </c:pt>
                <c:pt idx="4">
                  <c:v>Transacciones precedentes (EV/EBITDA) (282,09 – 636,18)</c:v>
                </c:pt>
                <c:pt idx="5">
                  <c:v>DCF (WACC y g ± 0,5) (381,23 – 451,41)</c:v>
                </c:pt>
                <c:pt idx="6">
                  <c:v>Escenarios (bajista – alcista) (273,94 – 492,24)</c:v>
                </c:pt>
                <c:pt idx="7">
                  <c:v>DCF con la prima implícita del mercado (4,2 %)</c:v>
                </c:pt>
                <c:pt idx="8">
                  <c:v>Precio actual (560,82)</c:v>
                </c:pt>
              </c:strCache>
            </c:strRef>
          </c:cat>
          <c:val>
            <c:numRef>
              <c:f>Hoja1!$C$2:$C$10</c:f>
              <c:numCache>
                <c:formatCode>#,##0</c:formatCode>
                <c:ptCount val="9"/>
                <c:pt idx="0">
                  <c:v>143.69</c:v>
                </c:pt>
                <c:pt idx="1">
                  <c:v>185</c:v>
                </c:pt>
                <c:pt idx="2">
                  <c:v>103.08999999999997</c:v>
                </c:pt>
                <c:pt idx="3">
                  <c:v>53.22000000000003</c:v>
                </c:pt>
                <c:pt idx="4">
                  <c:v>354.09</c:v>
                </c:pt>
                <c:pt idx="5">
                  <c:v>70.18</c:v>
                </c:pt>
                <c:pt idx="6">
                  <c:v>218.3</c:v>
                </c:pt>
                <c:pt idx="7">
                  <c:v>65.08999999999997</c:v>
                </c:pt>
                <c:pt idx="8">
                  <c:v>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