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Netflix, Inc.</w:t>
      </w:r>
    </w:p>
    <w:p>
      <w:pPr>
        <w:spacing w:after="60"/>
        <w:rPr>
          <w:color w:val="52514E"/>
          <w:sz w:val="22"/>
          <w:szCs w:val="22"/>
        </w:rPr>
      </w:pPr>
      <w:r>
        <w:rPr>
          <w:color w:val="52514E"/>
          <w:sz w:val="22"/>
          <w:szCs w:val="22"/>
        </w:rPr>
        <w:t xml:space="preserve">NFLX · Nasdaq Global Select Market · ISIN US64110L1061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91,82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+30,6 % (base +27,6 %)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61,10 USD · mercado 73,49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296.575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Netflix,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NFLX / US64110L1061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 (películas y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Los Gatos (California) · 1997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https://ir.netflix.net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65,08 – 124,86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296.575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301.756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2.709 M USD/día (36,9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91,82 USD</w:t>
      </w:r>
      <w:r>
        <w:t xml:space="preserve"> frente a 70,30 · Rentabilidad a 12 meses </w:t>
      </w:r>
      <w:r>
        <w:rPr>
          <w:b/>
          <w:bCs/>
        </w:rPr>
        <w:t xml:space="preserve">+30,6 % (base +27,6 %)</w:t>
      </w:r>
      <w:r>
        <w:t xml:space="preserve"> · Valor intrínseco 61,10 USD · con la prima implícita del mercado: 73,49 (+4,5 %) · Alcista / bajista +16,5 % / -48,4 %</w:t>
      </w:r>
    </w:p>
    <w:p>
      <w:pPr>
        <w:spacing w:after="100"/>
      </w:pPr>
      <w:r>
        <w:rPr>
          <w:b/>
        </w:rPr>
        <w:t xml:space="preserve">La recomendación y por qué.</w:t>
      </w:r>
      <w:r>
        <w:t xml:space="preserve"> Mantener, con convicción baja. El valor objetivo es de 61,10 USD, un 13,1 % por debajo del precio de 70,30 USD; Netflix no paga dividendo, así que la rentabilidad total esperada a 12 meses es del −13,1 %. El alcista gana un 16,5 % y el bajista pierde un 48,4 % (asimetría de 0,34 veces). Las reglas discrepan: con nuestro WACC (11,47 %) sale Vender; con la prima que hoy pide el mercado (WACC del 9,99 %) el objetivo sube a 73,49 USD (+4,5 %) y sale Mantener, que manda. La razón: el precio ya paga algo más de crecimiento del que esperamos nosotros y el consenso, en pleno frenazo. La convicción es baja, la sugerida, porque lo que separa las dos reglas es la tasa de descuento, no las cifras. Subiría si la guía de 2027 (enero) supera el +11 % o si la acción baja de 58 USD.</w:t>
      </w:r>
    </w:p>
    <w:p>
      <w:pPr>
        <w:spacing w:after="100"/>
      </w:pPr>
      <w:r>
        <w:rPr>
          <w:b/>
        </w:rPr>
        <w:t xml:space="preserve">El negocio.</w:t>
      </w:r>
      <w:r>
        <w:t xml:space="preserve"> Netflix es el único servicio de streaming de escala mundial que gana dinero de verdad: 45.183 M de ingresos en 2025, margen operativo del 29,5 % y ROIC del 38,0 %, frente al 5,4 % de margen de Disney DTC y las pérdidas de Paramount DTC [1, 15, 16]. Su foso es la escala: reparte el coste de los contenidos entre más de 325 M de suscripciones. Su calidad sí sostiene el crecimiento que proyectamos (8,7 % anual, la mitad del histórico, con la cuota bajando del 30,2 % al 17,7 % en 2030e): poco capital y poder de precios demostrado. El riesgo es de techo: el visionado solo crece un 2 % [10].</w:t>
      </w:r>
    </w:p>
    <w:p>
      <w:pPr>
        <w:spacing w:after="100"/>
      </w:pPr>
      <w:r>
        <w:rPr>
          <w:b/>
        </w:rPr>
        <w:t xml:space="preserve">Finanzas.</w:t>
      </w:r>
      <w:r>
        <w:t xml:space="preserve"> Ingresos +19,9 % anual en la década y margen operativo del 4,3 % al 29,5 %. El «capex» real son los contenidos: en 2025 pagó 17.708 M frente a 16.422 M de amortización, y el DCF trata ese exceso como inversión [1]. Flujo libre de 9.461 M y deuda neta de 5.181 M (0,4 veces el EBITDA). El beneficio LTM está inflado por los 2.800 M de la comisión de Warner Bros. [9].</w:t>
      </w:r>
    </w:p>
    <w:p>
      <w:pPr>
        <w:spacing w:after="100"/>
      </w:pPr>
      <w:r>
        <w:rPr>
          <w:b/>
        </w:rPr>
        <w:t xml:space="preserve">Equipo y gobierno.</w:t>
      </w:r>
      <w:r>
        <w:t xml:space="preserve"> Suma: guía de margen cumplida cuatro de cinco años, presidencia independiente desde junio y sin accionista de control [21, 24]. Resta: los directivos vendieron 402,5 M en 12 meses sin comprar y estuvieron dispuestos a pagar 30,6 veces el EBITDA por Warner Bros. [20, 25].</w:t>
      </w:r>
    </w:p>
    <w:p>
      <w:pPr>
        <w:spacing w:after="100"/>
      </w:pPr>
      <w:r>
        <w:rPr>
          <w:b/>
        </w:rPr>
        <w:t xml:space="preserve">Valoración.</w:t>
      </w:r>
      <w:r>
        <w:t xml:space="preserve"> El DCF da 60,38 USD (−14,1 %). El DCF inverso dice que el precio supone un crecimiento del 10,0 % anual en 2027e-2033e, frente al 8,0 % de nuestro caso base, alineado con el consenso; comprar hoy rinde un 10,4 % anual, por debajo de nuestro coste de capital y algo por encima del que pide el mercado. Cotiza a 19,8 veces el EBITDA de los últimos 12 meses, el mínimo de su década (media de 49,2), y a 18,7 veces el beneficio de los próximos 12 meses, menos que Spotify, Roku o TKO. Barata frente a su historia, no frente a su crecimiento actual; el objetivo medio de los analistas (92,55 USD) exige que vuelva el crecimiento de dos dígitos.</w:t>
      </w:r>
    </w:p>
    <w:p>
      <w:pPr>
        <w:spacing w:after="100"/>
      </w:pPr>
      <w:r>
        <w:rPr>
          <w:b/>
        </w:rPr>
        <w:t xml:space="preserve">Riesgos y catalizadores.</w:t>
      </w:r>
      <w:r>
        <w:t xml:space="preserve"> El mayor riesgo es que YouTube (14,2 % del tiempo de televisión en EE. UU., frente al ≈ 8-9 % de Netflix) y el nuevo Paramount-Warner frenen altas y precios, como en 2022: el bajista vale 36,28 USD [19]. El segundo, otra compra grande a múltiplo alto. Catalizadores: el 3T26 (20-oct-2026), la guía de 2027 en enero y las recompras (27.100 M pendientes) [10, 29]. Los foros, divididos, no muestran capitulación.</w:t>
      </w:r>
    </w:p>
    <w:p>
      <w:pPr>
        <w:spacing w:after="100"/>
      </w:pPr>
      <w:r>
        <w:rPr>
          <w:b/>
        </w:rPr>
        <w:t xml:space="preserve">Qué cambiaría la decisión.</w:t>
      </w:r>
      <w:r>
        <w:t xml:space="preserve"> Compraríamos por debajo de 58,17 USD y venderíamos por encima de 81,69 USD. Pasaríamos a Comprar si la guía de 2027 da un +12 % o más con margen al alza; a Vender, si UCAN crece menos de un 8 % en dos trimestres seguidos o si anuncia otra compra financiada con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91,82 USD</w:t>
      </w:r>
      <w:r>
        <w:t xml:space="preserve"> (rentabilidad +30,6 % (base +27,6 %)) · Valor intrínseco: 61,10 USD (-13,1 % sobre 70,30) · con la prima implícita del mercado: 73,49 (+4,5 %)</w:t>
      </w:r>
    </w:p>
    <w:p>
      <w:pPr>
        <w:spacing w:after="100"/>
      </w:pPr>
      <w:r>
        <w:t xml:space="preserve">Netflix es el ganador del streaming: 45.183 M de ingresos en 2025 (+16 %), un margen operativo del 29,5 % y un ROIC del 38,0 %, con un coste de contenidos que reparte entre más de 325 M de suscripciones mientras sus rivales apenas ganan dinero [1, 15]. La publicidad (≈ 3.000 M en 2026), el directo y las subidas de precio sostienen un crecimiento de dos dígitos a corto plazo [10].</w:t>
      </w:r>
    </w:p>
    <w:p>
      <w:pPr>
        <w:spacing w:after="100"/>
      </w:pPr>
      <w:r>
        <w:t xml:space="preserve">El precio, 70,30 USD tras caer un 42,4 % en un año, ya no descuenta una tecnológica: 19,8 veces el EBITDA de los últimos 12 meses, el mínimo de su década. Pero el DCF inverso dice que aún pide un 10,0 % de crecimiento anual en 2027e-2033e, frente al 8,0 % de nuestro caso base y del consenso, y rinde un 10,4 % anual con nuestras cifras, menos que nuestro WACC (11,47 %) [33].</w:t>
      </w:r>
    </w:p>
    <w:p>
      <w:pPr>
        <w:spacing w:after="100"/>
      </w:pPr>
      <w:r>
        <w:t xml:space="preserve">El mercado acierta al frenar el múltiplo: el crecimiento baja de +17,6 % (4T25) a +12 % (3T26 guiado), UCAN solo crece un 10 % y el visionado un 2 % [10]. Para invertir hay que creer que la publicidad y el resto del mundo devuelven a Netflix a crecer por encima del 11 % varios años; a 58 USD no haría falta creerlo.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3,48 = 58,46 · 21,0x × 4,27 = 89,67 · 28,4x × 4,91 = 139,44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92,55 (nuestro base -3,1 %)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 / -48,4 %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 frente a 11,5 %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21,5 %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61,10 y 102,02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102,02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58,17 USD sin cambios en la guía, pasaríamos a Comprar.</w:t>
      </w:r>
    </w:p>
    <w:p>
      <w:pPr>
        <w:pStyle w:val="ListParagraph"/>
        <w:numPr>
          <w:ilvl w:val="0"/>
          <w:numId w:val="2"/>
        </w:numPr>
        <w:spacing w:after="60"/>
      </w:pPr>
      <w:r>
        <w:t xml:space="preserve">Si la guía de 2027 (enero) da un crecimiento de los ingresos del 12 % o más y un margen operativo por encima del 33 %, pasaríamos a Comprar.</w:t>
      </w:r>
    </w:p>
    <w:p>
      <w:pPr>
        <w:pStyle w:val="ListParagraph"/>
        <w:numPr>
          <w:ilvl w:val="0"/>
          <w:numId w:val="2"/>
        </w:numPr>
        <w:spacing w:after="60"/>
      </w:pPr>
      <w:r>
        <w:t xml:space="preserve">Si UCAN crece menos de un 8 % en dos trimestres seguidos, pasaríamos a Vender.</w:t>
      </w:r>
    </w:p>
    <w:p>
      <w:pPr>
        <w:pStyle w:val="ListParagraph"/>
        <w:numPr>
          <w:ilvl w:val="0"/>
          <w:numId w:val="2"/>
        </w:numPr>
        <w:spacing w:after="60"/>
      </w:pPr>
      <w:r>
        <w:t xml:space="preserve">Si anuncia otra compra grande financiada con deuda (más de 20.000 M), pasaríamos a Vender.</w:t>
      </w:r>
    </w:p>
    <w:p>
      <w:pPr>
        <w:pStyle w:val="ListParagraph"/>
        <w:numPr>
          <w:ilvl w:val="0"/>
          <w:numId w:val="2"/>
        </w:numPr>
        <w:spacing w:after="60"/>
      </w:pPr>
      <w:r>
        <w:t xml:space="preserve">Si el precio supera 81,69 USD sin mejoras en la guía,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Netflix crecerá un 10,0 % anual en 2027e-2033e con nuestros márgenes, o que su margen EBITDA llegará al 45,2 % con nuestro crecimiento. Los analistas son más optimistas aún: precio objetivo medio de 92,55 USD y 35 recomendaciones de compra de 51 [32].</w:t>
      </w:r>
    </w:p>
    <w:p>
      <w:pPr>
        <w:keepNext/>
        <w:spacing w:after="100"/>
      </w:pPr>
      <w:r>
        <w:rPr>
          <w:b/>
          <w:bCs/>
        </w:rPr>
        <w:t xml:space="preserve">Lo que creemos nosotros.</w:t>
      </w:r>
    </w:p>
    <w:p>
      <w:pPr>
        <w:spacing w:after="100"/>
      </w:pPr>
      <w:r>
        <w:t xml:space="preserve">Un crecimiento del 11 % en 2027 y del 10 % en 2028 (el consenso), que baja un punto al año hasta el 5 % de 2033 y un margen EBITDA del 39,5 %. Con eso, Netflix vale 60,38 USD con nuestro coste de capital y 74,34 con el que pide hoy el mercado: el precio está en medio.</w:t>
      </w:r>
    </w:p>
    <w:p>
      <w:pPr>
        <w:keepNext/>
        <w:spacing w:after="100"/>
      </w:pPr>
      <w:r>
        <w:rPr>
          <w:b/>
          <w:bCs/>
        </w:rPr>
        <w:t xml:space="preserve">Por qué podemos tener razón.</w:t>
      </w:r>
    </w:p>
    <w:p>
      <w:pPr>
        <w:spacing w:after="100"/>
      </w:pPr>
      <w:r>
        <w:t xml:space="preserve">No discrepamos del mercado en las cifras sino en el precio del riesgo. Con el Tesoro al 5,22 % y una beta de 1,20, exigimos un 11,8 % a las acciones; el mercado se conforma con ≈ 10 %. Coincidimos con el consenso en ingresos y márgenes; donde sí discrepamos de los analistas es en el recorrido: su objetivo medio supone un múltiplo que solo se justifica si vuelve el crecimiento de dos dígitos.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sin rival en el sector</w:t>
      </w:r>
      <w:r>
        <w:t xml:space="preserve">: ROIC del 38,0 % y margen operativo del 29,5 % frente al 5,4 % de Disney DTC [1, 15].</w:t>
      </w:r>
    </w:p>
    <w:p>
      <w:pPr>
        <w:pStyle w:val="ListParagraph"/>
        <w:numPr>
          <w:ilvl w:val="0"/>
          <w:numId w:val="2"/>
        </w:numPr>
        <w:spacing w:after="60"/>
      </w:pPr>
      <w:r>
        <w:rPr>
          <w:b/>
        </w:rPr>
        <w:t xml:space="preserve">Balance sano</w:t>
      </w:r>
      <w:r>
        <w:t xml:space="preserve">: deuda neta de 5.181 M, 0,4 veces el EBITDA, y 27.100 M de recompras autorizadas [10].</w:t>
      </w:r>
    </w:p>
    <w:p>
      <w:pPr>
        <w:pStyle w:val="ListParagraph"/>
        <w:numPr>
          <w:ilvl w:val="0"/>
          <w:numId w:val="2"/>
        </w:numPr>
        <w:spacing w:after="60"/>
      </w:pPr>
      <w:r>
        <w:rPr>
          <w:b/>
        </w:rPr>
        <w:t xml:space="preserve">Más palancas que volumen</w:t>
      </w:r>
      <w:r>
        <w:t xml:space="preserve">: la publicidad se dobla a ≈ 3.000 M en 2026 y el directo dispara las altas [10].</w:t>
      </w:r>
    </w:p>
    <w:p>
      <w:pPr>
        <w:pStyle w:val="ListParagraph"/>
        <w:numPr>
          <w:ilvl w:val="0"/>
          <w:numId w:val="2"/>
        </w:numPr>
        <w:spacing w:after="60"/>
      </w:pPr>
      <w:r>
        <w:rPr>
          <w:b/>
        </w:rPr>
        <w:t xml:space="preserve">Múltiplo en mínimos de la década</w:t>
      </w:r>
      <w:r>
        <w:t xml:space="preserve">: 19,8 veces el EBITDA LTM frente a una media de 49,2.</w:t>
      </w:r>
    </w:p>
    <w:p>
      <w:pPr>
        <w:pStyle w:val="ListParagraph"/>
        <w:numPr>
          <w:ilvl w:val="0"/>
          <w:numId w:val="2"/>
        </w:numPr>
        <w:spacing w:after="60"/>
      </w:pPr>
      <w:r>
        <w:rPr>
          <w:b/>
        </w:rPr>
        <w:t xml:space="preserve">Dirección que cumple</w:t>
      </w:r>
      <w:r>
        <w:t xml:space="preserve">: guía de margen cumplida cuatro de cinco años y disciplina al no subir la oferta por Warner [9, 24].</w:t>
      </w:r>
    </w:p>
    <w:p>
      <w:pPr>
        <w:pStyle w:val="Heading2"/>
      </w:pPr>
      <w:r>
        <w:t xml:space="preserve">En contra</w:t>
      </w:r>
    </w:p>
    <w:p>
      <w:pPr>
        <w:pStyle w:val="ListParagraph"/>
        <w:numPr>
          <w:ilvl w:val="0"/>
          <w:numId w:val="2"/>
        </w:numPr>
        <w:spacing w:after="60"/>
      </w:pPr>
      <w:r>
        <w:rPr>
          <w:b/>
        </w:rPr>
        <w:t xml:space="preserve">El crecimiento se frena</w:t>
      </w:r>
      <w:r>
        <w:t xml:space="preserve">: de +17,6 % en el 4T25 a +12 % guiado para el 3T26; UCAN solo +10 % [10].</w:t>
      </w:r>
    </w:p>
    <w:p>
      <w:pPr>
        <w:pStyle w:val="ListParagraph"/>
        <w:numPr>
          <w:ilvl w:val="0"/>
          <w:numId w:val="2"/>
        </w:numPr>
        <w:spacing w:after="60"/>
      </w:pPr>
      <w:r>
        <w:rPr>
          <w:b/>
        </w:rPr>
        <w:t xml:space="preserve">El precio aún pide más que el consenso</w:t>
      </w:r>
      <w:r>
        <w:t xml:space="preserve">: 10,0 % anual en 2027e-2033e frente a nuestro 8,0 %.</w:t>
      </w:r>
    </w:p>
    <w:p>
      <w:pPr>
        <w:pStyle w:val="ListParagraph"/>
        <w:numPr>
          <w:ilvl w:val="0"/>
          <w:numId w:val="2"/>
        </w:numPr>
        <w:spacing w:after="60"/>
      </w:pPr>
      <w:r>
        <w:rPr>
          <w:b/>
        </w:rPr>
        <w:t xml:space="preserve">YouTube le gana el tiempo de televisión</w:t>
      </w:r>
      <w:r>
        <w:t xml:space="preserve">: 14,2 % frente al ≈ 8-9 % de Netflix en EE. UU. [19].</w:t>
      </w:r>
    </w:p>
    <w:p>
      <w:pPr>
        <w:pStyle w:val="ListParagraph"/>
        <w:numPr>
          <w:ilvl w:val="0"/>
          <w:numId w:val="2"/>
        </w:numPr>
        <w:spacing w:after="60"/>
      </w:pPr>
      <w:r>
        <w:rPr>
          <w:b/>
        </w:rPr>
        <w:t xml:space="preserve">Menos transparencia</w:t>
      </w:r>
      <w:r>
        <w:t xml:space="preserve">: ya no publica suscriptores y el visionado será anual desde 2027 [10].</w:t>
      </w:r>
    </w:p>
    <w:p>
      <w:pPr>
        <w:pStyle w:val="ListParagraph"/>
        <w:numPr>
          <w:ilvl w:val="0"/>
          <w:numId w:val="2"/>
        </w:numPr>
        <w:spacing w:after="60"/>
      </w:pPr>
      <w:r>
        <w:rPr>
          <w:b/>
        </w:rPr>
        <w:t xml:space="preserve">Bajista profundo</w:t>
      </w:r>
      <w:r>
        <w:t xml:space="preserve">: 36,28 USD (−48,4 %); en 2022 la acción cayó un 51 %.</w:t>
      </w:r>
    </w:p>
    <w:p>
      <w:pPr>
        <w:pStyle w:val="ListParagraph"/>
        <w:numPr>
          <w:ilvl w:val="0"/>
          <w:numId w:val="2"/>
        </w:numPr>
        <w:spacing w:after="60"/>
      </w:pPr>
      <w:r>
        <w:rPr>
          <w:b/>
        </w:rPr>
        <w:t xml:space="preserve">Directivos vendedores</w:t>
      </w:r>
      <w:r>
        <w:t xml:space="preserve">: 402,5 M de ventas en 12 meses y ninguna compra [25].</w:t>
      </w:r>
    </w:p>
    <w:p>
      <w:pPr>
        <w:pStyle w:val="Heading2"/>
      </w:pPr>
      <w:r>
        <w:t xml:space="preserve">Qué tiene que pasar para que la tesis funcione</w:t>
      </w:r>
    </w:p>
    <w:p>
      <w:pPr>
        <w:spacing w:after="100"/>
      </w:pPr>
      <w:r>
        <w:t xml:space="preserve">La tesis depende de que el crecimiento se estabilice en torno al 11 % en 2027 gracias a la publicidad y a los mercados fuera de EE. UU. La señal de que no se cumple sería una guía de 2027 por debajo del +10 % o un UCAN por debajo del +8 %; la de que el mercado se queda corto, una guía de +12 % o más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 (2T26); guía +12 %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10 %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UCAN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saturación de precios en su mayor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31 %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cada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pagos de contenidos sobre amortización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(2025); 1,16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real del negocio.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tiempo de televisión en EE. UU. (Nielsen)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competencia de YouTube.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publicitarios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Menos de 2.700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palanca de crecimiento de 2027-2028.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 / 18,7x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Reed Hastings y Marc Randolph fundaron Netflix en 1997 para alquilar DVD por correo; salió a bolsa en el Nasdaq en mayo de 2002. En 2007 lanzó el streaming en EE. UU., en 2010-2016 se expandió por Canadá, América Latina, Europa y, en enero de 2016, a más de 130 países a la vez. Desde House of Cards (2013) produce contenido propio, que hoy domina su visionado. Tras perder suscriptores en 2022, lanzó el plan con anuncios (nov-2022) y limitó las cuentas compartidas (2023); cerró el negocio de DVD en septiembre de 2023. Desdobló la acción 10 por 1 en noviembre de 2025, intentó comprar Warner Bros. (dic-2025) y perdió la puja ante Paramount Skydance en febrero de 2026, con una comisión de ruptura de 2.800 M [2, 8,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Scotts Valley (California) como alquiler de DVD por correo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del streaming en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serie propia de gran presupuesto (House of Cards)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simultáneo en más de 130 países: servicio casi global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 con Reed Hastings; primer año de flujo libre positivo (1.900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suscriptores en el 1S22, plan con anuncios (noviembre) y caída de la acción del 51 % en el año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 fin de las cuentas compartidas gratis; cierre del DVD (29-sep)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10 por 1; más de 325 M de suscripciones; publicidad &gt; 1.500 M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comprar los estudios y HBO Max de Warner Bros. (82.700 M); WBD lo rescinde el 27-feb-2026 por la oferta de Paramount Skydance y Netflix cobra 2.800 M [3,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Netflix es el mayor servicio de entretenimiento por suscripción del mundo: series, películas, documentales, programas en directo (boxeo, NFL en Navidad, béisbol), videojuegos y, desde 2026, pódcasts en vídeo, en más de 190 países y más de 50 idiomas. A fines de 2025 tenía más de 325 M de suscripciones de pago y una audiencia cercana a 1.000 M de personas. Vende directamente al consumidor (web y aplicaciones) y a través de socios: fabricantes de televisores, operadoras de telecomunicaciones y de cable (que cobran la cuota) y acuerdos como el de Mercado Libre en México y Brasil. Produce o encarga la mayor parte de su contenido de estreno en más de 50 países y lo completa con licencias de terceros (Universal, Sony, Paramount) [8, 9, 10].</w:t>
      </w:r>
    </w:p>
    <w:p>
      <w:pPr>
        <w:pStyle w:val="Heading2"/>
      </w:pPr>
      <w:r>
        <w:t xml:space="preserve">Cómo gana dinero</w:t>
      </w:r>
    </w:p>
    <w:p>
      <w:pPr>
        <w:spacing w:after="100"/>
      </w:pPr>
      <w:r>
        <w:t xml:space="preserve">Casi todo el ingreso es recurrente: cuotas mensuales que se cobran por adelantado, más publicidad en el plan con anuncios (≈ 3.000 M en 2026, ≈ 6 % de las ventas) [9, 10]. El coste principal es fijo a corto plazo: la amortización de contenidos (36 % de las ventas en 2025) no depende de cuántos suscriptores ven cada título, así que cada suscripción o subida de precio adicional cae casi entera al margen. Ese apalancamiento llevó el margen operativo del 4,3 % al 29,5 % en diez años [1]. Los ingresos crecen por tres palancas: más suscripciones (sobre todo fuera de EE. UU.), subidas de precio cada 1-2 años y publicidad. Hay poca estacionalidad en ingresos; el margen varía por trimestre según el calendario de estrenos (más amortización en el primer semestre de 2026)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UCAN (EE. UU. y 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DVD (cerrado en sep-2023)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más de 325 M de suscripciones de pago, casi todas de particulares; los socios de distribución (operadoras, fabricantes de televisores, Mercado Libre) cobran por cuenta de Netflix pero ninguno es relevante por sí solo [8, 9]. Netflix no publica la tasa de bajas. Su poder de precios está demostrado: en el 4T24 los ingresos crecieron un 16 % con un ingreso medio por suscripción +1 % (+3 % a tipo constante) y suscripciones medias +15 %, después de varias subidas [5]; en el 1S26 subió precios en EE. UU., México y España con un efecto «en línea con lo esperado» [10]. El plan con anuncios (8,99 USD en EE. UU.) atrae a más del 60 % de las altas donde existe, lo que baja el precio de entrada sin perder ingresos por usuario gracias a la publicidad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a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325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dejó de publicar el dato trimestral en 2025; solo da hitos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publicitarios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3.000 M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2,5 veces en 2025; el plan con anuncios es más del 60 % de las altas del 1T26 en sus mercados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Horas de visionado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96.000 M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97.000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2027 el informe de visionado pasa a ser anual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(2025); guía 31,5 %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2025 incluye ≈ 619 M de un litigio fiscal en Brasil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pagos de contenidos / amortización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(2025); ≈ 1,1x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17.708 M frente a 16.422 M de amortización en 2025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de televisión en EE. UU. (Nielsen)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Máximo histórico según la propia Netflix; ≈ 5 % del tiempo de televisión mundial [8,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el vídeo en streaming de pago y con anuncios (SVOD y AVOD) en todo el mundo, donde Netflix compite por el tiempo y el gasto del hogar con Disney+, HBO Max, Prime Video, Peacock, Paramount+ y, en el tiempo de pantalla, con YouTube. Usamos la estimación de Grand View Research (129.300 M USD en 2024), que incluye suscripción y publicidad. Como contraste, la suma de los ingresos de streaming publicados por las cinco mayores plataformas (Netflix 39.001 M en 2024; Disney DTC 22.776 M en su ejercicio 2024; Paramount DTC 7.632 M; WBD DTC ≈ 10.500 M; Peacock 4.900 M) ya da ≈ 85.000 M sin YouTube ni Amazon, lo que hace verosímil el orden de magnitud [14, 15, 16, 17, 18]. Las previsiones de crecimiento de las consultoras (21,5 % anual) son mucho más altas que el crecimiento real de los líderes (12-16 %): no las usamos para el DCF.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129.300 M USD en 2024 (Grand View Research)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tiempo de televisión de la televisión lineal al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streaming es el 49,0 % del tiempo de televisión en EE. UU. en julio de 2026 (+0,5 pp); emisión en abierto 19,5 % y cable 18,7 %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en streaming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publicitarios de Netflix pasan de &gt; 1.500 M (2025) a ≈ 3.000 M (2026) [8,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en la televisión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tiene un récord del 14,2 % del tiempo de televisión en EE. UU. (jul-2026) y 40.367 M de ingresos publicitarios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en directo y derechos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amplía la NFL y lleva el World Baseball Classic en Japón (31,4 M de espectadores, su mayor emisión en Japón); encarece el contenido [9,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estudios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Warner Bros. Discovery por 110.000 M de valor empresa: un rival con más catálogo, pero muy endeudado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Poder adquisitivo y tipos de cambio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LATAM los ingresos crecieron un 11 % en dólares y ≈ 20 % a tipo constante en 2025 [8].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Amazon, Apple, Comcast, Paramount-WBD y YouTube pujan por el mismo tiempo; la mayoría aún gana poco con el streaming (Disney DTC 5,4 % de margen, Paramount DTC con pérdidas en 2024)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Darse de baja cuesta un clic; pero Netflix sube precios cada 1-2 años sin perder clientes (ingreso medio por cliente +1 % y suscripciones +15 % en el 4T24)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ligas deportivas y estudios: los derechos de la NFL y de grandes estrenos se encarecen; la producción propia lo limita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 17.000-20.000 M al año de contenidos y escala mundial; las últimas entradas (Apple, Peacock) siguen sin escala [8,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YouTube, TikTok, videojuegos y redes sociales compiten por el ocio; la IA generativa abarata la producción de vídeo [10, 19].</w:t>
            </w:r>
          </w:p>
        </w:tc>
      </w:tr>
    </w:tbl>
    <w:p>
      <w:pPr>
        <w:spacing w:after="160" w:before="0"/>
      </w:pPr>
    </w:p>
    <w:p>
      <w:pPr>
        <w:pStyle w:val="Heading2"/>
      </w:pPr>
      <w:r>
        <w:t xml:space="preserve">Ciclo</w:t>
      </w:r>
    </w:p>
    <w:p>
      <w:pPr>
        <w:spacing w:after="100"/>
      </w:pPr>
      <w:r>
        <w:t xml:space="preserve">El streaming de pago es un mercado en madurez temprana en EE. UU. y en crecimiento fuera: el 49,0 % del tiempo de televisión en EE. UU. ya es streaming (jul-2026), y Netflix dice tener menos del 45 % de los hogares con banda ancha de su mercado [9, 19]. Es poco cíclico: en 2020 la pandemia aceleró las altas (+36,6 M de suscripciones) y en 2022 el problema fue propio (cuentas compartidas, saturación tras la pandemia), no la recesión [2]. La señal de madurez es el freno de UCAN (+10 % en el 2T26) y que la publicidad y los precios pesan ya más que el volumen [10].</w:t>
      </w:r>
    </w:p>
    <w:p>
      <w:pPr>
        <w:pStyle w:val="Heading2"/>
      </w:pPr>
      <w:r>
        <w:t xml:space="preserve">Regulación</w:t>
      </w:r>
    </w:p>
    <w:p>
      <w:pPr>
        <w:spacing w:after="100"/>
      </w:pPr>
      <w:r>
        <w:t xml:space="preserve">Tres frentes con efecto en cifras. En Europa, la directiva de servicios audiovisuales obliga a un 30 % de obra europea en el catálogo y varios países (Francia, Italia, España) exigen invertir un porcentaje de los ingresos locales en producción nacional. En EE. UU., la propuesta de 2025 de un arancel del 100 % a las películas producidas en el extranjero no se ha concretado, pero amenaza a una empresa que produce en más de 50 países [10]. Y los impuestos indirectos sobre servicios digitales: el litigio de Brasil costó ≈ 619 M en el 3T25 y exige un depósito de ≈ 700 M en 2026 [7, 8]. La revisión regulatoria de la compra de Warner por Paramount (FCC y antimonopolio) definirá el tamaño del principal rival.</w:t>
      </w:r>
    </w:p>
    <w:p>
      <w:pPr>
        <w:pStyle w:val="Heading2"/>
      </w:pPr>
      <w:r>
        <w:t xml:space="preserve">Tendencias y disrupción</w:t>
      </w:r>
    </w:p>
    <w:p>
      <w:pPr>
        <w:spacing w:after="100"/>
      </w:pPr>
      <w:r>
        <w:t xml:space="preserve">Cuatro tendencias, dos a favor y dos en contra. A favor: la publicidad, que Netflix dobla en 2026 con tecnología propia, y el directo (NFL, boxeo, béisbol en Japón), que con un 5 % del gasto en contenidos genera seis de los diez mejores días de altas [10]. En contra: YouTube y el vídeo de creadores, que ya suman el 14,2 % del tiempo de televisión en EE. UU. frente al ≈ 8-9 % de Netflix, y la consolidación: Paramount con Warner tendrá el segundo mayor catálogo, aunque con 110.000 M de valor empresa muy endeudado [19, 20]. La IA generativa es ambivalente: abarata la producción de Netflix (usada en unos 300 títulos en 2026), pero también la de sus competidores de bajo coste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streaming de pago por ingresos (39.001 M en 2024, ≈ 30 % de un mercado de ≈ 129.300 M); 2.º en tiempo de televisión en EE. UU. tras YouTube (≈ 8-9 % frente a 14,2 %) [1, 14, 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Disney (Entertainment DTC: Disney+, Hulu)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sep-2025: beneficio operativo de 1.327 M (143 M el año anterior); 132 M de suscriptores de Disney+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Bros. Discovery (HBO Max)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WBD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la dirección para 2025: EBITDA ajustado de 1.000 M (9,5 %); pasa a Paramount Skydance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 (Paramount+, Pluto TV)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PSKY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2024: OIBDA ajustado de −497 M (−1.663 M en 2023)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 (Peacock)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CMCSA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M de suscriptores de pago a fin de 2025 (36 M en 2024); 2,6 % del tiempo de televisión en EE. UU. [17,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 (YouTube)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GOOGL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publicidad de YouTube en 2025 (36.147 M en 2024); gratis para el usuario, primer distribuidor de televisión en EE. UU. [18,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Amazon (Prime Video)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Incluido en Prime; no publica sus cifras; compró MGM (2022) y tiene la NFL de los jueves y la NBA [8].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Indirectos: más suscriptores financian más contenido (≈ 17.700 M de pagos en 2025) y más datos de visionado; no hay red entre usuarios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baja en un clic; los perfiles, el historial y las recomendaciones dan algo de retención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mundial y franquicias propias (Stranger Things 120 M de visualizaciones, KPop Demon Hunters, Bridgerton, Squid Game)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29,5 % frente al 5,4 % de Disney DTC y pérdidas de Paramount DTC: reparte el coste de cada título entre 325 M de suscripciones [4,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Netflix y YouTube tienen escala mundial rentable; WBD y Paramount han tenido que fusionarse [14].</w:t>
            </w:r>
          </w:p>
        </w:tc>
      </w:tr>
    </w:tbl>
    <w:p>
      <w:pPr>
        <w:spacing w:after="160" w:before="0"/>
      </w:pPr>
    </w:p>
    <w:p>
      <w:pPr>
        <w:pStyle w:val="Heading2"/>
      </w:pPr>
      <w:r>
        <w:t xml:space="preserve">Amenazas</w:t>
      </w:r>
    </w:p>
    <w:p>
      <w:pPr>
        <w:spacing w:after="100"/>
      </w:pPr>
      <w:r>
        <w:t xml:space="preserve">La amenaza principal no es otro servicio de suscripción, sino YouTube: gratis, con contenido de creadores cada vez más largo y en la televisión del salón, ya duplica la cuota de tiempo de Netflix en EE. UU. [19]. La segunda es que Paramount-Warner (HBO, DC, Warner Bros.) retire o encarezca licencias y compita por talento; probabilidad media, porque su deuda limita lo que puede gastar [20]. La tercera, que la saturación de precios en EE. UU. frene las subidas: UCAN creció solo un 10 % en el 2T26 [10]. El foso (escala de 325 M de suscripciones para repartir el coste de los contenidos) sigue siendo el mayor del sector: lo calificamos de amplio y estable.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2016-2025: ingresos </w:t>
      </w:r>
      <w:r>
        <w:rPr>
          <w:b/>
          <w:bCs/>
        </w:rPr>
        <w:t xml:space="preserve">19,9 %</w:t>
      </w:r>
      <w:r>
        <w:t xml:space="preserve">, EBITDA </w:t>
      </w:r>
      <w:r>
        <w:rPr>
          <w:b/>
          <w:bCs/>
        </w:rPr>
        <w:t xml:space="preserve">47,2 %</w:t>
      </w:r>
      <w:r>
        <w:t xml:space="preserve">, BPA </w:t>
      </w:r>
      <w:r>
        <w:rPr>
          <w:b/>
          <w:bCs/>
        </w:rPr>
        <w:t xml:space="preserve">57,3 %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a dos dígitos y un margen que se ha multiplicado por siete.</w:t>
      </w:r>
      <w:r>
        <w:t xml:space="preserve"> Los ingresos crecieron un 19,9 % anual de 2016 a 2025, hasta 45.183 M, casi todo orgánico: las compras suman 1.563 M en la década [1]. El margen operativo pasó del 4,3 % de 2016 al 29,5 % de 2025 (30,6 % sin los 495 M del litigio fiscal de Brasil de años anteriores) [7]. El salto vino del apalancamiento: la amortización de contenidos cayó del 54 % de las ventas en 2016 al 36 % en 2025, porque los mismos títulos se reparten entre más suscripciones y precios más altos [1, 2]. 2022 fue el único tropiezo: perdió suscriptores en el primer semestre, el crecimiento cayó al 6,5 % y el margen al 17,8 %. Lo corrigió con el plan con anuncios y el fin de las cuentas compartidas: +16 % en 2024 y 2025 [2, 5]. En 2026 la guía es de +13-14 % y un margen operativo del 31,5 % [10].</w:t>
      </w:r>
    </w:p>
    <w:p>
      <w:pPr>
        <w:pStyle w:val="Heading2"/>
      </w:pPr>
      <w:r>
        <w:t xml:space="preserve">Ajustes y partidas no recurrentes</w:t>
      </w:r>
    </w:p>
    <w:p>
      <w:pPr>
        <w:spacing w:after="100"/>
      </w:pPr>
      <w:r>
        <w:t xml:space="preserve">Usamos las cifras publicadas. Dos partidas no recurrentes: el gasto de ≈ 619 M del 3T25 por la disputa con la Hacienda de Brasil sobre impuestos que no son de beneficios, del que ≈ 495 M corresponden a 2022-2024 y se devuelven al EBITDA de 2025 y del LTM (estimación propia sobre el ≈ 20 % que la empresa atribuye a 2025) [7]; y la comisión de ruptura de 2.800 M de Warner Bros., cobrada en el 1T26 y registrada en otros ingresos, fuera del EBITDA pero dentro del beneficio neto LTM (13.650 M) [9]. Además, ≈ 60 M de costes del préstamo puente en gastos financieros del 4T25 y ≈ 275 M de gastos ligados a la compra incluidos en la guía de margen de 2026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Del «acelerador» Warner a la disciplina de margen.</w:t>
      </w:r>
      <w:r>
        <w:t xml:space="preserve"> En enero de 2026 la dirección defendía la compra de Warner Bros. como acelerador de su estrategia y paraba las recompras para financiarla [8]. En abril, ya rescindida, el mensaje cambió: Warner «habría sido un buen acelerador, pero solo al precio adecuado», y Netflix volvió a recomprar (4.700 M en el 2T26, récord) con una autorización nueva de 25.000 M [9, 10]. En julio el discurso giró hacia la calidad del visionado: las horas crecen solo un 2 % y la empresa dejará de publicar el informe semestral de visionado desde 2027, para que el foco esté en ingresos y beneficio [10]. Las preguntas de los analistas se repiten: el freno de UCAN (+10 % en el 2T26 frente al +18 % del 4T25), la competencia de YouTube por el tiempo de televisión y si la publicidad (≈ 3.000 M en 2026) compensa la desaceleración [10]. La dirección no da cifras de suscriptores desde 2025 ni separa el efecto precio del efecto volumen, y no ha explicado qué hará con la caja si no compra estudios. El 3T26 se publica el 20-oct: la guía es +12 % y un margen del 33,2 % [10, 29].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Netflix pasó de financiar los contenidos con deuda (deuda bruta de 3.364 M en 2016 a 16.309 M en 2020) a pagarlos con su caja: desde 2020 no ha aumentado la deuda y la deuda neta ha bajado a 5.181 M a 30-jun-2026, 0,38 veces el EBITDA de 2025 [1, 2]. El circulante comercial es casi nulo (1,2 % de las ventas): cobra por adelantado y no tiene existencias. El coste medio de la deuda es del 5,1 % y el último bono, a 10 años, se colocó al 5,25 % en julio de 2026 para refinanciar el de noviembre [11]. El balance aguantó el compromiso de un puente de 59.000 M para Warner; sin esa compra, sobra capacidad para recomprar.</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17.189</w:t>
      </w:r>
      <w:r>
        <w:t xml:space="preserve">, conversión </w:t>
      </w:r>
      <w:r>
        <w:rPr>
          <w:b/>
          <w:bCs/>
        </w:rPr>
        <w:t xml:space="preserve">42 %</w:t>
      </w:r>
      <w:r>
        <w:t xml:space="preserve"> del beneficio neto; adquisiciones 1.563, dividendos 0, recompras 22.036.</w:t>
      </w:r>
    </w:p>
    <w:p>
      <w:pPr>
        <w:spacing w:after="100"/>
      </w:pPr>
      <w:r>
        <w:rPr>
          <w:b/>
        </w:rPr>
        <w:t xml:space="preserve">El «capex» de Netflix son los contenidos, y está dentro del flujo operativo.</w:t>
      </w:r>
      <w:r>
        <w:t xml:space="preserve"> En 2025 pagó 17.708 M por contenidos frente a 16.422 M de amortización (1,08 veces); el exceso, 1.285 M (2,8 % de las ventas), es la inversión neta real del negocio, mucho mayor que las compras de inmovilizado (688 M) [1]. De 2016 a 2019 la ratio fue de 1,4-1,6 veces y el flujo libre negativo (−3.140 M en 2019): crecer con producción propia exigía pagar antes de amortizar [2]. Desde 2023 la ratio está en 0,9-1,1 veces y el flujo libre fue de 6.926 M (2023), 6.922 M (2024) y 9.461 M (2025), con una conversión del 86 % del beneficio en 2025 [1]. La guía de 2026 es de ≈ 12.500 M de flujo libre, inflado por la comisión de ruptura después de impuestos, con una ratio de ≈ 1,1 veces [9, 10]. En el DCF tratamos el exceso de pagos sobre amortización como capex (3,5 % de las ventas en 2026, bajando al 2,3 % hacia 2033) y las compras de inmovilizado como el 1,0-1,6 % restante.</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con una zona de juicio: la amortización de contenidos. Netflix amortiza cada título de forma acelerada (más del 90 % en cuatro años) según patrones de visionado estimados; un cambio de vidas útiles movería el margen sin mover la caja, y por eso miramos los pagos de caja [1]. Los incentivos fiscales a la producción rebajaron la amortización en ≈ 1.000 M en 2025 [1]. La remuneración en acciones es baja (368 M, 0,8 % de las ventas): Netflix paga sobre todo en efectivo. El tipo impositivo efectivo (13,7 % en 2025) se apoya en créditos de I+D y en la deducción por ingresos del exterior; el de 2026 sube al 16 % en el 2T26 [3]. Los indicadores del motor no dan alarmas: Altman Z de 8,88 (zona segura), Piotroski F de 7 y Beneish M de −2,53, por debajo del umbral de manipulación. El auditor es EY desde 2012, sin salvedades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y amortización acelerada de contenidos con estimaciones de la dirección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cada título se amortiza en cuatro años; la amortización (16.422 M en 2025) es el 36 % de los ingresos y depende de patrones de visionado estimados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fiscal de Brasil cargado de una vez en el 3T25 por 2022-2025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619 M en coste de ventas; ya identificado en los 10-Q y 10-K anteriores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fiscales a la producción restan coste a los contenidos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Rebajaron la amortización de producciones propias en ≈ 1.000 M en 2025 (899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2026 inflado por la comisión de ruptura de Warner Bros.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2.800 M en otros ingresos del 1T26: no recurrente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368 M en 2025 (0,8 % de las ventas): Netflix paga sobre todo en efectivo [1].</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43,1 % · </w:t>
      </w:r>
      <w:r>
        <w:rPr>
          <w:b/>
          <w:bCs/>
        </w:rPr>
        <w:t xml:space="preserve">WACC</w:t>
      </w:r>
      <w:r>
        <w:t xml:space="preserve">: 11,5 %.</w:t>
      </w:r>
    </w:p>
    <w:p>
      <w:pPr>
        <w:spacing w:after="100"/>
      </w:pPr>
      <w:r>
        <w:rPr>
          <w:b/>
        </w:rPr>
        <w:t xml:space="preserve">Netflix crea valor con holgura y cada vez más.</w:t>
      </w:r>
      <w:r>
        <w:t xml:space="preserve"> El ROIC subió del 6,3 % de 2016 al 38,0 % de 2025, más de tres veces el WACC del 11,47 %, y el ROIC incremental histórico es del 43,1 % [1]. Lo explica el margen (el beneficio neto pasó del 2,1 % al 24,3 % de las ventas), no la rotación, que se mantiene en 0,65-0,83 veces porque los contenidos (32.778 M) son casi todo el capital invertido. El tropiezo de 2022 (17,7 %) muestra el riesgo: si el crecimiento se para, los contenidos ya comprometidos siguen amortizándose. Ningún rival de streaming se acerca: Disney DTC gana un 5,4 % sobre ventas y Paramount DTC perdió dinero en 2024 [15, 16].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5.181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9.099 M e inversiones a corto de 29 M a 30-jun-2026, más una línea de crédito revolving de 3.000 M sin disponer (vence en abril de 2029)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pesa fuera de la deuda son los contenidos: 25.100 M de obligaciones a 30-jun-2026, de ellas 19.600 M fuera de balance porque los títulos aún no están disponibles; son compromisos casi tan firmes como la deuda, pero se pagan con el flujo operativo y ya están en el DCF a través del capex de contenidos [3]. El litigio fiscal de Brasil exige un depósito de ≈ 700 M previsto para 2026 [8]. Los beneficios fiscales no reconocidos suman 566 M [1]. La línea de crédito de 3.000 M (sin disponer) exige EBITDA/intereses ≥ 3 veces: hoy es 17,8 veces [3]. Los arrendamientos operativos (2.330 M) no se suman a la deuda en US GAAP [3]. No hay pensiones de prestación definida relevantes.</w:t>
      </w:r>
    </w:p>
    <w:p>
      <w:pPr>
        <w:pStyle w:val="Heading1"/>
      </w:pPr>
      <w:r>
        <w:t xml:space="preserve">12. Asignación de capital</w:t>
      </w:r>
    </w:p>
    <w:p>
      <w:pPr>
        <w:pStyle w:val="Confianza"/>
        <w:spacing w:after="100"/>
      </w:pPr>
      <w:r>
        <w:t xml:space="preserve">Confianza: Alta</w:t>
      </w:r>
    </w:p>
    <w:p>
      <w:pPr>
        <w:spacing w:after="100"/>
      </w:pPr>
      <w:r>
        <w:t xml:space="preserve">Prioridades declaradas: reinvertir en el negocio (contenidos, producto, publicidad), compras selectivas, mantener el grado de inversión y liquidez, y devolver el excedente con recompras; no paga dividendo [8, 10]. En abril de 2026 el consejo aprobó 25.000 M de recompras adicionales: quedan 27.100 M tras el 2T26, un 9 % de la capitalización [10]. Las recompras se pararon de diciembre de 2025 a febrero de 2026 para financiar Warner Bros. y se reanudaron con 4.700 M en el 2T26 [8,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Scanline VFX, Next Games, Night School Studio y otras (estudios de efectos y videojuegos)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Netflix Games y de la producción de efectos propia; sin deterioros publicados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Animal Logic, Boss Fight, Spry Fox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Animación propia; KPop Demon Hunters en 2025 fue su mayor éxito de animación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Estudios y HBO Max de Warner Bros. (82.700 M de valor empresa; 27,75 USD por acción de WBD, después todo en efectivo)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Puente de 59.000 M rebajado a 34.000 M con deuda a plazo; luego 42.200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cerró: WBD rescindió el acuerdo el 27-feb-2026 para aceptar a Paramount Skydance; Netflix cobró 2.800 M de comisión de ruptura [3, 8,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InterPositive (herramientas de IA para cine)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Recién comprada [9].</w:t>
            </w:r>
          </w:p>
        </w:tc>
      </w:tr>
    </w:tbl>
    <w:p>
      <w:pPr>
        <w:spacing w:after="160" w:before="0"/>
      </w:pPr>
    </w:p>
    <w:p>
      <w:pPr>
        <w:spacing w:after="100"/>
      </w:pPr>
      <w:r>
        <w:rPr>
          <w:b/>
        </w:rPr>
        <w:t xml:space="preserve">Buena asignación del capital, con una apuesta que salió bien porque no se cerró.</w:t>
      </w:r>
      <w:r>
        <w:t xml:space="preserve"> En la década, Netflix generó 17.189 M de flujo libre y recompró 22.036 M; solo gastó 1.563 M en compras pequeñas de estudios de animación, efectos y juegos [1]. Su ROIC incremental del 43,1 % muestra que cada dólar reinvertido en contenidos ha rendido. La oferta por Warner Bros. (82.700 M de valor empresa, 30,6 veces el EBITDA previsto de 2025) habría duplicado la deuda y supuesto pagar un múltiplo mucho más alto que el propio [20]. Perder la puja le dejó 2.800 M de comisión y el balance intacto, pero la dirección demostró que estaba dispuesta a un salto de apalancamiento: es el riesgo de asignación a vigilar. Las acciones en circulación bajaron un 2,7 % en 18 meses.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 y presidente (President)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2000 como responsable de contenidos; impulsó la producción propia desde House of Cards (2013). Co-consejero delegado desde julio de 2020: los ingresos pasaron de 25.000 M a 45.183 M (2025) y el margen operativo del 18 % al 29,5 %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Netflix desde 2008; director de producto y operaciones. Lideró el plan con anuncios (nov-2022) y la limitación de cuentas compartidas (2023). Co-consejero delegado desde enero de 2023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Neumann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Activision Blizzard y responsable financiero en Disney. En su etapa, Netflix pasó de flujo libre negativo (−3.100 M en 2019) a 9.500 M en 2025 y empezó las recompras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Technology Crossover Ventures; consejero coordinador independiente desde 2012 y presidente desde el 4-jun-2026. En 2025 no obtuvo la mayoría de los votos (21,5 % a favor) y el consejo rechazó su dimisión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Hyman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jurídico desde 2002; vendió 38,1 M USD en acciones en 12 meses [22,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Reed Hastings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presidente hasta el 4-jun-2026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 delegado durante más de 25 años; presidente ejecutivo hasta abril de 2025 y presidente no ejecutivo hasta la junta de 2026, a la que no se presentó. Vendió 309 M USD en acciones en 12 meses con plan 10b5-1 [22, 25,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20 % (ene-2021)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19-20 % (ene-2022)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17,8 % publicado; 20 % a tipos de cambio de enero y sin reestructuración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18-20 % (ene-2023)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20,6 % (21 %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22-23 %, elevado al 24 % en ene-2024; crecimiento de ingresos de dos dígitos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26,7 % y +16 %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43.500-44.500 M y margen del 29 % (ene-2025)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45.183 M y 29,5 % (pese a ≈ 619 M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del 31,5 % en 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28,2 % por el gasto fiscal de Brasil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Un equipo con historial de cumplir la guía y que se ha estabilizado.</w:t>
      </w:r>
      <w:r>
        <w:t xml:space="preserve"> Desde 2021 la dirección ha cumplido su objetivo anual de margen en cuatro de cinco años, y en 2022 lo cumplió a tipos de cambio constantes [24]. La única sorpresa negativa reciente fue el gasto de Brasil del 3T25, que ya figuraba como riesgo en los 10-Q [7]. La sucesión se resolvió con orden: Peters se sumó a Sarandos como co-consejero delegado en 2023, Hastings dejó la presidencia ejecutiva en 2025 y el consejo en 2026, y la presidencia pasó a un independiente, Jay Hoag [21, 26]. Lo que resta: los directivos venden y no compran (402,5 M en 12 meses, sobre todo Hastings con un plan 10b5-1) y la ampliación de las indemnizaciones de la cúpula desde 2026 [25, 27].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Jay Hoag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Ted Sarandos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Peters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Barton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Mathias Döpfner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 Kilgore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Strive Masiyiwa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Mather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Elinor Mertz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401,61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13G/A de feb-2024; tras su reorganización de marzo de 2026 declara 0,0 % en la sociedad matriz (las participaciones pasan a sus filiales)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publicados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netas de 402,5 M USD en 12 meses [22,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413,4 M de acciones en autocartera a 30-jun-2026 (346,5 M a fin de 2025), sobre 4.577 M emitidas [3]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Reed Hastings (presidente hasta jun-2026)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Hyman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Greg Peters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Spencer Neumann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Ted Sarandos (co-consejero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Brad Smith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Sarandos cobró 53,9 M USD en 2025 (Peters 53,2 M): 3,0 M de salario, 7,05 M de bonus y 41,4 M en acciones; 255 veces el empleado mediano [22]. El bonus depende de ingresos (35 %) y margen operativo (65 %) a tipo de cambio constante; el variable a largo plazo es mitad RSU y mitad PSU ligadas al TSR frente al S&amp;P 500 a tres años, lo que premia la rentabilidad para el accionista y no el crecimiento a cualquier precio [22]. Hay cláusula de recuperación de los incentivos. El voto en contra de la remuneración subió del 14,4 % en 2025 al 16,2 % en 2026, tras ampliar a dos años de salario y bonus la indemnización por despido o dimisión por «buena razón» [21, 23, 27].</w:t>
      </w:r>
    </w:p>
    <w:p>
      <w:pPr>
        <w:pStyle w:val="Heading2"/>
      </w:pPr>
      <w:r>
        <w:t xml:space="preserve">Operaciones vinculadas, estructura de control y defensas</w:t>
      </w:r>
    </w:p>
    <w:p>
      <w:pPr>
        <w:spacing w:after="100"/>
      </w:pPr>
      <w:r>
        <w:t xml:space="preserve">No hay accionista de control: los mayores son Vanguard (8,65 %, según su último 13G), BlackRock (7,34 %) y Fidelity (5,29 %), y consejeros y directivos suman el 1,24 % [22]. Una acción, un voto; consejo declasificado por fases desde 2022, sin supermayorías, con acceso al proxy (3 % durante tres años) y derecho a convocar junta con el 20 % [22]. Los accionistas no pueden actuar por consentimiento escrito: la propuesta para permitirlo obtuvo un 44,4 % en 2026 [21]. No hay operaciones vinculadas relevantes. Desde junio de 2026 el presidente es independiente y se suprimió la figura del consejero coordinador [21].</w:t>
      </w:r>
    </w:p>
    <w:p>
      <w:pPr>
        <w:pStyle w:val="Heading2"/>
      </w:pPr>
      <w:r>
        <w:t xml:space="preserve">Señales de alerta</w:t>
      </w:r>
    </w:p>
    <w:p>
      <w:pPr>
        <w:pStyle w:val="ListParagraph"/>
        <w:numPr>
          <w:ilvl w:val="0"/>
          <w:numId w:val="2"/>
        </w:numPr>
        <w:spacing w:after="60"/>
      </w:pPr>
      <w:r>
        <w:t xml:space="preserve">Jay Hoag recibió solo un 21,5 % de votos a favor en la junta de 2025 (no obtuvo la mayoría) y el consejo rechazó su dimisión; en 2026 fue reelegido con un 93 % y nombrado presidente [21, 23].</w:t>
      </w:r>
    </w:p>
    <w:p>
      <w:pPr>
        <w:pStyle w:val="ListParagraph"/>
        <w:numPr>
          <w:ilvl w:val="0"/>
          <w:numId w:val="2"/>
        </w:numPr>
        <w:spacing w:after="60"/>
      </w:pPr>
      <w:r>
        <w:t xml:space="preserve">El voto en contra de la remuneración subió del 14,4 % (2025) al 16,2 % (2026) tras ampliar las indemnizaciones de la cúpula [21, 23, 27].</w:t>
      </w:r>
    </w:p>
    <w:p>
      <w:pPr>
        <w:pStyle w:val="ListParagraph"/>
        <w:numPr>
          <w:ilvl w:val="0"/>
          <w:numId w:val="2"/>
        </w:numPr>
        <w:spacing w:after="60"/>
      </w:pPr>
      <w:r>
        <w:t xml:space="preserve">Ventas de directivos de 402,5 M USD en 12 meses (384,0 M con planes 10b5-1) y ninguna compra [25].</w:t>
      </w:r>
    </w:p>
    <w:p>
      <w:pPr>
        <w:pStyle w:val="ListParagraph"/>
        <w:numPr>
          <w:ilvl w:val="0"/>
          <w:numId w:val="2"/>
        </w:numPr>
        <w:spacing w:after="60"/>
      </w:pPr>
      <w:r>
        <w:t xml:space="preserve">La propuesta de accionistas para actuar por consentimiento escrito obtuvo un 44,4 % de votos a favor en 2026 [21].</w:t>
      </w:r>
    </w:p>
    <w:p>
      <w:pPr>
        <w:pStyle w:val="ListParagraph"/>
        <w:numPr>
          <w:ilvl w:val="0"/>
          <w:numId w:val="2"/>
        </w:numPr>
        <w:spacing w:after="60"/>
      </w:pPr>
      <w:r>
        <w:t xml:space="preserve">Anne Sweeney dimitió del consejo el 26-jul-2026 sin desacuerdos declarados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(16-jul-2026): ingresos de 51.000-51.400 M (+13-14 %, ≈ +12 % a tipo constante), margen operativo del 31,5 %, ingresos publicitarios de ≈ 3.000 M (el doble), amortización de contenidos +≈ 10 % y flujo libre de ≈ 12.500 M con una ratio de pagos de contenidos sobre amortización de ≈ 1,1 veces [10]. Para el 3T26: +12 % y margen del 33,2 % (28,2 % un año antes, con Brasil) [10]. La guía de enero (50.700-51.700 M) se ha estrechado sin moverse. La dirección no da objetivos a medio plazo; solo la intención de subir el margen cada año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(51 analistas)</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(51 analistas)</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15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57,00 – 135,00</w:t>
            </w:r>
          </w:p>
        </w:tc>
      </w:tr>
    </w:tbl>
    <w:p>
      <w:pPr>
        <w:spacing w:after="160" w:before="0"/>
      </w:pPr>
    </w:p>
    <w:p>
      <w:pPr>
        <w:pStyle w:val="Heading2"/>
      </w:pPr>
      <w:r>
        <w:t xml:space="preserve">Revisiones de estimaciones</w:t>
      </w:r>
    </w:p>
    <w:p>
      <w:pPr>
        <w:spacing w:after="100"/>
      </w:pPr>
      <w:r>
        <w:t xml:space="preserve">El consenso de MarketScreener (51 analistas) espera 51.218 M de ingresos en 2026, 56.947 M en 2027 y 62.709 M en 2028, en línea con la guía [31]. Los precios objetivo están bajando en octubre: Morgan Stanley de 83 a 80 USD, Barclays de 80 a 70, Goldman de 94 a 90; y Wells Fargo está en infraponderar con 57 USD, el mínimo [32, 52]. Las recomendaciones siguen mayoritariamente en compra (35 de 51). No hay cifras gratuitas de revisión del BPA a 3 y 12 meses; el BPA de 2026 (3,58 USD) está inflado por la comisión de ruptura, por eso el de 2027 solo sube un 6 %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bl>
    <w:p>
      <w:pPr>
        <w:spacing w:after="160" w:before="0"/>
      </w:pPr>
    </w:p>
    <w:p>
      <w:pPr>
        <w:spacing w:after="100"/>
      </w:pPr>
      <w:r>
        <w:rPr>
          <w:b/>
        </w:rPr>
        <w:t xml:space="preserve">Un año perdido pese a crecer un 16 %.</w:t>
      </w:r>
      <w:r>
        <w:t xml:space="preserve"> La acción rinde un −42,4 % en 12 meses y un −25,0 % en 2026, frente al +15,1 % del S&amp;P 500 [33]. Tres caídas lo explican: −10,1 % el 22-oct-2025 (margen del 3T25 por debajo de la guía por Brasil), −9,7 % el 17-abr-2026 (resultados del 1T26, con un beneficio inflado por la comisión de Warner y un 2T26 de menos margen) y −7,3 % el 17-jul-2026, su mínimo de 52 semanas (65,08 USD), por el freno de UCAN [7, 10, 33]. Entre medias, la puja por Warner (dic-2025 a feb-2026) asustó por la deuda que suponía. A tres años la acción aún rinde un 24,3 % anual, por encima del índice; a cinco, solo un 2,3 %: la caída de 2022 (−51,1 %) sigue pesando. La volatilidad es del 36,8 % y la caída máxima a cinco años, del −75,9 % [33].</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Netflix cotiza a 19,8 veces el EBITDA y 22,1 veces el beneficio de los últimos 12 meses, los mínimos de su década: la media fue de 49,2 y 66,0 veces, y el mínimo anterior (cierre de 2022), de 23,7 veces el EBITDA [33]. Parte de la caída es lógica: hasta 2021 el EBITDA era pequeño frente al precio porque el margen estaba en construcción, y el Tesoro al 5,22 % pesa sobre todos los múltiplos de crecimiento. Lo nuevo es que el mercado ya no paga por crecimiento: la valora como un negocio maduro de televisión con buen margen, no como una tecnológica.</w:t>
      </w:r>
    </w:p>
    <w:p>
      <w:pPr>
        <w:pStyle w:val="Heading1"/>
      </w:pPr>
      <w:r>
        <w:t xml:space="preserve">18. Comparables cotizados</w:t>
      </w:r>
    </w:p>
    <w:p>
      <w:pPr>
        <w:pStyle w:val="Confianza"/>
        <w:spacing w:after="100"/>
      </w:pPr>
      <w:r>
        <w:t xml:space="preserve">Confianza: Media</w:t>
      </w:r>
    </w:p>
    <w:p>
      <w:pPr>
        <w:spacing w:after="100"/>
      </w:pPr>
      <w:r>
        <w:t xml:space="preserve">Seis cotizadas de entretenimiento y medios con datos comparables: dos grupos de televisión y estudios con streaming propio (Disney, Comcast), una cadena de televisión (Fox) y tres plataformas de contenidos que crecen a dos dígitos (Spotify, Roku, TKO). Fuera: Warner Bros. Discovery, que cotiza al precio de la opa de Paramount; Paramount Skydance, con el perímetro en cambio; y Amazon, Alphabet y Apple, donde el vídeo es una parte pequeña del beneficio.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Walt Disney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Comcast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Fox Corporation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Roku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TKO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 / 12,7x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 / 14,9x / 30,6x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24,0x / 35,6x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3,1x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5,5 + 0,98 × crecimiento; R² = 0,95. Para el crecimiento esperado de la empresa (11,6 %), el múltiplo ajustado es 16,8x y el valor por acción, 73,97.</w:t>
      </w:r>
    </w:p>
    <w:p>
      <w:pPr>
        <w:spacing w:after="100"/>
      </w:pPr>
      <w:r>
        <w:t xml:space="preserve">Netflix cotiza a 16,0 veces el EBITDA y 18,7 veces el beneficio de los próximos 12 meses. Frente a la mediana de la muestra (12,7 y 24,0 veces) está cara en EBITDA y barata en PER, porque su EBITDA ya resta la amortización de contenidos y el de los grupos de televisión no. Lo relevante es el contraste de calidad: con un crecimiento previsto del ≈ 11 %, un ROIC del 38 % y un margen del 31 %, cotiza a un PER más bajo que Spotify (32,0 veces), Roku (42,7) o TKO (36,8), que crecen igual o algo más con menos margen [34, 35, 36, 37, 38, 39, 40, 41, 42, 43, 44, 45]. La mediana del PER daría 89,88 USD y la del EV/EBITDA, 55,51: la dispersión es tan grande que los comparables pesan solo un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(estudios, HBO y HBO Max)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(acuerdo rescindido en feb-2026)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82.700 M (27,75 USD por acción de WBD, después todo en efectivo); sobre las previsiones de la dirección de WBD para 2025: ingresos de 19.200 M y EBITDA ajustado antes de pagos en acciones de 2.700 M [8,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Warner Bros. Discovery (todo el grupo)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USD por acción en efectivo: 81.000 M de valor de las acciones y 110.000 M de valor empresa; múltiplos sobre ingresos de 37.296 M y EBITDA de 6.422 M de 2025 (beneficio operativo + amortizaciones, estimación propia con el XBRL de WBD) [47, 48,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Hulu (33 % de Comcast)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Walt Disney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única operación de una plataforma de streaming pura: 2,6 veces los ingresos de los últimos 12 meses según los asesores de WBD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Skydance Media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diversificado de televisión y cine; los asesores de WBD dan para este tipo de operaciones (con Disney–21st Century Fox y AT&amp;T–Time Warner) un rango de 7,9-16,5 veces el EBITDA ajustado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MGM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 y catálogo; las operaciones de estudios (con Hasbro–eOne, Candle–Moonbug y Comcast–DreamWorks Animation) se pagaron a 19,5-34,4 veces el EBITDA ajustado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30,59 – 40,39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del sector se pagaron a 17-31 veces el EBITDA: Paramount Skydance paga 110.000 M por Warner Bros. Discovery (17,1 veces el EBITDA de 2025, estimación propia) y Netflix ofreció 82.700 M por los estudios y HBO Max (30,6 veces el EBITDA ajustado previsto de 2025) [20, 47, 48]. Disney valoró Hulu a 2,6 veces los ingresos [20]. No sirven para valorar a Netflix, que es compradora y no objetivo: con 297.000 M de capitalización no hay comprador plausible. Pesan un 0 %. Lo que sí dicen es que Netflix estaba dispuesta a pagar por estudios un múltiplo casi el doble del suyo.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+13,4 %, fijo: la guía da 51.000-51.400 M (+13-14 %) y el consenso, 51.218 M [10, 31]. Después, +11 % en 2027e y +10 % en 2028e (consenso: +11,2 % y +10,1 %), y un punto menos cada año hasta el +5 % de 2033e. La media del caso base (8,0 % en 2027e-2033e) queda muy por debajo del 19,9 % anual de la década y del 16 % de 2024-2025 [1]. Las palancas: suscripciones fuera de EE. UU., subidas de precio y publicidad.</w:t>
      </w:r>
    </w:p>
    <w:p>
      <w:pPr>
        <w:keepNext/>
        <w:spacing w:after="100"/>
      </w:pPr>
      <w:r>
        <w:rPr>
          <w:b/>
          <w:bCs/>
        </w:rPr>
        <w:t xml:space="preserve">Márgenes.</w:t>
      </w:r>
    </w:p>
    <w:p>
      <w:pPr>
        <w:spacing w:after="100"/>
      </w:pPr>
      <w:r>
        <w:t xml:space="preserve">Margen EBITDA (con la amortización de contenidos como gasto) del 32,3 % en 2026e, la guía de margen operativo del 31,5 % más la depreciación de inmovilizado [10]. Sube al 36,0 % en 2028e (consenso, sin pagos en acciones: 36,2 %) y al 39,5 % en 2033e, porque la amortización de contenidos crecerá menos que los ingresos (+10 % en 2026 frente a +13-14 %) [10, 31]. El margen operativo ha subido 2-4 puntos al año desde 2022; el caso base sube 1,5 puntos de media y se para en 2033e.</w:t>
      </w:r>
    </w:p>
    <w:p>
      <w:pPr>
        <w:keepNext/>
        <w:spacing w:after="100"/>
      </w:pPr>
      <w:r>
        <w:rPr>
          <w:b/>
          <w:bCs/>
        </w:rPr>
        <w:t xml:space="preserve">Inversión y circulante.</w:t>
      </w:r>
    </w:p>
    <w:p>
      <w:pPr>
        <w:spacing w:after="100"/>
      </w:pPr>
      <w:r>
        <w:t xml:space="preserve">«Capex» = compras de inmovilizado (≈ 1,5 % de las ventas, el de 2025) + exceso de los pagos de caja por contenidos sobre su amortización. Con la ratio de ≈ 1,1 veces de la guía de 2026 y una amortización del 34-36 % de las ventas, el exceso es ≈ 3,5 % de las ventas; baja hacia el 2,3 % en 2033e (ratio ≈ 1,06), coherente con un crecimiento del 5 % y un desfase de un año entre pago y amortización [1, 10]. La amortización del DCF (0,8-1,0 %) es solo la de inmovilizado. Circulante del 1,2 % de las ventas (2025) y tipo impositivo del 15 % (13,7 % en 2025, 16 % en el 2T26) [1, 3].</w:t>
      </w:r>
    </w:p>
    <w:p>
      <w:pPr>
        <w:keepNext/>
        <w:spacing w:after="100"/>
      </w:pPr>
      <w:r>
        <w:rPr>
          <w:b/>
          <w:bCs/>
        </w:rPr>
        <w:t xml:space="preserve">Coste del capital.</w:t>
      </w:r>
    </w:p>
    <w:p>
      <w:pPr>
        <w:spacing w:after="100"/>
      </w:pPr>
      <w:r>
        <w:t xml:space="preserve">Tasa libre del 5,22 %, el Tesoro a 10 años del 8-oct-2026 [51]. Beta de 1,20, la media de las betas ajustadas (semanal a 2 años 0,95, semanal a 5 años 1,27 y mensual a 5 años 1,40): la mensual sin ajustar (1,59) recoge la caída de 2022 y la semanal a 2 años (0,93), un periodo de calma [33]. Prima de mercado del 5,5 %, coste de la deuda del 5,25 % (bono de 2036) y un 4,7 % de deuda a mercado. WACC del 11,47 %; con la prima implícita del mercado (4,20 %), el 9,99 % [50].</w:t>
      </w:r>
    </w:p>
    <w:p>
      <w:pPr>
        <w:keepNext/>
        <w:spacing w:after="100"/>
      </w:pPr>
      <w:r>
        <w:rPr>
          <w:b/>
          <w:bCs/>
        </w:rPr>
        <w:t xml:space="preserve">Valor terminal.</w:t>
      </w:r>
    </w:p>
    <w:p>
      <w:pPr>
        <w:spacing w:after="100"/>
      </w:pPr>
      <w:r>
        <w:t xml:space="preserve">Crecimiento a perpetuidad del 3,0 %, tras una etapa de transición de siete años en la que el crecimiento baja del 5 % al 3 %: inflación en dólares de ≈ 2,5 % y algo de crecimiento real, por debajo de la tasa libre menos medio punto. El múltiplo de salida implícito es de 9,6 veces el EBITDA, por debajo de los 16,0 de hoy: el valor terminal es conservador y pesa solo un 36 %.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7 años el DCF da 60,38 por acción; sin ella (crecimiento terminal desde 2033e), 56,74.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91.841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103.735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Se usa una etapa de transición de siete años porque el crecimiento de Netflix dura más que la proyección explícita: según la empresa, a fines de 2025 tenía menos del 45 % de los hogares con banda ancha de su mercado y apenas el ≈ 5 % del tiempo de televisión mundial [9]. La publicidad, que dobla en 2026, sigue siendo el 6 % de los ingresos [10]. El ROIC (38,0 %) supera al WACC en más de 26 puntos y el ROIC incremental es del 43,1 %: crecer crea valor. La ventaja que lo sostiene es la escala: reparte el coste de los contenidos entre 325 M de suscripciones, frente a los 132 M de Disney+ o los 44 M de Peacock [15, 17]. Aporta un 6,4 % del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(7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18.027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 (hoy: 30,2 %)</w:t>
            </w:r>
          </w:p>
        </w:tc>
      </w:tr>
    </w:tbl>
    <w:p>
      <w:pPr>
        <w:spacing w:after="160" w:before="0"/>
      </w:pPr>
    </w:p>
    <w:p>
      <w:pPr>
        <w:spacing w:after="100"/>
      </w:pPr>
      <w:r>
        <w:t xml:space="preserve">La proyección apenas necesita inversión neta de la amortización (reinversión acumulada de 18.027 M, el 10 % del NOPAT, con un capex bruto medio del 4,1 % de las ventas). En un negocio de activos ligeros, el crecimiento medio del 8,7 % tiene que salir de subir precios y de ganar volumen sin capital nuevo, y la prueba es el poder de precios y la cuota (17,7 % del mercado en 2030e, frente al 30,2 %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+13-14 %, ≈ +12 % a tipo constante: más suscripciones, subidas de precio en EE. UU., México y España y publicidad que se dobla (≈ +1.500 M, ≈ 3 puntos dentro de «precio»); el tipo de cambio aporta ≈ 1,5 puntos. Reparto entre volumen y precio: estimación propia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+11,2 % [31]: menos altas en UCAN, más precio y más publicidad por usuario.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+10,1 % [31]; el volumen sale de mercados con menos del 45 % de penetración [9].</w:t>
            </w:r>
          </w:p>
        </w:tc>
      </w:tr>
    </w:tbl>
    <w:p>
      <w:pPr>
        <w:spacing w:after="160" w:before="0"/>
      </w:pPr>
    </w:p>
    <w:p>
      <w:pPr>
        <w:spacing w:after="100"/>
      </w:pPr>
      <w:r>
        <w:t xml:space="preserve">Sí. El crecimiento medio del caso base (8,7 % con 2026) es la mitad del histórico y apenas necesita capital: la reinversión neta es un 10 % del beneficio operativo después de impuestos, con un ROIC del 38 % y un ROIC incremental del 43,1 % [1]. El poder de precios está demostrado (subidas periódicas mientras las suscripciones crecían un 15 % en 2024) [5], y la cuota implícita en 2030e cae al 17,7 % (hoy, 30,2 %) de un mercado que las consultoras ven crecer al 21,5 % anual [14]. El riesgo no es de calidad sino de techo: el visionado crece solo un 2 % y el crecimiento depende cada vez más de precio y publicidad [10].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(WACC: 11,5 %)</w:t>
            </w:r>
          </w:p>
        </w:tc>
      </w:tr>
    </w:tbl>
    <w:p>
      <w:pPr>
        <w:spacing w:after="160" w:before="0"/>
      </w:pPr>
    </w:p>
    <w:p>
      <w:pPr>
        <w:spacing w:after="100"/>
      </w:pPr>
      <w:r>
        <w:t xml:space="preserve">El DCF da 60,38 USD por acción, un 14,1 % por debajo del precio, con un 36 % del valor en el terminal (56,74 USD sin la etapa de transición). </w:t>
      </w:r>
      <w:r>
        <w:rPr>
          <w:b/>
        </w:rPr>
        <w:t xml:space="preserve">El precio descuenta más de lo que esperamos nosotros y el consenso, pero no mucho más.</w:t>
      </w:r>
      <w:r>
        <w:t xml:space="preserve"> El DCF inverso dice que los 70,30 USD suponen un crecimiento de los ingresos del 10,0 % anual en 2027e-2033e, frente al 8,0 % de nuestro caso base (alineado con el consenso de 2027-2028), o, con nuestro crecimiento, un margen EBITDA final del 45,2 % en vez del 39,5 %. Dicho de otra forma: comprar hoy rinde un 10,4 % anual si se cumple el caso base, por debajo de nuestro coste de capital (11,47 %) y algo por encima del que pide hoy el mercado (9,99 %). No es exigente frente a la historia (19,9 % anual en la década), pero sí frente a la desaceleración actual: de +17,6 % en el 4T25 a +12 % en el 3T26. La diferencia entre Vender (con nuestro WACC) y Mantener (con la prima del mercado) es la tasa de descuento, no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y Paramount-Warner frenan las altas y la capacidad de subir precios en EE. UU. y Europa, como en 2022, cuando Netflix creció un 6,5 % y su margen cayó: crecimiento medio del 4 %, margen EBITDA final del 35,5 % y crecimiento a perpetuidad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después el crecimiento baja un punto al año hasta el 5 % de 2033e y el margen EBITDA sube al 39,5 % por apalancamiento operativo: crecimiento medio del 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publicidad y el directo sostienen un crecimiento de dos dígitos y la amortización de contenidos crece menos que las ventas: crecimiento medio del 11 % y margen EBITDA final del 42,5 %.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58,66 USD (-16,6 %).</w:t>
      </w:r>
    </w:p>
    <w:p>
      <w:pPr>
        <w:spacing w:after="100"/>
      </w:pPr>
      <w:r>
        <w:t xml:space="preserve">La asimetría es mala con nuestro coste de capital: el alcista vale 81,88 USD (+16,5 %) y el bajista 36,28 USD (−48,4 %), 0,34 veces. Con la prima de riesgo que hoy pide el mercado mejora (101,80 frente a 43,24 USD; 1,16 veces), pero tampoco llega al umbral de compra. El bajista no es cosmético: 2022 ya mostró que con un crecimiento de un dígito y el margen a la baja la acción puede caer más de un 50 %. El valor ponderado por probabilidad es de 58,66 USD.</w:t>
      </w:r>
    </w:p>
    <w:p>
      <w:pPr>
        <w:pStyle w:val="Heading1"/>
      </w:pPr>
      <w:r>
        <w:t xml:space="preserve">22. Suma de partes</w:t>
      </w:r>
    </w:p>
    <w:p>
      <w:pPr>
        <w:pStyle w:val="Confianza"/>
        <w:spacing w:after="100"/>
      </w:pPr>
      <w:r>
        <w:t xml:space="preserve">Confianza: Media</w:t>
      </w:r>
    </w:p>
    <w:p>
      <w:pPr>
        <w:spacing w:after="100"/>
      </w:pPr>
      <w:r>
        <w:t xml:space="preserve">No aplica: Netflix tiene un único segmento operativo y no publica resultados por región ni por línea de negocio (suscripción, publicidad, juegos); una suma de partes dependería de cómo se repartieran los 16.422 M de amortización de contenidos de 2025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7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61,10 USD (-13,1 % sobre 70,30).</w:t>
      </w:r>
    </w:p>
    <w:p>
      <w:pPr>
        <w:spacing w:after="100"/>
      </w:pPr>
      <w:r>
        <w:t xml:space="preserve">Pesos: DCF 60 %, escenarios 30 %, comparables 10 %, transacciones y suma de partes 0 %. El DCF manda porque la caja de Netflix es predecible (ingresos por suscripción cobrados por adelantado y un coste de contenidos que controla la dirección) y porque tratamos los contenidos como inversión. Los escenarios pesan un 30 % porque el bajista (−48,4 %) es mucho mayor que el alcista. Los comparables pesan poco porque la muestra es frágil y el EBITDA de Netflix no se puede comparar con el de grupos que suman la amortización (55,51 USD por EV/EBITDA y 89,88 por PER). Las transacciones no aplican a una compradora. El valor objetivo es de 61,10 USD (−13,1 %); con la prima del mercado, 73,49 USD (+4,5 %).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(19.1x) × 1.1 (tope: la mediana de 5 años, 35.2x,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+98,4 %</w:t>
            </w:r>
          </w:p>
        </w:tc>
      </w:tr>
    </w:tbl>
    <w:p>
      <w:pPr>
        <w:spacing w:after="160" w:before="0"/>
      </w:pPr>
    </w:p>
    <w:p>
      <w:pPr>
        <w:spacing w:after="100"/>
      </w:pPr>
      <w:r>
        <w:rPr>
          <w:b/>
          <w:bCs/>
        </w:rPr>
        <w:t xml:space="preserve">Objetivo a 12 meses (ponderado):</w:t>
      </w:r>
      <w:r>
        <w:t xml:space="preserve"> 91,82 USD · rentabilidad +30,6 % (base +27,6 %) · señal Mantener.</w:t>
      </w:r>
    </w:p>
    <w:p>
      <w:pPr>
        <w:spacing w:after="100"/>
      </w:pPr>
      <w:r>
        <w:t xml:space="preserve">Para comparar, con la regla v2 (historia al cierre, mismo precio): 16,2x / 19,1x / 24,8x, 18,5 % Mantener; con el tope anterior del base (×1,3, 14-oct mediodía): 54,3 % Mantener. Decide la regla vigente (v3 con tope ×1,1; METODO-VIGENTE.md).</w:t>
      </w:r>
    </w:p>
    <w:p>
      <w:pPr>
        <w:keepNext/>
        <w:spacing w:after="100"/>
      </w:pPr>
      <w:r>
        <w:rPr>
          <w:b/>
          <w:bCs/>
        </w:rPr>
        <w:t xml:space="preserve">Frente al consenso (solo contraste).</w:t>
      </w:r>
    </w:p>
    <w:p>
      <w:pPr>
        <w:spacing w:after="100"/>
      </w:pPr>
      <w:r>
        <w:t xml:space="preserve">Nuestro BPA base de 2028e (4,27) se separa un -6,2 % del consenso (4,55) y nuestro precio base (81,56) un -11,9 % del objetivo medio de los analistas (92,55).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61,10 (-13,1 %) frente al objetivo a 12 meses ponderado 83,31 (+18,5 % con dividendo; base +16,0 %).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+12 % y margen del 33,2 %; primera lectura de la publicidad tras el upfront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+11 %; una guía por debajo del 10 % confirmaría el freno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NFL (Acción de Gracias y Navidad) y Fury–Joshua en directo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Picos de altas y de ingresos publicitarios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Warner Bros. Discovery por Paramount Skydance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un rival con más catálogo y mucha deuda; posibles retiradas de licencias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(27.100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Retirarían un 9 % del capital al precio de hoy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informe anual de visionado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datos públicos; la prueba de si el visionado sigue creciendo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 y el vídeo de creadores le quitan tiempo de televisión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36,28 USD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y franquicias; alianzas con creadores y pódcasts en vídeo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Netflix en The Gauge por debajo del 7,5 % durante dos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de precios y freno de UCAN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 4 USD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con anuncios más barato y publicidad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UCAN por debajo del +8 %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contenidos y del deporte más alto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menos de margen quita ≈ 1,7 USD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fija la ratio de caja sobre amortización en ≈ 1,1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pagos sobre amortización por encima de 1,2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Paramount-Warner retira licencias o compite por talento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catálogo de segunda ventana; difícil de cuantificar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con Universal y Sony (pay-1 mundial desde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de catálogo de Warner en Netflix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a un múltiplo alto (como la oferta por Warner)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oferta por Warner suponía 30,6 veces el EBITDA y un puente de 59.000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mostrada al no subir la oferta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puente o pausa de recompras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 la prima del mercado (WACC 9,99 %) el DCF sube a 74,34 USD; con un WACC 0,5 puntos mayor baja a 56,74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0,4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y regulación local (Brasil, tasas digitales, cuotas europeas, aranceles a películas)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Brasil costó ≈ 619 M (−1,4 puntos de margen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50 países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litigios fiscales o aranceles concretos</w:t>
            </w:r>
          </w:p>
        </w:tc>
      </w:tr>
    </w:tbl>
    <w:p>
      <w:pPr>
        <w:spacing w:after="160" w:before="0"/>
      </w:pPr>
    </w:p>
    <w:p>
      <w:pPr>
        <w:pStyle w:val="Heading2"/>
      </w:pPr>
      <w:r>
        <w:t xml:space="preserve">Pre-mortem</w:t>
      </w:r>
    </w:p>
    <w:p>
      <w:pPr>
        <w:spacing w:after="100"/>
      </w:pPr>
      <w:r>
        <w:t xml:space="preserve">Octubre de 2029: la acción ha caído un 40 %, a unos 42 USD. La historia más probable empieza en la guía de enero de 2027: Netflix prevé un +8 % y no el +11 % del consenso, porque UCAN ya no admite subidas de precio y las altas fuera de EE. UU. se frenan. YouTube supera el 16 % del tiempo de televisión y Paramount-Warner retira su catálogo. La publicidad crece, pero no compensa. Para defender el margen, Netflix recorta contenidos y el visionado empieza a caer. En 2028 el crecimiento es de un dígito bajo, como en 2022, y el mercado la valora como Disney, a 10 veces el EBITDA. Los indicadores que lo habrían anticipado: el freno de UCAN al +10 % en el 2T26, el visionado creciendo solo un 2 % y la decisión de dejar de publicar suscriptores y visionado.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tres. Fiscalidad indirecta y tasas a plataformas: el litigio de Brasil costó ≈ 619 M en el 3T25 y varios países europeos cobran tasas o exigen inversión local [7]. Relaciones laborales en Hollywood: la huelga de guionistas y actores de 2023 paró la producción y bajó los pagos de contenidos a 13.140 M, por debajo de su amortización; la próxima negociación de convenios es un riesgo de calendario [1]. Y la contaminación de las producciones, cubierta en su informe ESG de 2025, con poco efecto económico [10].</w:t>
      </w:r>
    </w:p>
    <w:p>
      <w:pPr>
        <w:pStyle w:val="Heading2"/>
      </w:pPr>
      <w:r>
        <w:t xml:space="preserve">Controversias</w:t>
      </w:r>
    </w:p>
    <w:p>
      <w:pPr>
        <w:spacing w:after="100"/>
      </w:pPr>
      <w:r>
        <w:t xml:space="preserve">Litigio fiscal de Brasil (3T25, ≈ 619 M) [7]. Votos de protesta de los accionistas: en 2025 el presidente actual, Jay Hoag, solo obtuvo el 21,5 % de votos a favor y el consejo rechazó su dimisión [23]. Propuestas de accionistas de 2026 sobre informes ESG y de «desalineación política de la marca», rechazadas [21]. No hay sanciones regulatorias relevantes publicadas en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2026 viene de subidas de precio y cuál de nuevas suscripciones,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+10 % de UCAN es saturación o calendario.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pagos de caja sobre amortización de contenidos espera a largo plazo y cuánto pesará el deporte en directo?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«capex»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el negocio publicitario y cuánto del ingreso por usuario del plan con anuncios sale de la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 crecimiento de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múltiplo de compra estaría dispuesto a pagar tras Warner Bros.?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Ofreció 30,6 veces el EBITDA por estudios.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YouTube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su cuota del tiempo de televisión fuera de EE. UU. frente a YouTube?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riesgo competitivo.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Transparencia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deja de publicar el visionado semestral y volverá a dar suscriptores?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datos dificultan seguir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 el recorte del ≈ 5 % de la plantilla y qué ahorro supone?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al margen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comentarios de Netflix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Escepticismo y cansancio con la caída: competidores que «toman la delantera» (Disney, Paramount-Skydance, Amazon, Apple), calidad del catálogo y fatiga de suscripciones; minoría que compra en la caída por la caja, la gestión y el contenido coreano y de anime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Motley Fool (artículos de opinión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piezas del 4 al 10 de octubre: cinco favorables (comprar cerca de mínimos de 52 semanas, «la única de streaming que añadiría»), dos neutrales (acción estancada en mínimos de dos años; recorte del 5 % de la plantilla que recuerda al suelo de 2022) y una bajista sobre la caída del 27 % en 2026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Paramount-Warner y YouTube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Paramount Skydance compra WBD por 110.000 M de valor empresa con mucha deuda; YouTube tiene el 14,2 % del tiempo de televisión en EE. UU.</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−42,4 % en un año; PER de los próximos 12 meses frente a su historia y al crecimiento del 12 %.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Freno del crecimiento y menos transparencia (suscriptores y visionado)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3T26 de +12 % frente al +17 % de un año antes; dejó de publicar suscriptores y el informe de visionado será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 plantilla (≈ 5 %, según prensa)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confirmado en documentos de la empresa a la fecha de corte.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catálogo y fatiga de suscripciones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visionado crece un 2 % (1S26) y la empresa subió precios en EE. UU., México y España con un efecto «en línea con lo esperado».</w:t>
            </w:r>
          </w:p>
        </w:tc>
      </w:tr>
    </w:tbl>
    <w:p>
      <w:pPr>
        <w:spacing w:after="160" w:before="0"/>
      </w:pPr>
    </w:p>
    <w:p>
      <w:pPr>
        <w:spacing w:after="100"/>
      </w:pPr>
      <w:r>
        <w:t xml:space="preserve">El sentimiento de los particulares está dividido y empeora, en línea con el precio: los comentarios de Investing.com son mayoritariamente negativos (competencia de Paramount-Warner, Disney y Amazon; fatiga de suscripciones) y las piezas de opinión de octubre se reparten entre «comprar en mínimos» y «el crecimiento se acaba» [52, 53]. No hay euforia ni capitulación. Contrasta con los analistas, aún mayoritariamente en compra (35 de 51) pero bajando objetivos [32]. El riesgo que señalan los foros (competencia y saturación de precios) es el mismo que el del informe; la idea de que los rivales «toman la delantera» no la sostienen los márgenes: Disney DTC gana un 5,4 % y Netflix un 29,5 % [1, 15]. El recorte de plantilla del 5 % que cita la prensa no está confirmado en documentos de la empresa.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53 (29 primarias); citas distintas en el texto: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17,7 % en 2030e frente al 30,2 %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1,2 % frente a 1,2 % real: genera una variación de circulante de 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38,0 % frente a WACC 11,5 %: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9,6x a 15,8x según qué comparable se quite (41,52 a 69,49 por acción): la muestra es frágil; explícalo y no le des mucho peso. Explicación: La muestra mezcla grupos maduros de televisión (Comcast a 4,7 veces, Fox) con plataformas que crecen (Spotify, Roku, TKO a 16-25 veces):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55,51 y PER 89,88 por acción: si la empresa amortiza mucho más que sus comparables (licencias, intangibles adquiridos) el EBITDA la favorece; usa EV/EBIT o EV/(EBITDA − capex) y explícalo. Explicación: El EBITDA de Netflix ya resta la amortización de contenidos (casi todo su coste) y queda muy cerca de su EBIT; el de Comcast o Disney suma miles de millones de depreciación. El PER compara mejor; ninguno de los dos manda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Cartas trimestrales: comparan con la guía propia, no con el consenso; 2) EDGAR: no hay consenso en las presentaciones; 3) proveedores gratuitos de consenso histórico trimestral: no disponibles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10-Q: no publican la calificación; 2) folleto 424B5 de jul-2026: no la recoge; 3) web de inversores: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completa del mercado y segunda fuente independiente de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Grand View Research: solo 2024 y 2030e; 2) Fortune Business Insights: 811.370 M en 2025 con un perímetro mucho más amplio (no comparable); 3) Nielsen y MPA: cuotas de tiempo, no ingresos; contraste por suma de ingresos de las plataformas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de Netflix: no publica calificaciones de terceros; 2) MSCI ESG Ratings Corporate Search: requiere JavaScript; 3) Sustainalytics: página de la empresa sin acceso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(cifras de hace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el historial de revisiones solo es un gráfico sin cifras; 2) Stock Analysis: sin historial gratuito; 3) cartas de la empresa: no citan el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múltiplos de los años previstos; 2) Stock Analysis: múltiplos históricos de pago; 3) Yahoo Finance: solo el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Rankia)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para la lectura automática; 2) Stocktwits y Seeking Alpha: 403; 3) Rankia: la dirección del hilo de Netflix lleva a otro valor; Stockchase: sin opiniones de Netflix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https://www.sec.gov/Archives/edgar/data/1065280/000106528026000034/nflx-20251231.htm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Form 10-K de 2022, 2020, 2019 y 2017 (series 2016-2022)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https://www.sec.gov/Archives/edgar/data/1065280/000106528023000035/nflx-20221231.htm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10-Q del 2T26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https://www.sec.gov/Archives/edgar/data/1065280/000106528026000212/nflx-20260630.htm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https://www.sec.gov/Archives/edgar/data/1065280/000106528025000044/nflx-20241231.htm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https://www.sec.gov/Archives/edgar/data/1065280/000106528025000033/ex991_q424.htm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https://www.sec.gov/Archives/edgar/data/1065280/000106528024000286/ex991_q324.htm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https://www.sec.gov/Archives/edgar/data/1065280/000106528025000404/ex991_q325.htm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https://www.sec.gov/Archives/edgar/data/1065280/000106528026000033/ex991_q425.htm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https://www.sec.gov/Archives/edgar/data/1065280/000106528026000137/ex991_q126.htm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 los accionistas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https://www.sec.gov/Archives/edgar/data/1065280/000106528026000211/ex991_q226.htm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1.000 M en bonos al 5,250 % con vencimiento en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https://www.sec.gov/Archives/edgar/data/1065280/000119312526312575/d171951d8k.htm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terminación del acuerdo de fusión con Warner Bros. Discovery (punto 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https://www.sec.gov/Archives/edgar/data/1065280/000119312526082247/d120618d8k.htm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Netflix (CIK 1065280)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https://data.sec.gov/api/xbrl/companyfacts/CIK0001065280.json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Video Streaming Market Size, Share &amp; Trends Report,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https://www.grandviewresearch.com/industry-analysis/video-streaming-market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Form 10-K del ejercicio 2025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Walt Disney Company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https://www.sec.gov/Archives/edgar/data/1744489/000174448925000155/dis-20250927.htm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https://www.sec.gov/Archives/edgar/data/813828/000081382825000005/para-20241231.htm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Corporation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https://www.sec.gov/Archives/edgar/data/1166691/000162828026004994/cmcsa-20251231.htm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Gauge de julio de 2026: TV usage kicks usual summer slowdown fueled by World Cup and streaming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Nielsen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https://www.nielsen.com/news-center/2026/tv-usage-kicks-usual-summer-slowdown-fueled-by-world-cup-and-streaming-in-nielsens-july-gauge-reports/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Netflix (previsiones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https://www.sec.gov/Archives/edgar/data/1437107/000119312526053002/d304272ddefm14a.htm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https://www.sec.gov/Archives/edgar/data/1065280/000106528026000189/nflx-20260604.htm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proxy statement de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https://www.sec.gov/Archives/edgar/data/1065280/000119312526159286/d20613ddef14a.htm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(punto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https://www.sec.gov/Archives/edgar/data/1065280/000106528025000286/nflx-20250605.htm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Cartas a los accionistas del 4T20 al 4T23 (guías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https://www.sec.gov/Archives/edgar/data/1065280/000106528024000029/ex991_q423.htm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Netflix presentados entre el 11-oct-2025 y el 11-oct-2026 (agregados)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https://www.sec.gov/cgi-bin/browse-edgar?action=getcompany&amp;CIK=0001065280&amp;type=4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Reed Hastings no se presenta a la reelección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https://www.sec.gov/Archives/edgar/data/1065280/000106528026000137/nflx-20260410.htm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cambios en el plan de indemnizaciones de la alta dirección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https://www.sec.gov/Archives/edgar/data/1065280/000106528025000408/nflx-20251030.htm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Anne Sweeney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https://www.sec.gov/Archives/edgar/data/1065280/000106528026000214/nflx-20260726.htm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to Announce Third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https://s22.q4cdn.com/959853165/files/doc_news/Netflix-to-Announce-Third-Quarter-2026-Financial-Results-2026.pdf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https://www.marketscreener.com/quote/stock/NETFLIX-INC-44292425/finances/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https://stockanalysis.com/stocks/nflx/forecast/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NFLX, SPY y XLC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https://finance.yahoo.com/quote/NFLX/history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(DIS)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(CMCSA)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https://stockanalysis.com/stocks/cmcsa/statistics/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(FOXA)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https://stockanalysis.com/stocks/foxa/statistics/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(SPOT)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https://stockanalysis.com/stocks/spot/statistics/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(ROKU)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(TKO)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https://stockanalysis.com/stocks/tko/statistics/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Walt Disney: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https://www.marketscreener.com/quote/stock/WALT-DISNEY-COMPANY-THE-4842/finances/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Comcast: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https://www.marketscreener.com/quote/stock/COMCAST-CORPORATION-4864/finances/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Fox Corporation: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https://www.marketscreener.com/quote/stock/FOX-CORPORATION-57672112/finances/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Spotify Technology: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https://www.marketscreener.com/quote/stock/SPOTIFY-TECHNOLOGY-S-A-42589613/finances/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Roku: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https://www.marketscreener.com/quote/stock/ROKU-INC-37892974/finances/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TKO Group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https://www.marketscreener.com/quote/stock/TKO-GROUP-HOLDINGS-INC-159194874/finances/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WBD, proxy definitivo de la fusión con Paramount Skydance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Warner Bros. Discovery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https://www.sec.gov/Archives/edgar/data/1437107/000119312526125075/d115093ddefm14a.htm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Paramount Skydance’s $110 Billion Acquisition of Warner Bros. Discovery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Cleary Gottlieb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https://www.clearygottlieb.com/news-and-insights/news-listing/paramount-skydances-110-billion-acquisition-of-warner-bros-discovery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Warner Bros. Discovery (CIK 1437107)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https://data.sec.gov/api/xbrl/companyfacts/CIK0001437107.json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Inc. (NFLX): foro de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https://www.investing.com/equities/netflix,-inc.-commentary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(NFLX): artículos de opinión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https://www.fool.com/quote/nasdaq/nflx/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92,7 %</w:t>
      </w:r>
      <w:r>
        <w:t xml:space="preserve"> · Secciones con menos del 60 % de campos cubiertos: </w:t>
      </w:r>
      <w:r>
        <w:rPr>
          <w:b/>
          <w:bCs/>
        </w:rPr>
        <w:t xml:space="preserve">rentabilidad</w:t>
      </w:r>
      <w:r>
        <w:t xml:space="preserve"> · Generado el 14 oct 2026.</w:t>
      </w:r>
    </w:p>
    <w:p>
      <w:pPr>
        <w:pStyle w:val="Nota"/>
        <w:spacing w:after="100"/>
      </w:pPr>
      <w:r>
        <w:t xml:space="preserve">Se valora la acción ordinaria del Nasdaq (NFLX), en dólares, con el cierre del viernes 9-oct-2026 (70,30 USD): el corte cae en domingo [33]. Los resultados del 3T26 se publican el 20-oct-2026, después del corte [29]. Todas las cifras por acción están ajustadas al desdoblamiento de 10 por 1 de noviembre de 2025. Acciones: 4.218,7 M diluidas (las 4.163,9 M del 30-jun-2026 más las opciones por el método de autocartera), para casar con la caja del mismo balance [3]. Criterio del EBITDA: beneficio operativo más la depreciación de inmovilizado; la amortización de contenidos (16.422 M en 2025) es gasto, como en Disney o Warner. Por eso el «capex» del DCF suma a las compras de inmovilizado el exceso de los pagos de caja por contenidos sobre su amortización [1]. El consenso de MarketScreener excluye los pagos en acciones: el motor resta un 0,8 % de las ventas [31]. US GAAP: los arrendamientos operativos (2.330 M) no van a la deuda [3]. El beneficio LTM incluye la comisión de ruptura de Warner Bros. (2.800 M antes de impuestos), que infla el PER LTM [9]. Los múltiplos de los comparables de los últimos 12 meses combinan dos ejercicios del consenso (estimación propia de la ponderación) [40, 41, 42, 43, 44, 45].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Netflix, Inc. (NFLX)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UCAN (EE. UU. y Canadá)</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11455.4</c:v>
                </c:pt>
                <c:pt idx="1">
                  <c:v>12972.1</c:v>
                </c:pt>
                <c:pt idx="2">
                  <c:v>14084.6</c:v>
                </c:pt>
                <c:pt idx="3">
                  <c:v>14873.8</c:v>
                </c:pt>
                <c:pt idx="4">
                  <c:v>17359.4</c:v>
                </c:pt>
                <c:pt idx="5">
                  <c:v>19957.2</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7772.3</c:v>
                </c:pt>
                <c:pt idx="1">
                  <c:v>9699.8</c:v>
                </c:pt>
                <c:pt idx="2">
                  <c:v>9745</c:v>
                </c:pt>
                <c:pt idx="3">
                  <c:v>10556.5</c:v>
                </c:pt>
                <c:pt idx="4">
                  <c:v>12387</c:v>
                </c:pt>
                <c:pt idx="5">
                  <c:v>14514.6</c:v>
                </c:pt>
              </c:numCache>
            </c:numRef>
          </c:val>
        </c:ser>
        <c:ser>
          <c:idx val="2"/>
          <c:order val="2"/>
          <c:tx>
            <c:strRef>
              <c:f>Hoja1!$D$1</c:f>
              <c:strCache>
                <c:ptCount val="1"/>
                <c:pt idx="0">
                  <c:v>LATAM</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3156.7</c:v>
                </c:pt>
                <c:pt idx="1">
                  <c:v>3577</c:v>
                </c:pt>
                <c:pt idx="2">
                  <c:v>4070</c:v>
                </c:pt>
                <c:pt idx="3">
                  <c:v>4446.5</c:v>
                </c:pt>
                <c:pt idx="4">
                  <c:v>4839.8</c:v>
                </c:pt>
                <c:pt idx="5">
                  <c:v>5357.5</c:v>
                </c:pt>
              </c:numCache>
            </c:numRef>
          </c:val>
        </c:ser>
        <c:ser>
          <c:idx val="3"/>
          <c:order val="3"/>
          <c:tx>
            <c:strRef>
              <c:f>Hoja1!$E$1</c:f>
              <c:strCache>
                <c:ptCount val="1"/>
                <c:pt idx="0">
                  <c:v>APAC</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2372.3</c:v>
                </c:pt>
                <c:pt idx="1">
                  <c:v>3266.6</c:v>
                </c:pt>
                <c:pt idx="2">
                  <c:v>3570.2</c:v>
                </c:pt>
                <c:pt idx="3">
                  <c:v>3763.7</c:v>
                </c:pt>
                <c:pt idx="4">
                  <c:v>4414.7</c:v>
                </c:pt>
                <c:pt idx="5">
                  <c:v>5353.7</c:v>
                </c:pt>
              </c:numCache>
            </c:numRef>
          </c:val>
        </c:ser>
        <c:ser>
          <c:idx val="4"/>
          <c:order val="4"/>
          <c:tx>
            <c:strRef>
              <c:f>Hoja1!$F$1</c:f>
              <c:strCache>
                <c:ptCount val="1"/>
                <c:pt idx="0">
                  <c:v>DVD (cerrado en sep-2023)</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239.4</c:v>
                </c:pt>
                <c:pt idx="1">
                  <c:v>182.3</c:v>
                </c:pt>
                <c:pt idx="2">
                  <c:v>145.7</c:v>
                </c:pt>
                <c:pt idx="3">
                  <c:v>82.8</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UCAN (EE. UU. y Canadá)</c:v>
                </c:pt>
                <c:pt idx="1">
                  <c:v>EMEA</c:v>
                </c:pt>
                <c:pt idx="2">
                  <c:v>LATAM</c:v>
                </c:pt>
                <c:pt idx="3">
                  <c:v>APAC</c:v>
                </c:pt>
                <c:pt idx="4">
                  <c:v>DVD (cerrado en sep-2023)</c:v>
                </c:pt>
              </c:strCache>
            </c:strRef>
          </c:cat>
          <c:val>
            <c:numRef>
              <c:f>Hoja1!$B$2:$B$6</c:f>
              <c:numCache>
                <c:formatCode>General</c:formatCode>
                <c:ptCount val="5"/>
                <c:pt idx="0">
                  <c:v>44.2</c:v>
                </c:pt>
                <c:pt idx="1">
                  <c:v>32.1</c:v>
                </c:pt>
                <c:pt idx="2">
                  <c:v>11.9</c:v>
                </c:pt>
                <c:pt idx="3">
                  <c:v>11.8</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UCAN (EE. UU. y Canadá)</c:v>
                </c:pt>
                <c:pt idx="1">
                  <c:v>EMEA</c:v>
                </c:pt>
                <c:pt idx="2">
                  <c:v>LATAM</c:v>
                </c:pt>
                <c:pt idx="3">
                  <c:v>APAC</c:v>
                </c:pt>
              </c:strCache>
            </c:strRef>
          </c:cat>
          <c:val>
            <c:numRef>
              <c:f>Hoja1!$B$2:$B$5</c:f>
              <c:numCache>
                <c:formatCode>0"%"</c:formatCode>
                <c:ptCount val="4"/>
                <c:pt idx="0">
                  <c:v>44.2</c:v>
                </c:pt>
                <c:pt idx="1">
                  <c:v>32.1</c:v>
                </c:pt>
                <c:pt idx="2">
                  <c:v>11.9</c:v>
                </c:pt>
                <c:pt idx="3">
                  <c:v>11.8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129300</c:v>
                </c:pt>
                <c:pt idx="1">
                  <c:v>416800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Disney (Entertainment DTC: Disney+, Hulu)</c:v>
                </c:pt>
                <c:pt idx="2">
                  <c:v>Warner Bros. Discovery (HBO Max)</c:v>
                </c:pt>
                <c:pt idx="3">
                  <c:v>Paramount (Paramount+, Pluto TV)</c:v>
                </c:pt>
                <c:pt idx="4">
                  <c:v>Comcast (Peacock)</c:v>
                </c:pt>
                <c:pt idx="5">
                  <c:v>Alphabet (YouTube)</c:v>
                </c:pt>
                <c:pt idx="6">
                  <c:v>Amazon (Prime Video)</c:v>
                </c:pt>
              </c:strCache>
            </c:strRef>
          </c:cat>
          <c:val>
            <c:numRef>
              <c:f>Hoja1!$B$2:$B$8</c:f>
              <c:numCache>
                <c:formatCode>0.0"%"</c:formatCode>
                <c:ptCount val="7"/>
                <c:pt idx="0">
                  <c:v>30.6</c:v>
                </c:pt>
                <c:pt idx="1">
                  <c:v>5.4</c:v>
                </c:pt>
                <c:pt idx="3">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8830.7</c:v>
                </c:pt>
                <c:pt idx="1">
                  <c:v>11692.7</c:v>
                </c:pt>
                <c:pt idx="2">
                  <c:v>15794.3</c:v>
                </c:pt>
                <c:pt idx="3">
                  <c:v>20156.4</c:v>
                </c:pt>
                <c:pt idx="4">
                  <c:v>24996.1</c:v>
                </c:pt>
                <c:pt idx="5">
                  <c:v>29697.8</c:v>
                </c:pt>
                <c:pt idx="6">
                  <c:v>31615.6</c:v>
                </c:pt>
                <c:pt idx="7">
                  <c:v>33723.3</c:v>
                </c:pt>
                <c:pt idx="8">
                  <c:v>39001</c:v>
                </c:pt>
                <c:pt idx="9">
                  <c:v>45183</c:v>
                </c:pt>
                <c:pt idx="10">
                  <c:v>51238</c:v>
                </c:pt>
                <c:pt idx="11">
                  <c:v>56874</c:v>
                </c:pt>
                <c:pt idx="12">
                  <c:v>62561</c:v>
                </c:pt>
                <c:pt idx="13">
                  <c:v>68192</c:v>
                </c:pt>
                <c:pt idx="14">
                  <c:v>73647</c:v>
                </c:pt>
                <c:pt idx="15">
                  <c:v>78802</c:v>
                </c:pt>
                <c:pt idx="16">
                  <c:v>83530</c:v>
                </c:pt>
                <c:pt idx="17">
                  <c:v>87707</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437.3</c:v>
                </c:pt>
                <c:pt idx="1">
                  <c:v>910.6</c:v>
                </c:pt>
                <c:pt idx="2">
                  <c:v>1688.4</c:v>
                </c:pt>
                <c:pt idx="3">
                  <c:v>2707.9</c:v>
                </c:pt>
                <c:pt idx="4">
                  <c:v>4701</c:v>
                </c:pt>
                <c:pt idx="5">
                  <c:v>6402.9</c:v>
                </c:pt>
                <c:pt idx="6">
                  <c:v>5969.5</c:v>
                </c:pt>
                <c:pt idx="7">
                  <c:v>7310.9</c:v>
                </c:pt>
                <c:pt idx="8">
                  <c:v>10746.5</c:v>
                </c:pt>
                <c:pt idx="9">
                  <c:v>14155</c:v>
                </c:pt>
                <c:pt idx="10">
                  <c:v>16550</c:v>
                </c:pt>
                <c:pt idx="11">
                  <c:v>19508</c:v>
                </c:pt>
                <c:pt idx="12">
                  <c:v>22522</c:v>
                </c:pt>
                <c:pt idx="13">
                  <c:v>25367</c:v>
                </c:pt>
                <c:pt idx="14">
                  <c:v>28133</c:v>
                </c:pt>
                <c:pt idx="15">
                  <c:v>30575</c:v>
                </c:pt>
                <c:pt idx="16">
                  <c:v>32744</c:v>
                </c:pt>
                <c:pt idx="17">
                  <c:v>34644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29.1</c:v>
                </c:pt>
                <c:pt idx="1">
                  <c:v>31.3</c:v>
                </c:pt>
                <c:pt idx="2">
                  <c:v>36.9</c:v>
                </c:pt>
                <c:pt idx="3">
                  <c:v>38.3</c:v>
                </c:pt>
                <c:pt idx="4">
                  <c:v>38.9</c:v>
                </c:pt>
                <c:pt idx="5">
                  <c:v>41.6</c:v>
                </c:pt>
                <c:pt idx="6">
                  <c:v>39.4</c:v>
                </c:pt>
                <c:pt idx="7">
                  <c:v>41.5</c:v>
                </c:pt>
                <c:pt idx="8">
                  <c:v>46.1</c:v>
                </c:pt>
                <c:pt idx="9">
                  <c:v>48.5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7.8</c:v>
                </c:pt>
                <c:pt idx="2">
                  <c:v>10.7</c:v>
                </c:pt>
                <c:pt idx="3">
                  <c:v>13.4</c:v>
                </c:pt>
                <c:pt idx="4">
                  <c:v>18.8</c:v>
                </c:pt>
                <c:pt idx="5">
                  <c:v>21.6</c:v>
                </c:pt>
                <c:pt idx="6">
                  <c:v>18.9</c:v>
                </c:pt>
                <c:pt idx="7">
                  <c:v>21.7</c:v>
                </c:pt>
                <c:pt idx="8">
                  <c:v>27.6</c:v>
                </c:pt>
                <c:pt idx="9">
                  <c:v>31.3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4.3</c:v>
                </c:pt>
                <c:pt idx="1">
                  <c:v>7.2</c:v>
                </c:pt>
                <c:pt idx="2">
                  <c:v>10.2</c:v>
                </c:pt>
                <c:pt idx="3">
                  <c:v>12.9</c:v>
                </c:pt>
                <c:pt idx="4">
                  <c:v>18.3</c:v>
                </c:pt>
                <c:pt idx="5">
                  <c:v>20.9</c:v>
                </c:pt>
                <c:pt idx="6">
                  <c:v>17.8</c:v>
                </c:pt>
                <c:pt idx="7">
                  <c:v>20.6</c:v>
                </c:pt>
                <c:pt idx="8">
                  <c:v>26.7</c:v>
                </c:pt>
                <c:pt idx="9">
                  <c:v>30.6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2.1</c:v>
                </c:pt>
                <c:pt idx="1">
                  <c:v>4.8</c:v>
                </c:pt>
                <c:pt idx="2">
                  <c:v>7.7</c:v>
                </c:pt>
                <c:pt idx="3">
                  <c:v>9.3</c:v>
                </c:pt>
                <c:pt idx="4">
                  <c:v>11</c:v>
                </c:pt>
                <c:pt idx="5">
                  <c:v>17.2</c:v>
                </c:pt>
                <c:pt idx="6">
                  <c:v>14.2</c:v>
                </c:pt>
                <c:pt idx="7">
                  <c:v>16</c:v>
                </c:pt>
                <c:pt idx="8">
                  <c:v>22.3</c:v>
                </c:pt>
                <c:pt idx="9">
                  <c:v>24.3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c:v>
                </c:pt>
                <c:pt idx="1">
                  <c:v>16</c:v>
                </c:pt>
                <c:pt idx="2">
                  <c:v>12.5</c:v>
                </c:pt>
                <c:pt idx="3">
                  <c:v>15.9</c:v>
                </c:pt>
                <c:pt idx="4">
                  <c:v>17.2</c:v>
                </c:pt>
                <c:pt idx="5">
                  <c:v>17.6</c:v>
                </c:pt>
                <c:pt idx="6">
                  <c:v>16.2</c:v>
                </c:pt>
                <c:pt idx="7">
                  <c:v>13.4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1">
                  <c:v>19</c:v>
                </c:pt>
                <c:pt idx="4">
                  <c:v>17</c:v>
                </c:pt>
                <c:pt idx="5">
                  <c:v>17</c:v>
                </c:pt>
                <c:pt idx="6">
                  <c:v>14</c:v>
                </c:pt>
                <c:pt idx="7">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2">
                  <c:v>5</c:v>
                </c:pt>
                <c:pt idx="3">
                  <c:v>10</c:v>
                </c:pt>
                <c:pt idx="4">
                  <c:v>11</c:v>
                </c:pt>
                <c:pt idx="5">
                  <c:v>11</c:v>
                </c:pt>
                <c:pt idx="6">
                  <c:v>21</c:v>
                </c:pt>
                <c:pt idx="7">
                  <c:v>12</c:v>
                </c:pt>
                <c:pt idx="8">
                  <c:v>16</c:v>
                </c:pt>
                <c:pt idx="9">
                  <c:v>12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16</c:v>
                </c:pt>
                <c:pt idx="2">
                  <c:v>21</c:v>
                </c:pt>
                <c:pt idx="3">
                  <c:v>20</c:v>
                </c:pt>
                <c:pt idx="4">
                  <c:v>16</c:v>
                </c:pt>
                <c:pt idx="5">
                  <c:v>18</c:v>
                </c:pt>
                <c:pt idx="6">
                  <c:v>13</c:v>
                </c:pt>
                <c:pt idx="7">
                  <c:v>14</c:v>
                </c:pt>
                <c:pt idx="8">
                  <c:v>16</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-1581.7</c:v>
                </c:pt>
                <c:pt idx="1">
                  <c:v>-1959.2</c:v>
                </c:pt>
                <c:pt idx="2">
                  <c:v>-2854.4</c:v>
                </c:pt>
                <c:pt idx="3">
                  <c:v>-3140.3</c:v>
                </c:pt>
                <c:pt idx="4">
                  <c:v>1929.1999999999998</c:v>
                </c:pt>
                <c:pt idx="5">
                  <c:v>-132</c:v>
                </c:pt>
                <c:pt idx="6">
                  <c:v>1618.6</c:v>
                </c:pt>
                <c:pt idx="7">
                  <c:v>6925.7</c:v>
                </c:pt>
                <c:pt idx="8">
                  <c:v>6921.9</c:v>
                </c:pt>
                <c:pt idx="9">
                  <c:v>9461.099999999999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186.7</c:v>
                </c:pt>
                <c:pt idx="1">
                  <c:v>558.9</c:v>
                </c:pt>
                <c:pt idx="2">
                  <c:v>1211.2</c:v>
                </c:pt>
                <c:pt idx="3">
                  <c:v>1866.9</c:v>
                </c:pt>
                <c:pt idx="4">
                  <c:v>2761.4</c:v>
                </c:pt>
                <c:pt idx="5">
                  <c:v>5116.2</c:v>
                </c:pt>
                <c:pt idx="6">
                  <c:v>4491.9</c:v>
                </c:pt>
                <c:pt idx="7">
                  <c:v>5408</c:v>
                </c:pt>
                <c:pt idx="8">
                  <c:v>8711.6</c:v>
                </c:pt>
                <c:pt idx="9">
                  <c:v>10981.2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14.5</c:v>
                </c:pt>
                <c:pt idx="2">
                  <c:v>16.6</c:v>
                </c:pt>
                <c:pt idx="3">
                  <c:v>16.2</c:v>
                </c:pt>
                <c:pt idx="4">
                  <c:v>21.7</c:v>
                </c:pt>
                <c:pt idx="5">
                  <c:v>24.5</c:v>
                </c:pt>
                <c:pt idx="6">
                  <c:v>17.7</c:v>
                </c:pt>
                <c:pt idx="7">
                  <c:v>21.2</c:v>
                </c:pt>
                <c:pt idx="8">
                  <c:v>31</c:v>
                </c:pt>
                <c:pt idx="9">
                  <c:v>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11.5</c:v>
                </c:pt>
                <c:pt idx="1">
                  <c:v>11.5</c:v>
                </c:pt>
                <c:pt idx="2">
                  <c:v>11.5</c:v>
                </c:pt>
                <c:pt idx="3">
                  <c:v>11.5</c:v>
                </c:pt>
                <c:pt idx="4">
                  <c:v>11.5</c:v>
                </c:pt>
                <c:pt idx="5">
                  <c:v>11.5</c:v>
                </c:pt>
                <c:pt idx="6">
                  <c:v>11.5</c:v>
                </c:pt>
                <c:pt idx="7">
                  <c:v>11.5</c:v>
                </c:pt>
                <c:pt idx="8">
                  <c:v>11.5</c:v>
                </c:pt>
                <c:pt idx="9">
                  <c:v>11.5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17.9</c:v>
                </c:pt>
                <c:pt idx="2">
                  <c:v>27.5</c:v>
                </c:pt>
                <c:pt idx="3">
                  <c:v>29.1</c:v>
                </c:pt>
                <c:pt idx="4">
                  <c:v>29.6</c:v>
                </c:pt>
                <c:pt idx="5">
                  <c:v>38</c:v>
                </c:pt>
                <c:pt idx="6">
                  <c:v>24.5</c:v>
                </c:pt>
                <c:pt idx="7">
                  <c:v>26.1</c:v>
                </c:pt>
                <c:pt idx="8">
                  <c:v>38.4</c:v>
                </c:pt>
                <c:pt idx="9">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3.73</c:v>
                </c:pt>
                <c:pt idx="1">
                  <c:v>4.04</c:v>
                </c:pt>
                <c:pt idx="2">
                  <c:v>3.89</c:v>
                </c:pt>
                <c:pt idx="3">
                  <c:v>3.6</c:v>
                </c:pt>
                <c:pt idx="4">
                  <c:v>1.72</c:v>
                </c:pt>
                <c:pt idx="5">
                  <c:v>1.46</c:v>
                </c:pt>
                <c:pt idx="6">
                  <c:v>1.39</c:v>
                </c:pt>
                <c:pt idx="7">
                  <c:v>1.01</c:v>
                </c:pt>
                <c:pt idx="8">
                  <c:v>0.56</c:v>
                </c:pt>
                <c:pt idx="9">
                  <c:v>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1000</c:v>
                </c:pt>
                <c:pt idx="1">
                  <c:v>1486</c:v>
                </c:pt>
                <c:pt idx="2">
                  <c:v>3500</c:v>
                </c:pt>
                <c:pt idx="3">
                  <c:v>4329</c:v>
                </c:pt>
                <c:pt idx="4">
                  <c:v>2257</c:v>
                </c:pt>
                <c:pt idx="5">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788.3</c:v>
                </c:pt>
                <c:pt idx="6">
                  <c:v>757.4</c:v>
                </c:pt>
                <c:pt idx="7">
                  <c:v>0</c:v>
                </c:pt>
                <c:pt idx="8">
                  <c:v>0</c:v>
                </c:pt>
                <c:pt idx="9">
                  <c:v>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600</c:v>
                </c:pt>
                <c:pt idx="6">
                  <c:v>0</c:v>
                </c:pt>
                <c:pt idx="7">
                  <c:v>6045.3</c:v>
                </c:pt>
                <c:pt idx="8">
                  <c:v>6263.7</c:v>
                </c:pt>
                <c:pt idx="9">
                  <c:v>9127.2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FMR (Fidelity)</c:v>
                </c:pt>
                <c:pt idx="3">
                  <c:v>Consejeros y directivos (16 personas)</c:v>
                </c:pt>
                <c:pt idx="4">
                  <c:v>Autocartera</c:v>
                </c:pt>
              </c:strCache>
            </c:strRef>
          </c:cat>
          <c:val>
            <c:numRef>
              <c:f>Hoja1!$B$2:$B$6</c:f>
              <c:numCache>
                <c:formatCode>0.0"%"</c:formatCode>
                <c:ptCount val="5"/>
                <c:pt idx="0">
                  <c:v>8.65</c:v>
                </c:pt>
                <c:pt idx="1">
                  <c:v>7.34</c:v>
                </c:pt>
                <c:pt idx="2">
                  <c:v>5.29</c:v>
                </c:pt>
                <c:pt idx="3">
                  <c:v>1.24</c:v>
                </c:pt>
                <c:pt idx="4">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8.2</c:v>
                </c:pt>
                <c:pt idx="1">
                  <c:v>55.1</c:v>
                </c:pt>
                <c:pt idx="2">
                  <c:v>39.4</c:v>
                </c:pt>
                <c:pt idx="3">
                  <c:v>20.9</c:v>
                </c:pt>
                <c:pt idx="4">
                  <c:v>67.1</c:v>
                </c:pt>
                <c:pt idx="5">
                  <c:v>11.4</c:v>
                </c:pt>
                <c:pt idx="6">
                  <c:v>-51.1</c:v>
                </c:pt>
                <c:pt idx="7">
                  <c:v>65.1</c:v>
                </c:pt>
                <c:pt idx="8">
                  <c:v>83.1</c:v>
                </c:pt>
                <c:pt idx="9">
                  <c:v>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127.9</c:v>
                </c:pt>
                <c:pt idx="1">
                  <c:v>98.2</c:v>
                </c:pt>
                <c:pt idx="2">
                  <c:v>75.4</c:v>
                </c:pt>
                <c:pt idx="3">
                  <c:v>57.6</c:v>
                </c:pt>
                <c:pt idx="4">
                  <c:v>54</c:v>
                </c:pt>
                <c:pt idx="5">
                  <c:v>44.3</c:v>
                </c:pt>
                <c:pt idx="6">
                  <c:v>23.7</c:v>
                </c:pt>
                <c:pt idx="7">
                  <c:v>30.9</c:v>
                </c:pt>
                <c:pt idx="8">
                  <c:v>37</c:v>
                </c:pt>
                <c:pt idx="9">
                  <c:v>29.2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49.2</c:v>
                </c:pt>
                <c:pt idx="1">
                  <c:v>49.2</c:v>
                </c:pt>
                <c:pt idx="2">
                  <c:v>49.2</c:v>
                </c:pt>
                <c:pt idx="3">
                  <c:v>49.2</c:v>
                </c:pt>
                <c:pt idx="4">
                  <c:v>49.2</c:v>
                </c:pt>
                <c:pt idx="5">
                  <c:v>49.2</c:v>
                </c:pt>
                <c:pt idx="6">
                  <c:v>49.2</c:v>
                </c:pt>
                <c:pt idx="7">
                  <c:v>49.2</c:v>
                </c:pt>
                <c:pt idx="8">
                  <c:v>49.2</c:v>
                </c:pt>
                <c:pt idx="9">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Netflix</c:v>
                </c:pt>
                <c:pt idx="1">
                  <c:v>Walt Disney</c:v>
                </c:pt>
                <c:pt idx="2">
                  <c:v>Comcast</c:v>
                </c:pt>
                <c:pt idx="3">
                  <c:v>Fox Corporation</c:v>
                </c:pt>
                <c:pt idx="4">
                  <c:v>Spotify</c:v>
                </c:pt>
                <c:pt idx="5">
                  <c:v>Roku</c:v>
                </c:pt>
                <c:pt idx="6">
                  <c:v>TKO Group</c:v>
                </c:pt>
              </c:strCache>
            </c:strRef>
          </c:cat>
          <c:val>
            <c:numRef>
              <c:f>Hoja1!$B$2:$B$8</c:f>
              <c:numCache>
                <c:formatCode>0.0"x"</c:formatCode>
                <c:ptCount val="7"/>
                <c:pt idx="0">
                  <c:v>16</c:v>
                </c:pt>
                <c:pt idx="1">
                  <c:v>9.55</c:v>
                </c:pt>
                <c:pt idx="2">
                  <c:v>4.7</c:v>
                </c:pt>
                <c:pt idx="3">
                  <c:v>7.32</c:v>
                </c:pt>
                <c:pt idx="4">
                  <c:v>24.9</c:v>
                </c:pt>
                <c:pt idx="5">
                  <c:v>23.3</c:v>
                </c:pt>
                <c:pt idx="6">
                  <c:v>15.8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Netflix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11.6</c:v>
                </c:pt>
              </c:numCache>
            </c:numRef>
          </c:xVal>
          <c:yVal>
            <c:numRef>
              <c:f>Hoja1!$C$2</c:f>
              <c:numCache>
                <c:formatCode>0.0"x"</c:formatCode>
                <c:ptCount val="1"/>
                <c:pt idx="0">
                  <c:v>16</c:v>
                </c:pt>
              </c:numCache>
            </c:numRef>
          </c:yVal>
          <c:smooth val="0"/>
        </c:ser>
        <c:ser>
          <c:idx val="1"/>
          <c:order val="1"/>
          <c:tx>
            <c:strRef>
              <c:f>Hoja1!$A$3</c:f>
              <c:strCache>
                <c:ptCount val="1"/>
                <c:pt idx="0">
                  <c:v>Walt Disney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9.55</c:v>
                </c:pt>
              </c:numCache>
            </c:numRef>
          </c:yVal>
          <c:smooth val="0"/>
        </c:ser>
        <c:ser>
          <c:idx val="2"/>
          <c:order val="2"/>
          <c:tx>
            <c:strRef>
              <c:f>Hoja1!$A$4</c:f>
              <c:strCache>
                <c:ptCount val="1"/>
                <c:pt idx="0">
                  <c:v>Comcast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-3.1</c:v>
                </c:pt>
              </c:numCache>
            </c:numRef>
          </c:xVal>
          <c:yVal>
            <c:numRef>
              <c:f>Hoja1!$C$4</c:f>
              <c:numCache>
                <c:formatCode>0.0"x"</c:formatCode>
                <c:ptCount val="1"/>
                <c:pt idx="0">
                  <c:v>4.7</c:v>
                </c:pt>
              </c:numCache>
            </c:numRef>
          </c:yVal>
          <c:smooth val="0"/>
        </c:ser>
        <c:ser>
          <c:idx val="3"/>
          <c:order val="3"/>
          <c:tx>
            <c:strRef>
              <c:f>Hoja1!$A$5</c:f>
              <c:strCache>
                <c:ptCount val="1"/>
                <c:pt idx="0">
                  <c:v>Fox Corporation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3.3</c:v>
                </c:pt>
              </c:numCache>
            </c:numRef>
          </c:xVal>
          <c:yVal>
            <c:numRef>
              <c:f>Hoja1!$C$5</c:f>
              <c:numCache>
                <c:formatCode>0.0"x"</c:formatCode>
                <c:ptCount val="1"/>
                <c:pt idx="0">
                  <c:v>7.32</c:v>
                </c:pt>
              </c:numCache>
            </c:numRef>
          </c:yVal>
          <c:smooth val="0"/>
        </c:ser>
        <c:ser>
          <c:idx val="4"/>
          <c:order val="4"/>
          <c:tx>
            <c:strRef>
              <c:f>Hoja1!$A$6</c:f>
              <c:strCache>
                <c:ptCount val="1"/>
                <c:pt idx="0">
                  <c:v>Spotify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17.8</c:v>
                </c:pt>
              </c:numCache>
            </c:numRef>
          </c:xVal>
          <c:yVal>
            <c:numRef>
              <c:f>Hoja1!$C$6</c:f>
              <c:numCache>
                <c:formatCode>0.0"x"</c:formatCode>
                <c:ptCount val="1"/>
                <c:pt idx="0">
                  <c:v>24.9</c:v>
                </c:pt>
              </c:numCache>
            </c:numRef>
          </c:yVal>
          <c:smooth val="0"/>
        </c:ser>
        <c:ser>
          <c:idx val="5"/>
          <c:order val="5"/>
          <c:tx>
            <c:strRef>
              <c:f>Hoja1!$A$7</c:f>
              <c:strCache>
                <c:ptCount val="1"/>
                <c:pt idx="0">
                  <c:v>Roku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18.6</c:v>
                </c:pt>
              </c:numCache>
            </c:numRef>
          </c:xVal>
          <c:yVal>
            <c:numRef>
              <c:f>Hoja1!$C$7</c:f>
              <c:numCache>
                <c:formatCode>0.0"x"</c:formatCode>
                <c:ptCount val="1"/>
                <c:pt idx="0">
                  <c:v>23.3</c:v>
                </c:pt>
              </c:numCache>
            </c:numRef>
          </c:yVal>
          <c:smooth val="0"/>
        </c:ser>
        <c:ser>
          <c:idx val="6"/>
          <c:order val="6"/>
          <c:tx>
            <c:strRef>
              <c:f>Hoja1!$A$8</c:f>
              <c:strCache>
                <c:ptCount val="1"/>
                <c:pt idx="0">
                  <c:v>TKO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11.1</c:v>
                </c:pt>
              </c:numCache>
            </c:numRef>
          </c:xVal>
          <c:yVal>
            <c:numRef>
              <c:f>Hoja1!$C$8</c:f>
              <c:numCache>
                <c:formatCode>0.0"x"</c:formatCode>
                <c:ptCount val="1"/>
                <c:pt idx="0">
                  <c:v>15.8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Warner Bros. (estudios, HBO y HBO Max)</c:v>
                </c:pt>
                <c:pt idx="1">
                  <c:v>Warner Bros. Discovery (todo el grupo)</c:v>
                </c:pt>
                <c:pt idx="2">
                  <c:v>Hulu (33 % de Comcast)</c:v>
                </c:pt>
                <c:pt idx="3">
                  <c:v>Paramount Global</c:v>
                </c:pt>
                <c:pt idx="4">
                  <c:v>MGM Holdings</c:v>
                </c:pt>
              </c:strCache>
            </c:strRef>
          </c:cat>
          <c:val>
            <c:numRef>
              <c:f>Hoja1!$B$2:$B$6</c:f>
              <c:numCache>
                <c:formatCode>0.0"x"</c:formatCode>
                <c:ptCount val="5"/>
                <c:pt idx="0">
                  <c:v>30.6</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11428</c:v>
                </c:pt>
                <c:pt idx="1">
                  <c:v>13852</c:v>
                </c:pt>
                <c:pt idx="2">
                  <c:v>16345</c:v>
                </c:pt>
                <c:pt idx="3">
                  <c:v>18723</c:v>
                </c:pt>
                <c:pt idx="4">
                  <c:v>21012</c:v>
                </c:pt>
                <c:pt idx="5">
                  <c:v>23051</c:v>
                </c:pt>
                <c:pt idx="6">
                  <c:v>24977</c:v>
                </c:pt>
                <c:pt idx="7">
                  <c:v>26635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96823</c:v>
                </c:pt>
                <c:pt idx="1">
                  <c:v>70279</c:v>
                </c:pt>
                <c:pt idx="2">
                  <c:v>92789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70,30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36.28</c:v>
                </c:pt>
                <c:pt idx="1">
                  <c:v>60.38</c:v>
                </c:pt>
                <c:pt idx="2">
                  <c:v>81.88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70,30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Hoja1!$B$2:$B$9</c:f>
              <c:numCache>
                <c:formatCode>#,##0</c:formatCode>
                <c:ptCount val="8"/>
                <c:pt idx="0">
                  <c:v>65.08</c:v>
                </c:pt>
                <c:pt idx="1">
                  <c:v>57</c:v>
                </c:pt>
                <c:pt idx="2">
                  <c:v>34.03</c:v>
                </c:pt>
                <c:pt idx="3">
                  <c:v>44.75</c:v>
                </c:pt>
                <c:pt idx="4">
                  <c:v>55.35</c:v>
                </c:pt>
                <c:pt idx="5">
                  <c:v>36.28</c:v>
                </c:pt>
                <c:pt idx="6">
                  <c:v>69.01</c:v>
                </c:pt>
                <c:pt idx="7">
                  <c:v>69.95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(65,08 – 124,86)</c:v>
                </c:pt>
                <c:pt idx="1">
                  <c:v>Precio objetivo de los analistas (57,00 – 135,00)</c:v>
                </c:pt>
                <c:pt idx="2">
                  <c:v>Comparables: EV/EBITDA NTM (34,03 – 94,67)</c:v>
                </c:pt>
                <c:pt idx="3">
                  <c:v>Comparables: PER NTM (44,75 – 133,59)</c:v>
                </c:pt>
                <c:pt idx="4">
                  <c:v>DCF (WACC y g ± 0,5) (55,35 – 66,65)</c:v>
                </c:pt>
                <c:pt idx="5">
                  <c:v>Escenarios (bajista – alcista) (36,28 – 81,88)</c:v>
                </c:pt>
                <c:pt idx="6">
                  <c:v>DCF con la prima implícita del mercado (4,2 %)</c:v>
                </c:pt>
                <c:pt idx="7">
                  <c:v>Precio actual (70,30)</c:v>
                </c:pt>
              </c:strCache>
            </c:strRef>
          </c:cat>
          <c:val>
            <c:numRef>
              <c:f>Hoja1!$C$2:$C$9</c:f>
              <c:numCache>
                <c:formatCode>#,##0</c:formatCode>
                <c:ptCount val="8"/>
                <c:pt idx="0">
                  <c:v>59.78</c:v>
                </c:pt>
                <c:pt idx="1">
                  <c:v>78</c:v>
                </c:pt>
                <c:pt idx="2">
                  <c:v>60.64</c:v>
                </c:pt>
                <c:pt idx="3">
                  <c:v>88.84</c:v>
                </c:pt>
                <c:pt idx="4">
                  <c:v>11.300000000000004</c:v>
                </c:pt>
                <c:pt idx="5">
                  <c:v>45.599999999999994</c:v>
                </c:pt>
                <c:pt idx="6">
                  <c:v>11.5</c:v>
                </c:pt>
                <c:pt idx="7">
                  <c:v>0.7000000000000028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