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Olympus Corporation</w:t>
      </w:r>
    </w:p>
    <w:p>
      <w:pPr>
        <w:spacing w:after="60"/>
        <w:rPr>
          <w:color w:val="52514E"/>
          <w:sz w:val="22"/>
          <w:szCs w:val="22"/>
        </w:rPr>
      </w:pPr>
      <w:r>
        <w:rPr>
          <w:color w:val="52514E"/>
          <w:sz w:val="22"/>
          <w:szCs w:val="22"/>
        </w:rPr>
        <w:t xml:space="preserve">7733 · Bolsa de Tokio (TSE Prime) · ISIN JP3201200007 · Salud</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9 oct 2026</w:t>
      </w:r>
      <w:r>
        <w:rPr>
          <w:color w:val="52514E"/>
          <w:sz w:val="18"/>
          <w:szCs w:val="18"/>
        </w:rPr>
        <w:t xml:space="preserve"> · Divisa: </w:t>
      </w:r>
      <w:r>
        <w:rPr>
          <w:b/>
          <w:bCs/>
          <w:color w:val="52514E"/>
          <w:sz w:val="18"/>
          <w:szCs w:val="18"/>
        </w:rPr>
        <w:t xml:space="preserve">JPY</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Vender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2.000,00 JPY</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2.541,11 JPY</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+28,6 % (base +22,8 %)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1.902,53 JPY · mercado 1.910,16</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2.125.640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10,3x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1,5x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Olympus Corporation</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7733 / JP3201200007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Bolsa de Tokio (TSE Prime)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TOPIX (Nikkei 225 como contraste)</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Salud / Equipos y suministros médicos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Hachioji y Shinjuku-ku, Tokio · 1919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28.138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https://www.olympus-global.com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2.000,00 (9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1.302,50 – 2.210,50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1.062,8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94,6 %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2.125.640 M JPY</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2.394.965 M JPY</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8.760 M JPY/día (4,4 M de acciones,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Vender</w:t>
      </w:r>
      <w:r>
        <w:t xml:space="preserve"> · Convicción Baja · Objetivo a 12 meses </w:t>
      </w:r>
      <w:r>
        <w:rPr>
          <w:b/>
          <w:bCs/>
        </w:rPr>
        <w:t xml:space="preserve">2.541,11 JPY</w:t>
      </w:r>
      <w:r>
        <w:t xml:space="preserve"> frente a 2.000,00 · Rentabilidad a 12 meses </w:t>
      </w:r>
      <w:r>
        <w:rPr>
          <w:b/>
          <w:bCs/>
        </w:rPr>
        <w:t xml:space="preserve">+28,6 % (base +22,8 %)</w:t>
      </w:r>
      <w:r>
        <w:t xml:space="preserve"> · Valor intrínseco 1.902,53 JPY · con la prima implícita del mercado: 1.910,16 (-4,5 %) · Alcista / bajista +17,9 % / -40,8 %</w:t>
      </w:r>
    </w:p>
    <w:p>
      <w:pPr>
        <w:spacing w:after="100"/>
      </w:pPr>
      <w:r>
        <w:rPr>
          <w:b/>
        </w:rPr>
        <w:t xml:space="preserve">La recomendación y por qué.</w:t>
      </w:r>
      <w:r>
        <w:t xml:space="preserve"> Vender, con convicción baja. El valor objetivo es de 1.902,53 JPY frente a un precio de 2.000 JPY: un potencial del −4,9 % y una rentabilidad total esperada del −3,4 % con el dividendo de 30 JPY. Con la prima del mercado (4,20 %), −3,0 %. Las dos reglas dan Vender, no por la rentabilidad sino por la asimetría: el bajista (−40,8 %) pesa más del doble que el alcista (+17,9 %), 0,44x. El 9-oct decíamos Mantener; la prueba de sostenibilidad nos hizo limitar el margen final al 22,7 % de FY2025 (antes, 23,0 %). La convicción es baja, y no media como sugieren los criterios, porque el precio está solo un 1,1 % por encima del umbral de venta y la señal depende de 0,3 puntos de margen: es reducir, no salir. La subiría un segundo trimestre sin vuelta de los productos retenidos.</w:t>
      </w:r>
    </w:p>
    <w:p>
      <w:pPr>
        <w:spacing w:after="100"/>
      </w:pPr>
      <w:r>
        <w:rPr>
          <w:b/>
        </w:rPr>
        <w:t xml:space="preserve">El negocio.</w:t>
      </w:r>
      <w:r>
        <w:t xml:space="preserve"> Olympus tiene en torno al 70 % del mercado mundial de endoscopios gastrointestinales [18], base instalada con servicio recurrente y un ROIC del 15-17 % en los ejercicios limpios, el doble de su WACC (7,18 %). Ese foso es amplio pero se estrecha: en FY2026 el ROIC cayó al 7,9 %, porque SIS perdió 14.986 M de JPY y en China los fabricantes locales ya tienen el 20-30 % del mercado [10, 36]. ¿Sostiene su calidad el crecimiento que proyectamos? En parte: el 3,7 % anual apenas supera el 3,4 % del mercado [37] y no exige ganar cuota, pero con el ROIC de FY2026 la reinversión solo financia un 1,7 % anual (con el de FY2025, un 3,3 %, más el precio). Depende de que el margen vuelva.</w:t>
      </w:r>
    </w:p>
    <w:p>
      <w:pPr>
        <w:spacing w:after="100"/>
      </w:pPr>
      <w:r>
        <w:rPr>
          <w:b/>
        </w:rPr>
        <w:t xml:space="preserve">Finanzas.</w:t>
      </w:r>
      <w:r>
        <w:t xml:space="preserve"> Las ventas de FY2026 (1.010.676 M) crecieron un 1,3 % y el margen EBITDA bajó al 15,9 %, desde el 22,7 %, por los aranceles de EE. UU. (18.000 M netos), unos 30.000 M de ventas retenidas por la FDA y 26.872 M del programa de plantilla [1, 10]. El flujo libre acumulado de FY2022-FY2026 solo convirtió el 23 % del beneficio,, y en mayo de 2026 recompró con deuda: deuda neta ajustada de 271.170 M (1,5x EBITDA). El primer trimestre de FY2027 marca el giro: ventas +16,4 % y margen ajustado del 12,8 % frente al 6,4 % [9, 11].</w:t>
      </w:r>
    </w:p>
    <w:p>
      <w:pPr>
        <w:spacing w:after="100"/>
      </w:pPr>
      <w:r>
        <w:rPr>
          <w:b/>
        </w:rPr>
        <w:t xml:space="preserve">Equipo y gobierno.</w:t>
      </w:r>
      <w:r>
        <w:t xml:space="preserve"> Suma en estructura y resta en historial. El consejo tiene 9 independientes de 10 y comités solo de independientes, sin accionista de control [38]. Pero hay tres primeros ejecutivos en 24 meses [53] y la guía de beneficio se incumplió en FY2024, FY2025 y FY2026; Bob White, que viene de Medtronic, aún no tiene historial propio.</w:t>
      </w:r>
    </w:p>
    <w:p>
      <w:pPr>
        <w:spacing w:after="100"/>
      </w:pPr>
      <w:r>
        <w:rPr>
          <w:b/>
        </w:rPr>
        <w:t xml:space="preserve">Valoración.</w:t>
      </w:r>
      <w:r>
        <w:t xml:space="preserve"> El DCF da 1.905,08 JPY y los comparables 1.941,40 JPY; los escenarios ponderados, 1.837,85 JPY. Nuestra proyección coincide con el consenso hasta FY2029e, con diferencias inferiores al 1,1 % en EBITDA [59]. El DCF inverso dice que el precio exige un margen EBITDA estable del 23,3 %, por encima del 22,7 % de FY2025, o un crecimiento del 4,5 % anual, frente al 3,4 % de su mercado [37]. Discrepamos en el precio de un riesgo regulatorio abierto, no en las cifras.</w:t>
      </w:r>
    </w:p>
    <w:p>
      <w:pPr>
        <w:spacing w:after="100"/>
      </w:pPr>
      <w:r>
        <w:rPr>
          <w:b/>
        </w:rPr>
        <w:t xml:space="preserve">Riesgos y catalizadores.</w:t>
      </w:r>
      <w:r>
        <w:t xml:space="preserve"> El riesgo mayor es la FDA. La alerta 89-04 sobre Aizu sigue en vigor en la versión del 19 de agosto de 2026 [20], y una reinspección fallida nos llevaría al bajista (1.183,91 JPY). El segundo es el margen: cada punto menos en todos los años resta un 8 % (1.745,72 JPY). Catalizadores: resultados del 10 de noviembre, vuelta de los productos retenidos y revisión estratégica de SIS [9].</w:t>
      </w:r>
    </w:p>
    <w:p>
      <w:pPr>
        <w:spacing w:after="100"/>
      </w:pPr>
      <w:r>
        <w:rPr>
          <w:b/>
        </w:rPr>
        <w:t xml:space="preserve">Qué cambiaría la decisión.</w:t>
      </w:r>
      <w:r>
        <w:t xml:space="preserve"> Venderíamos por encima de 1.978,63 JPY y compraríamos por debajo de 1.685,64 JPY. Volveríamos a Mantener si el precio baja de ese umbral o si la FDA levanta la alerta, y pasaríamos a Comprar si, además, el margen ajustado del semestre supera el 16 %.</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Vender</w:t>
      </w:r>
      <w:r>
        <w:t xml:space="preserve"> · Convicción: Baja · Horizonte: 12 meses · Objetivo a 12 meses: </w:t>
      </w:r>
      <w:r>
        <w:rPr>
          <w:b/>
          <w:bCs/>
        </w:rPr>
        <w:t xml:space="preserve">2.541,11 JPY</w:t>
      </w:r>
      <w:r>
        <w:t xml:space="preserve"> (rentabilidad +28,6 % (base +22,8 %)) · Valor intrínseco: 1.902,53 JPY (-4,9 % sobre 2.000,00) · con la prima implícita del mercado: 1.910,16 (-4,5 %)</w:t>
      </w:r>
    </w:p>
    <w:p>
      <w:pPr>
        <w:spacing w:after="100"/>
      </w:pPr>
      <w:r>
        <w:t xml:space="preserve">Olympus es el líder mundial de la endoscopia gastrointestinal, con en torno al 70 % de cuota [18], tras vender cámaras (2021) y el negocio científico (2023). Su negocio GIS facturó 697.359 M de JPY en FY2026 con un margen operativo del 19,6 % y crece a doble dígito en Norteamérica, Europa y Asia-Pacífico gracias a la plataforma EVIS X1 [9, 10]. En los ejercicios sin problemas regulatorios el grupo rindió un 15-17 % sobre el capital, el doble de su coste.</w:t>
      </w:r>
    </w:p>
    <w:p>
      <w:pPr>
        <w:spacing w:after="100"/>
      </w:pPr>
      <w:r>
        <w:t xml:space="preserve">El precio de 2.000 JPY descuenta, según el DCF inverso, un margen EBITDA estable del 23,3 % o un crecimiento del 4,5 % anual hasta FY2036: más que la recuperación completa del plan de la dirección (mejoras de 100 puntos básicos al año y crecimiento del 3-4-5 % a tipo constante) [10], y un margen por encima del 22,7 % de FY2025, el último ejercicio limpio. A 10,3x EV/EBITDA y 18,8x PER a 12 meses vista cotiza en la mediana de sus comparables, sin el descuento que justificarían un crecimiento menor y un margen más bajo.</w:t>
      </w:r>
    </w:p>
    <w:p>
      <w:pPr>
        <w:spacing w:after="100"/>
      </w:pPr>
      <w:r>
        <w:t xml:space="preserve">El mercado acierta en la dirección y se adelanta en el plazo. Hay que creer que la FDA levanta la alerta de Aizu en 2027 y que las retenciones terminan en el segundo semestre de FY2027, cosa que la empresa espera pero que no controla [9, 20]. También hay que creer que los aranceles y China no impiden recuperar el margen. Con una asimetría de 0,44x, el precio no paga por esperar.</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FY2029e,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2.541,11 JPY</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16,2x × 92,00 = 1.490,40 · 20,2x × 120,10 = 2.426,02 · 27,3x × 140,00 = 3.822,00</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28,6 % / 22,8 %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2.184,62 (nuestro base +11,0 %)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1.902,53 JPY</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17,9 % / -40,8 %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0,44x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 frente a 7,2 % y 7,2 %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7,2 %)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1.910,16 JPY</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0,46x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(FY2027e-FY2036e)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 frente a 3,4 %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(3,7 % anual proyectado; financiable al ROIC actual: 1,7 %)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(no llega a Alta: rentabilidad del -3,4 % (&gt; −20 %); con la prima del mercado, -3,0 % (&gt; −15 %); el precio pide 0,8 puntos más de crecimiento que el caso base (&lt; 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1.902,53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1.902,53 y 2.856,79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2.856,79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baja de 1.978,63 JPY sin cambios en la tesis, volveríamos a Mantener; por debajo de 1.685,64 JPY, a Comprar.</w:t>
      </w:r>
    </w:p>
    <w:p>
      <w:pPr>
        <w:pStyle w:val="ListParagraph"/>
        <w:numPr>
          <w:ilvl w:val="0"/>
          <w:numId w:val="2"/>
        </w:numPr>
        <w:spacing w:after="60"/>
      </w:pPr>
      <w:r>
        <w:t xml:space="preserve">Si la FDA levanta la alerta de importación de Aizu y el margen ajustado del 2S FY2027 supera el 16 %, revisaríamos al alza el margen y probablemente a Mantener o Comprar.</w:t>
      </w:r>
    </w:p>
    <w:p>
      <w:pPr>
        <w:pStyle w:val="ListParagraph"/>
        <w:numPr>
          <w:ilvl w:val="0"/>
          <w:numId w:val="2"/>
        </w:numPr>
        <w:spacing w:after="60"/>
      </w:pPr>
      <w:r>
        <w:t xml:space="preserve">Si los productos retenidos no han vuelto en marzo de 2027 o la FDA abre un decreto de consentimiento, reforzaríamos el Vender.</w:t>
      </w:r>
    </w:p>
    <w:p>
      <w:pPr>
        <w:pStyle w:val="ListParagraph"/>
        <w:numPr>
          <w:ilvl w:val="0"/>
          <w:numId w:val="2"/>
        </w:numPr>
        <w:spacing w:after="60"/>
      </w:pPr>
      <w:r>
        <w:t xml:space="preserve">Si el ROIC vuelve al 15 % de FY2025, la reinversión financiaría el crecimiento proyectado y subiríamos la convicción en el caso base.</w:t>
      </w:r>
    </w:p>
    <w:p>
      <w:pPr>
        <w:pStyle w:val="Heading2"/>
      </w:pPr>
      <w:r>
        <w:t xml:space="preserve">Dónde discrepamos del mercado</w:t>
      </w:r>
    </w:p>
    <w:p>
      <w:pPr>
        <w:keepNext/>
        <w:spacing w:after="100"/>
      </w:pPr>
      <w:r>
        <w:rPr>
          <w:b/>
          <w:bCs/>
        </w:rPr>
        <w:t xml:space="preserve">Lo que descuenta el precio.</w:t>
      </w:r>
    </w:p>
    <w:p>
      <w:pPr>
        <w:spacing w:after="100"/>
      </w:pPr>
      <w:r>
        <w:t xml:space="preserve">Que la crisis de calidad de 2022-2026 está superada: el margen EBITDA vuelve por encima del 23 % y las ventas crecen algo más que el mercado. Lo dice el DCF inverso (margen implícito del 23,3 %, crecimiento del 4,5 %) y lo confirma el consenso, cuyo EBITDA de FY2029 (260.290 M) coincide con el nuestro [59].</w:t>
      </w:r>
    </w:p>
    <w:p>
      <w:pPr>
        <w:keepNext/>
        <w:spacing w:after="100"/>
      </w:pPr>
      <w:r>
        <w:rPr>
          <w:b/>
          <w:bCs/>
        </w:rPr>
        <w:t xml:space="preserve">Lo que creemos nosotros.</w:t>
      </w:r>
    </w:p>
    <w:p>
      <w:pPr>
        <w:spacing w:after="100"/>
      </w:pPr>
      <w:r>
        <w:t xml:space="preserve">Compartimos el escenario central, porque el primer trimestre de FY2027 lo respalda (margen ajustado del 12,8 % frente al 6,4 %). No compartimos la probabilidad implícita del bajista: el precio no deja margen para un retraso de la FDA, que ya ha ocurrido. En mayo de 2025 la empresa esperaba cumplir todos sus compromisos al cierre de FY2026, y en junio llegó la alerta de importación [16, 19].</w:t>
      </w:r>
    </w:p>
    <w:p>
      <w:pPr>
        <w:keepNext/>
        <w:spacing w:after="100"/>
      </w:pPr>
      <w:r>
        <w:rPr>
          <w:b/>
          <w:bCs/>
        </w:rPr>
        <w:t xml:space="preserve">Por qué podemos tener razón.</w:t>
      </w:r>
    </w:p>
    <w:p>
      <w:pPr>
        <w:spacing w:after="100"/>
      </w:pPr>
      <w:r>
        <w:t xml:space="preserve">La FDA decide por su cuenta y no publica calendario de reinspecciones. Olympus ha incumplido su guía de beneficio tres años seguidos, y el último trimestre bueno coincide con un yen débil (+16 % en yenes, +5 % a tipo constante) [9]. Esperar a la reinspección cuesta poco: la rentabilidad esperada es del −3,4 %.</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JPY) · precio actual 2.000,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1.905,08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1.941,40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4.267,58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1.837,85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bl>
    <w:p>
      <w:pPr>
        <w:spacing w:after="160" w:before="0"/>
      </w:pPr>
    </w:p>
    <w:p>
      <w:pPr>
        <w:pStyle w:val="Heading2"/>
      </w:pPr>
      <w:r>
        <w:t xml:space="preserve">A favor</w:t>
      </w:r>
    </w:p>
    <w:p>
      <w:pPr>
        <w:pStyle w:val="ListParagraph"/>
        <w:numPr>
          <w:ilvl w:val="0"/>
          <w:numId w:val="2"/>
        </w:numPr>
        <w:spacing w:after="60"/>
      </w:pPr>
      <w:r>
        <w:rPr>
          <w:b/>
        </w:rPr>
        <w:t xml:space="preserve">Cuota del 70 % en endoscopios GI</w:t>
      </w:r>
      <w:r>
        <w:t xml:space="preserve">, con base instalada y servicio recurrente [18].</w:t>
      </w:r>
    </w:p>
    <w:p>
      <w:pPr>
        <w:pStyle w:val="ListParagraph"/>
        <w:numPr>
          <w:ilvl w:val="0"/>
          <w:numId w:val="2"/>
        </w:numPr>
        <w:spacing w:after="60"/>
      </w:pPr>
      <w:r>
        <w:rPr>
          <w:b/>
        </w:rPr>
        <w:t xml:space="preserve">Recuperación visible en el 1T FY2027</w:t>
      </w:r>
      <w:r>
        <w:t xml:space="preserve">: ventas +16,4 %, margen ajustado del 12,8 % frente al 6,4 % [9, 11].</w:t>
      </w:r>
    </w:p>
    <w:p>
      <w:pPr>
        <w:pStyle w:val="ListParagraph"/>
        <w:numPr>
          <w:ilvl w:val="0"/>
          <w:numId w:val="2"/>
        </w:numPr>
        <w:spacing w:after="60"/>
      </w:pPr>
      <w:r>
        <w:rPr>
          <w:b/>
        </w:rPr>
        <w:t xml:space="preserve">24.000 M de ahorro anual</w:t>
      </w:r>
      <w:r>
        <w:t xml:space="preserve"> del programa de plantilla en FY2028, el 2,2 % de las ventas [9].</w:t>
      </w:r>
    </w:p>
    <w:p>
      <w:pPr>
        <w:pStyle w:val="ListParagraph"/>
        <w:numPr>
          <w:ilvl w:val="0"/>
          <w:numId w:val="2"/>
        </w:numPr>
        <w:spacing w:after="60"/>
      </w:pPr>
      <w:r>
        <w:rPr>
          <w:b/>
        </w:rPr>
        <w:t xml:space="preserve">ROIC del 15-17 % en los ejercicios limpios</w:t>
      </w:r>
      <w:r>
        <w:t xml:space="preserve">, frente a un WACC del 7,18 %.</w:t>
      </w:r>
    </w:p>
    <w:p>
      <w:pPr>
        <w:pStyle w:val="ListParagraph"/>
        <w:numPr>
          <w:ilvl w:val="0"/>
          <w:numId w:val="2"/>
        </w:numPr>
        <w:spacing w:after="60"/>
      </w:pPr>
      <w:r>
        <w:rPr>
          <w:b/>
        </w:rPr>
        <w:t xml:space="preserve">Consejo con 9 de 10 independientes</w:t>
      </w:r>
      <w:r>
        <w:t xml:space="preserve">, sin accionista de control ni medidas antiopa [38].</w:t>
      </w:r>
    </w:p>
    <w:p>
      <w:pPr>
        <w:pStyle w:val="Heading2"/>
      </w:pPr>
      <w:r>
        <w:t xml:space="preserve">En contra</w:t>
      </w:r>
    </w:p>
    <w:p>
      <w:pPr>
        <w:pStyle w:val="ListParagraph"/>
        <w:numPr>
          <w:ilvl w:val="0"/>
          <w:numId w:val="2"/>
        </w:numPr>
        <w:spacing w:after="60"/>
      </w:pPr>
      <w:r>
        <w:rPr>
          <w:b/>
        </w:rPr>
        <w:t xml:space="preserve">Alerta de importación de la FDA en vigor</w:t>
      </w:r>
      <w:r>
        <w:t xml:space="preserve"> sobre Aizu desde el 24-jun-2025 [20].</w:t>
      </w:r>
    </w:p>
    <w:p>
      <w:pPr>
        <w:pStyle w:val="ListParagraph"/>
        <w:numPr>
          <w:ilvl w:val="0"/>
          <w:numId w:val="2"/>
        </w:numPr>
        <w:spacing w:after="60"/>
      </w:pPr>
      <w:r>
        <w:rPr>
          <w:b/>
        </w:rPr>
        <w:t xml:space="preserve">Asimetría de 0,44x</w:t>
      </w:r>
      <w:r>
        <w:t xml:space="preserve">: el bajista (−40,8 %) pesa más del doble que el alcista (+17,9 %).</w:t>
      </w:r>
    </w:p>
    <w:p>
      <w:pPr>
        <w:pStyle w:val="ListParagraph"/>
        <w:numPr>
          <w:ilvl w:val="0"/>
          <w:numId w:val="2"/>
        </w:numPr>
        <w:spacing w:after="60"/>
      </w:pPr>
      <w:r>
        <w:rPr>
          <w:b/>
        </w:rPr>
        <w:t xml:space="preserve">Guía de beneficio incumplida</w:t>
      </w:r>
      <w:r>
        <w:t xml:space="preserve"> en FY2024, FY2025 y FY2026.</w:t>
      </w:r>
    </w:p>
    <w:p>
      <w:pPr>
        <w:pStyle w:val="ListParagraph"/>
        <w:numPr>
          <w:ilvl w:val="0"/>
          <w:numId w:val="2"/>
        </w:numPr>
        <w:spacing w:after="60"/>
      </w:pPr>
      <w:r>
        <w:rPr>
          <w:b/>
        </w:rPr>
        <w:t xml:space="preserve">Flujo libre del 23 % del beneficio</w:t>
      </w:r>
      <w:r>
        <w:t xml:space="preserve"> en FY2022-FY2026 y recompras con deuda en 2026.</w:t>
      </w:r>
    </w:p>
    <w:p>
      <w:pPr>
        <w:pStyle w:val="ListParagraph"/>
        <w:numPr>
          <w:ilvl w:val="0"/>
          <w:numId w:val="2"/>
        </w:numPr>
        <w:spacing w:after="60"/>
      </w:pPr>
      <w:r>
        <w:rPr>
          <w:b/>
        </w:rPr>
        <w:t xml:space="preserve">SIS en pérdidas</w:t>
      </w:r>
      <w:r>
        <w:t xml:space="preserve"> (−14.986 M en FY2026), con 179.576 M de fondo de comercio [1, 10].</w:t>
      </w:r>
    </w:p>
    <w:p>
      <w:pPr>
        <w:pStyle w:val="ListParagraph"/>
        <w:numPr>
          <w:ilvl w:val="0"/>
          <w:numId w:val="2"/>
        </w:numPr>
        <w:spacing w:after="60"/>
      </w:pPr>
      <w:r>
        <w:rPr>
          <w:b/>
        </w:rPr>
        <w:t xml:space="preserve">PER de 28,2x</w:t>
      </w:r>
      <w:r>
        <w:t xml:space="preserve"> sobre los últimos 12 meses, un 26 % por encima de su mediana histórica.</w:t>
      </w:r>
    </w:p>
    <w:p>
      <w:pPr>
        <w:pStyle w:val="Heading2"/>
      </w:pPr>
      <w:r>
        <w:t xml:space="preserve">Qué tiene que pasar para que la tesis funcione</w:t>
      </w:r>
    </w:p>
    <w:p>
      <w:pPr>
        <w:spacing w:after="100"/>
      </w:pPr>
      <w:r>
        <w:t xml:space="preserve">La tesis depende de que los productos retenidos vuelvan al mercado en el segundo semestre de FY2027 (octubre de 2026 a marzo de 2027) y de que la FDA reinspeccione Aizu sin observaciones graves. La señal de que no se cumple sería un impacto de la FDA en ventas que no baje de los 13.000 M por trimestre del 1T [9] o un margen ajustado semestral por debajo del 15 %. La otra señal son las ventas en China, que ya caen un 3 %.</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Impacto de la FDA en ventas (alertas y retenciones)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13.000 M en el 1T FY2027 [9]</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Más de 10.000 M en el 3T FY2027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si la vuelta prevista para el 2S FY2027 se cumple.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ajustado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 en el 1T FY2027; guía del 15,2-16,7 % para el año [9]</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15 % en el semestre</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precio descuenta un margen EBITDA del 23,3 % a largo plazo.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en China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−3 % interanual en el 1T FY2027 [9]</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Peor que −10 %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centralizadas y sustitución local.</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GIS a tipo constante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 en el 1T FY2027 [9]</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+3 %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motor del beneficio (19,6 % de margen operativo).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Deuda neta ajustada / EBITDA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1,5x</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Más de 2x o rebaja de S&amp;P</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Recompras con deuda y perspectiva negativa de S&amp;P [1].</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13,1x / 10,3x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28,2x / 18,8x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20,9x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2,29x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(FY2022-FY2026)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1,5x · 1,5x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 (1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Olympus nació en 1919 en Tokio como Takachiho Seisakusho para fabricar microscopios; en 1949 adoptó el nombre Olympus Optical y salió a la Bolsa de Tokio [18]. En 1950 desarrolló el primer gastrocámara práctico, origen de la endoscopia flexible que hoy domina con alrededor del 70 % del mercado mundial de endoscopios gastrointestinales [18]. Tras décadas como conglomerado óptico (cámaras, microscopios, grabadoras), el escándalo contable de 2011 (pérdidas antiguas ocultadas) forzó un cambio de dirección y una alianza de capital con Sony en 2012 [18]. Desde el plan Transform Olympus de 2019 se ha convertido en una empresa pura de tecnología médica: vendió cámaras (2021), el negocio científico (2023, hoy Evident) y ortopedia (2024) [18]. Desde 2022 su historia la marca la FDA: tres cartas de advertencia, el proyecto de calidad Elevate y, en junio de 2025, una alerta de importación sobre productos de su planta de Aizu [19, 21, 22, 23].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como Takachiho Seisakusho para fabricar microscopios en Japón [18].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1949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Cambio de nombre a Olympus Optical y salida a la Bolsa de Tokio [18].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1950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gastrocámara práctico del mundo, comercializado en 1952: nacimiento de la endoscopia flexible [18].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1964-1968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Filiales comerciales en Europa (1964) y Estados Unidos (1968); en 1979 abrió en California el que hoy es el mayor centro de servicio de endoscopios del mundo [18].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Gyrus Group (Reino Unido) para entrar en energía quirúrgica y urología [18].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2011-2012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descubre el aplazamiento contable de pérdidas antiguas; nueva dirección y alianza de capital con Sony [18].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Acuerdo de enjuiciamiento diferido con el Departamento de Justicia de EE. UU. por sobornos a médicos y hospitales (612 M USD más intereses en la parte estadounidense) [25].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Olympus Medical Systems se declara culpable de no notificar infecciones por duodenoscopios: 80 M USD de multa y 5 M USD de decomiso [26].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 Transform Olympus: giro hacia una empresa global de tecnología médica [18].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de la plataforma EVIS X1, base del actual ciclo de renovación de endoscopios GI [18].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cámaras (2021), del negocio científico (2023) y de ortopedia (2024): Olympus queda como empresa pura de tecnología médica [18].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Tres cartas de advertencia de la FDA a las plantas de Aizu, Hachioji e Hinode; arranca el proyecto de calidad Elevate [15, 21, 22, 23].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FDA incluye la planta de Aizu en la alerta de importación 89-04 (24 de junio) y Olympus retiene voluntariamente otros productos; el impacto neto en el ejercicio FY2026 fue de unos 30.000 M JPY [10, 20].</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Olympus es una empresa pura de tecnología médica desde la venta de cámaras (2021), del negocio científico (2023) y de ortopedia (2024) [18]. Se organiza en dos divisiones. </w:t>
      </w:r>
      <w:r>
        <w:rPr>
          <w:b/>
        </w:rPr>
        <w:t xml:space="preserve">GIS</w:t>
      </w:r>
      <w:r>
        <w:t xml:space="preserve"> (gastrointestinal), alrededor del 70 % de las ventas: endoscopios flexibles GI con sus procesadores EVIS X1, unos 55 % de la división; endoterapia GI (pinzas de biopsia, asas, clips, cuchillos de disección, stents, agujas de ecoendoscopia), unos 15 %; y servicio técnico del parque instalado [9, 18]. </w:t>
      </w:r>
      <w:r>
        <w:rPr>
          <w:b/>
        </w:rPr>
        <w:t xml:space="preserve">SIS</w:t>
      </w:r>
      <w:r>
        <w:t xml:space="preserve"> (cirugía e intervencionismo): urología (resectoscopios, ureteroscopios, láser SOLTIVE), respiratorio (broncoscopios y agujas EBUS), endoscopia quirúrgica (torres VISERA) y otras áreas, entre ellas la energía quirúrgica [9, 18]. Vende directamente a hospitales y centros de endoscopia, con unos 17 centros de formación de médicos y una red de servicio propia, y fabrica sobre todo en Japón (Aizu, Shirakawa, Aomori) [18]. Norteamérica, Europa y Asia-Pacífico suman alrededor del 80 % de las ventas; China y Japón, el 20 % [9].</w:t>
      </w:r>
    </w:p>
    <w:p>
      <w:pPr>
        <w:pStyle w:val="Heading2"/>
      </w:pPr>
      <w:r>
        <w:t xml:space="preserve">Cómo gana dinero</w:t>
      </w:r>
    </w:p>
    <w:p>
      <w:pPr>
        <w:spacing w:after="100"/>
      </w:pPr>
      <w:r>
        <w:t xml:space="preserve">El modelo es de base instalada: Olympus vende el procesador y los endoscopios (equipo, que se renueva con cada plataforma: hoy EVIS X1, con unos 70.000 procesadores antiguos por sustituir) y después cobra durante años endoterapia de un solo uso, reparaciones y contratos de servicio, la parte recurrente [18]. El margen depende de la mezcla de productos, del ciclo de lanzamientos, del yen (fabrica en Japón y vende fuera) y ahora de los aranceles de EE. UU. [10]. El apalancamiento operativo es alto: en el 1T FY2027 las ventas subieron un 16 % y el beneficio operativo ajustado pasó de 13.200 a 30.700 M JPY [9]. El cuarto trimestre (enero-marzo) es el más fuerte: 53.400 M JPY de beneficio operativo ajustado en el 4T FY2026, frente a 39.300 M JPY en el 3T [10, 13]. El freno actual son las retenciones de producto: unos 30.000 M JPY de ventas perdidas en FY2026 [10].</w:t>
      </w:r>
    </w:p>
    <w:p>
      <w:pPr>
        <w:pStyle w:val="Heading2"/>
      </w:pPr>
      <w:r>
        <w:t xml:space="preserve">Segmentos (FY2026)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GIS (Gastrointestinal Solutions)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697.359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SIS (Surgical and Interventional Solutions)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313.109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Corporativo, otros y eliminaciones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-11.660,1 %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JP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FY202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31"/>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FY2025</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GIS (Gastrointestinal Solutions)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674.043</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697.359</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SIS (Surgical and Interventional Solutions)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322.759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313.109</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Corporativo, otros y eliminaciones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Hospitales públicos y privados, centros de endoscopia ambulatoria y grupos de compra [18]; Olympus no publica la concentración de clientes. Los contratos de servicio acompañan a la base instalada durante la vida del equipo; la prueba de fidelidad es que, con la alerta de importación y las retenciones en marcha, GIS creció a doble dígito en Norteamérica, Europa y Asia-Pacífico en el 4T FY2026 y el 1T FY2027 [9, 10]. El poder de precios es limitado: el director financiero reconoce que en muchos casos no puede trasladar subidas de costes y que estudia medidas de precio selectivas para compensar los aranceles [18]. En China la compra centralizada por volumen fija precios por licitación y favorece al producto nacional [15, 18].</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ventas a tipo constante (negocio médico)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 (FY2025)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 (FY2026)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1T FY2027 volvió al +5 % (GIS +10 %, SIS -4 %) [5, 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ajustado (consolidado)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 (FY2025)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 (FY2026)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FY2027: 15,2 %-16,7 % [5, 10].</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ajustado de GIS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28,1 % (FY2025)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23,6 % (FY2026)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Aranceles de EE. UU. y fin de los pedidos atrasados por el terremoto de Noto [5, 10].</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ajustado de SIS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 (FY2025)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 (FY2026)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Alertas de importación y retenciones de envíos; SIS en revisión estratégica desde mayo de 2026 [5, 10].</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Gasto en I+D (antes de capitalizar)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103.890 M JPY</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109.948 M JPY</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10,9 % de las ventas; capitalizados 21.801 M (14.300 M en FY2025)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libre ajustado publicado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109.387 M JPY</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53.465 M JPY</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Definición de la empresa, sin otros ingresos y gastos, compras ni reestructuración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Empleados (fin de ejercicio)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29.297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28.138</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Programa de unas 2.000 posiciones netas menos en FY2026-FY2027 [1, 14].</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la endoscopia flexible gastrointestinal (gastroscopios, colonoscopios, duodenoscopios y ecoendoscopios con sus procesadores y servicio), que explica en torno al 55 % de las ventas de la división GIS; a su lado, la endoterapia GI (pinzas, asas, clips, stents, cuchillos de disección), alrededor del 15 % de GIS [18]. Se usan dos fuentes con perímetros distintos: Olympus estima su mercado servido en EE. UU., las cinco grandes de Europa, Japón y China en 300.000-400.000 M JPY para endoscopia GI y 350.000-450.000 M JPY para endoterapia GI [18]; iData Research mide el mercado mundial de endoscopios GI (reutilizables, de un solo uso y servicio) en unos 7.700 M USD en 2025 [37]. La serie usa iData por ser mundial y externa; la cifra de Olympus es menor porque solo cubre ocho países.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7.700 M USD (≈ 1.206.000 M JPY a 156,67 JPY/USD) en 2025 para endoscopios GI en el mundo [35, 37]; Olympus estima 300.000-400.000 M JPY de mercado servido en endoscopia GI y 650.000-850.000 M JPY en todo GI, con endoterapia incluida, en ocho países [18].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2025, dato de iData; 2026e-2030e, estimación propia con la TCAC del 3,4 % que publica iData))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Cribado del cáncer colorrectal y gástrico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cáncer colorrectal es la segunda causa de muerte por cáncer del mundo; Olympus prevé que su mercado servido de endoscopia GI crezca un 4-6 % anual y el de endoterapia un 5-7 % entre FY2025 y FY2028 [18].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Ciclo de renovación a EVIS X1</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Unos 70.000 procesadores de la generación anterior (CV-190 y CV-290) instalados pueden pasar a EVIS X1 [18]; en el 1T FY2027 GIS creció un 21 % (10 % a tipo constante) con el gastroscopio EDOF como motor [9].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Política de compras de China (compra centralizada por volumen y preferencia por lo nacional)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Olympus atribuye a la compra centralizada por volumen y a la política de comprar chino la caída de sus ventas en China en el 1T FY2026 [15]; China y Japón pesan alrededor del 20 % de las ventas y cayeron un 8 % a tipo constante en el 1T FY2027 [9].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Campaña anticorrupción en los hospitales chinos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Empezó en julio de 2023 y en mayo de 2024 se declaró permanente; retrasa sobre todo las compras de equipos [18]. El director financiero señaló a China como el principal motivo de unas ventas inferiores a lo previsto en FY2025 [18].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Endoscopios de un solo uso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Ambu, especialista en desechables, facturó 6.037 M DKK en 2024/25 con un crecimiento orgánico del 15,4 % en endoscopia [32]; Olympus responde con su propio ureteroscopio y cistoscopio desechables [13, 18].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Aranceles de EE. UU. sobre productos fabricados en Japón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Unos 25.000 M JPY de impacto bruto en el coste de ventas de FY2026 (18.000 M JPY tras las medidas de mitigación) [10].</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Tres fabricantes japoneses dominan la endoscopia flexible y Olympus tiene en torno al 70 % del mercado mundial de endoscopios GI [18]; iData sitúa a Olympus, Fujifilm y Boston Scientific como los tres primeros en 2025 [37]. La rivalidad sube en China, donde los fabricantes locales ya tienen el 20-30 % del mercado frente a menos del 3 % hacia 2017 [36].</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Compran hospitales y grupos de compra con presupuestos públicos o reembolsos regulados; en China la compra centralizada por volumen fija precios por licitación [18]. El director financiero admite que en muchos casos no puede trasladar subidas de costes a los clientes [18].</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endoscopios se fabrican en plantas propias de Aizu, Shirakawa y Aomori, ampliadas en 2016 [18]; la concentración de la producción en Japón expone, en cambio, a los aranceles de EE. UU. [10] y a que una sola alerta de importación bloquee una familia entera de productos [20].</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aprobación regulatoria, la formación de médicos (unos 17 centros de formación de Olympus) y la red de servicio técnico son barreras altas [18]; la excepción es China, donde SonoScape facturó 2.309 M CNY en 2025 y se presenta como el primer fabricante nacional de endoscopios [33].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test de heces, la colonoscopia virtual y la cápsula compiten en cribado, pero un resultado positivo acaba en colonoscopia, y la extirpación de pólipos y la disección submucosa solo se hacen con endoscopio [18]. El riesgo real es el desechable, que cambia el modelo de reutilizable más servicio [32].</w:t>
            </w:r>
          </w:p>
        </w:tc>
      </w:tr>
    </w:tbl>
    <w:p>
      <w:pPr>
        <w:spacing w:after="160" w:before="0"/>
      </w:pPr>
    </w:p>
    <w:p>
      <w:pPr>
        <w:pStyle w:val="Heading2"/>
      </w:pPr>
      <w:r>
        <w:t xml:space="preserve">Ciclo</w:t>
      </w:r>
    </w:p>
    <w:p>
      <w:pPr>
        <w:spacing w:after="100"/>
      </w:pPr>
      <w:r>
        <w:t xml:space="preserve">La demanda de endoscopia depende del volumen de procedimientos y del gasto hospitalario en equipos, más estable que el ciclo económico. Los indicadores actuales apuntan a expansión fuera de China: GIS creció a doble dígito en Norteamérica, Europa y Asia-Pacífico durante dos trimestres seguidos [9, 10], mientras China cae por la compra centralizada y la sustitución local [9, 15]. No se han localizado datos del sector en 2008-09; en 2020 la pandemia aplazó procedimientos electivos y cribados, y en 2022-2026 el freno de Olympus fue regulatorio y de suministro, no de demanda [10, 13].</w:t>
      </w:r>
    </w:p>
    <w:p>
      <w:pPr>
        <w:pStyle w:val="Heading2"/>
      </w:pPr>
      <w:r>
        <w:t xml:space="preserve">Regulación</w:t>
      </w:r>
    </w:p>
    <w:p>
      <w:pPr>
        <w:spacing w:after="100"/>
      </w:pPr>
      <w:r>
        <w:rPr>
          <w:b/>
        </w:rPr>
        <w:t xml:space="preserve">FDA, el factor que más pesa.</w:t>
      </w:r>
      <w:r>
        <w:t xml:space="preserve"> Tres cartas de advertencia: Aizu (inspección de julio de 2022, carta del 2-nov-2022, buenas prácticas de fabricación de endoscopios y reprocesadoras), Hachioji (12-dic-2022, notificación de incidentes) e Hinode (15-mar-2023, accesorios de duodenoscopios) [21, 22, 23]. El 24-jun-2025 la FDA incluyó la planta de Aizu en la alerta de importación 89-04: broncoscopios, ureteroscopios, laparoscopios, rinolaringoscopios y reprocesadoras OER (solo equipos, no consumibles ni repuestos), alrededor del 1 % de las ventas de FY2025 [19, 20, 24]. A finales de 2025 la FDA inspeccionó ocho plantas en EE. UU., Europa y Japón y Olympus retuvo voluntariamente envíos de endoterapia, urología, respiratorio y cirugía [13]. Impacto neto en ventas: unos 30.000 M JPY en FY2026 y 13.000 M JPY en el 1T FY2027 [9, 10]. A 19-ago-2026 Aizu seguía en la alerta [20]; levantarla exige reinspecciones satisfactorias [15]. Olympus espera que la mayoría de los productos retenidos vuelvan al mercado en el segundo semestre de FY2027 [9]. </w:t>
      </w:r>
      <w:r>
        <w:rPr>
          <w:b/>
        </w:rPr>
        <w:t xml:space="preserve">China</w:t>
      </w:r>
      <w:r>
        <w:t xml:space="preserve">: compra centralizada por volumen y campaña anticorrupción en hospitales desde julio de 2023, permanente desde mayo de 2024 [18].</w:t>
      </w:r>
    </w:p>
    <w:p>
      <w:pPr>
        <w:pStyle w:val="Heading2"/>
      </w:pPr>
      <w:r>
        <w:t xml:space="preserve">Tendencias y disrupción</w:t>
      </w:r>
    </w:p>
    <w:p>
      <w:pPr>
        <w:spacing w:after="100"/>
      </w:pPr>
      <w:r>
        <w:t xml:space="preserve">La inteligencia artificial (detección y caracterización asistida de pólipos), la imagen con mayor profundidad de campo (EDOF) y la gestión del parque instalado desplazan la competencia del aparato al ecosistema; Olympus lo empaqueta en OLYSENSE y EVIS X1, y le favorece tener la mayor base instalada [18]. Los desechables ganan terreno en duodenoscopios, broncoscopios y ureteroscopios por el riesgo de infección del reprocesado [32]; Olympus pierde algo de su ventaja de servicio, pero lanza los suyos [13]. En China la producción local es condición para competir: Olympus obtuvo en agosto de 2025 el registro de su gastroscopio fabricado en Suzhou y en noviembre de 2025 decía que la fabricación local avanzaba según lo previsto [14, 18], mientras los fabricantes chinos ya tienen el 20-30 % del mercado [36].</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mundial en endoscopia flexible gastrointestinal, con alrededor del 70 % del mercado mundial de endoscopios GI y más del 70 % en colonoscopios, gastroscopios, duodenoscopios y ecoendoscopios reutilizables en EE. UU., Europa (cinco grandes), Japón y China [18]; iData también la sitúa primera en 2025, por delante de Fujifilm y Boston Scientific [37]. En endoterapia GI es la 2.ª y en urología, 2.ª, con el liderazgo en ureteroscopios reutilizables y láser de fibra de tulio [18].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 estrecha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Fujifilm (Medical Systems)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4901.T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701.600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Segundo fabricante de endoscopios GI [37]. Ingresos de Medical Systems del ejercicio cerrado en marzo de 2026, suma de los cuatro trimestres publicados (estimación propia: 144,0 + 170,3 + 170,2 + 217,1 miles de M JPY), que incluye además rayos X, ecografía e informática médica [30]. El margen es el del segmento Healthcare entero (63.600 M JPY sobre 1.098.900 M JPY), lastrado por el arranque de las plantas de Bio CDMO [30]; no publica el de endoscopia. En el 1T de su FY2026 Medical Systems creció un 12,8 % por endoscopios en EE. UU., Europa y Japón [30].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Hoya (Pentax Medical)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7741.T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139.919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Tercer fabricante japonés de endoscopios flexibles. Ingresos de productos médicos del ejercicio cerrado en marzo de 2026 (endoscopios, accesorios, reprocesadoras y lentes intraoculares) [31]. El margen es el beneficio antes de impuestos del segmento Life Care, que incluye las lentes de gafas (129.531 M JPY sobre 590.680 M JPY) [31]; en el ejercicio cerrado en marzo de 2025 deterioró activos de sus filiales de endoscopios en EE. UU. y Europa por no alcanzar la rentabilidad esperada [31].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Boston Scientific (Endoscopy)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BSX</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456.857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principal en endoterapia GI y tercero en endoscopios GI por los duodenoscopios y colangioscopios de un solo uso [37]. Endoscopy facturó 2.916 M USD en 2025 (+8,6 %), convertidos a 156,67 JPY/USD [27, 35]. El margen es el beneficio operativo del segmento MedSurg (2.268 M USD sobre 6.829 M USD) [27].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Stryker (Endoscopy)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SYK</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596.452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en visualización quirúrgica rígida (torres 4K, cámaras, laparoscopia), no en endoscopia flexible GI. Endoscopy facturó 3.807 M USD en 2025, convertidos a 156,67 JPY/USD [28, 35]; el margen es el del segmento MedSurg and Neurotechnology [28]. Stryker se declara uno de siete líderes mundiales en endoscopia junto con Karl Storz, Olympus, Smith &amp; Nephew, ConMed, Arthrex y STERIS [28].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Intuitive Surgical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ISRG</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1.576.860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Compite con la división SIS en cirugía mínimamente invasiva y, con Ion, en broncoscopia robótica periférica. 10.064,7 M USD de ingresos y 2.945,5 M USD de beneficio operativo en 2025, convertidos a 156,67 JPY/USD [29, 35].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Ambu</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Dinamarca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AMBU-B.CO</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140.523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Especialista en endoscopios de un solo uso (broncoscopios, cistoscopios, duodenoscopios). 6.037 M DKK en el ejercicio cerrado en septiembre de 2025, convertidos a 23,28 JPY/DKK; endoscopia creció un 15,4 % orgánico; el margen es el EBIT antes de partidas especiales [32, 35].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SonoScape Medical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300633.SZ</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51.672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fabricante chino de endoscopios. 2.309 M CNY de ingresos en 2025 (+14,65 %) y 197 M CNY de beneficio neto atribuido (8,5 % de margen neto; no se ha localizado el beneficio operativo), convertidos a 22,38 JPY/CNY [33, 35]; su línea de endoscopia digestiva creció un 30 % y ganó cuota en las licitaciones chinas del 1T 2026 [33].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Aohua Endoscopy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688212.SS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17.321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774 M CNY de ingresos en 2025 (+3,2 %) y 11 M CNY de beneficio neto, convertidos a 22,38 JPY/CNY [34, 35]. Las ventas en China cayeron un 22,3 % y las del exterior subieron un 94,3 %; tiene 230 procesadores de gama media-alta en 203 hospitales de tercer nivel [34].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Karl Storz</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Sociedad familiar no cotizada que no publica cuentas consolidadas accesibles; Stryker la cita entre los líderes mundiales de endoscopia [28]. Compite sobre todo en endoscopia rígida y quirúrgica, el terreno de la división SIS.</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médicos se forman con equipos Olympus en unos 17 centros propios y en colaboración con hospitales de cerca de 20 provincias chinas, y las técnicas de disección (EMR, ESD) se desarrollaron con sus instrumentos [7]: es un efecto de aprendizaje más que una red.</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Procesadores, endoscopios, reprocesadoras, accesorios y contratos de servicio forman un sistema; unos 70.000 procesadores de la generación anterior instalados son la base del ciclo de renovación a EVIS X1 [7]. La prueba: pese a la alerta de importación y las retenciones, GIS creció a doble dígito fuera de China en los dos últimos trimestres [1, 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 de alrededor del 70 % en endoscopios GI sostenida durante décadas desde el primer gastrocámara de 1950 [7]; más de 30 autorizaciones 510(k) de la FDA en los últimos 12 meses [1]. La marca regulatoria está dañada: tres cartas de advertencia y una alerta de importación vigente [9-12].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Producción concentrada en plantas propias de Japón [7], que ahora pesa por los aranceles de EE. UU. (25.000 M JPY de impacto bruto en FY2026) [3]; frente a SonoScape y Aohua en China, Olympus no tiene ventaja de costes y responde fabricando en Suzhou [7, 22].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mercado de endoscopios GI es pequeño (≈ 7.700 M USD en 2025) [26] y exige una red de servicio mundial; Olympus tiene el mayor centro de servicio de endoscopios del mundo en California y siete centros de servicio en China [7]. Hoya registró en el ejercicio cerrado en marzo de 2025 deterioros en sus filiales de endoscopios en EE. UU. y Europa, señal de que el tercer actor no llega a la escala rentable [20].</w:t>
            </w:r>
          </w:p>
        </w:tc>
      </w:tr>
    </w:tbl>
    <w:p>
      <w:pPr>
        <w:spacing w:after="160" w:before="0"/>
      </w:pPr>
    </w:p>
    <w:p>
      <w:pPr>
        <w:pStyle w:val="Heading2"/>
      </w:pPr>
      <w:r>
        <w:t xml:space="preserve">Amenazas</w:t>
      </w:r>
    </w:p>
    <w:p>
      <w:pPr>
        <w:spacing w:after="100"/>
      </w:pPr>
      <w:r>
        <w:t xml:space="preserve">La más probable es China: los fabricantes locales han pasado de menos del 3 % a un 20-30 % del mercado nacional [36], la compra centralizada baja precios [15, 18] y SonoScape crece un 30 % en endoscopia digestiva [33]; China pesa alrededor del 10 % de las ventas de GIS [10]. La segunda es la regulatoria: si la alerta de importación de Aizu se prolonga o se extiende a otras plantas, los clientes estadounidenses de broncoscopia, urología y cirugía pueden pasar a Ambu, Boston Scientific o Karl Storz y no volver [13, 20]. A largo plazo, el desechable erosiona el negocio de servicio y reprocesado [32]. En endoscopia GI de EE. UU., Europa y Japón la amenaza es baja: Fujifilm crece, pero desde una base mucho menor [30].</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750.123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194.030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136.179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115.742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90,17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881.923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231.934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168.342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143.432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113,08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925.752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169.697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104.504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242.566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199,44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997.332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226.302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159.952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117.855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102,80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1.010.676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160.875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93.659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68.172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61,20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28 %</w:t>
            </w:r>
          </w:p>
        </w:tc>
      </w:tr>
    </w:tbl>
    <w:p>
      <w:pPr>
        <w:spacing w:after="160" w:before="0"/>
      </w:pPr>
    </w:p>
    <w:p>
      <w:pPr>
        <w:spacing w:after="100"/>
      </w:pPr>
      <w:r>
        <w:t xml:space="preserve">Crecimiento anual compuesto FY2022-FY2026: ingresos </w:t>
      </w:r>
      <w:r>
        <w:rPr>
          <w:b/>
          <w:bCs/>
        </w:rPr>
        <w:t xml:space="preserve">7,7 %</w:t>
      </w:r>
      <w:r>
        <w:t xml:space="preserve">, EBITDA </w:t>
      </w:r>
      <w:r>
        <w:rPr>
          <w:b/>
          <w:bCs/>
        </w:rPr>
        <w:t xml:space="preserve">-4,6 %</w:t>
      </w:r>
      <w:r>
        <w:t xml:space="preserve">, BPA </w:t>
      </w:r>
      <w:r>
        <w:rPr>
          <w:b/>
          <w:bCs/>
        </w:rPr>
        <w:t xml:space="preserve">-9,2 %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JPY,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Los ingresos de operaciones continuadas pasaron de 750.123 M JPY en FY2022 a 1.010.676 M en FY2026 [1, 4]. Buena parte del avance es divisa: el yen débil sumó 98.381 M a las ventas en FY2023, 50.793 M en FY2024 y 39.907 M en FY2025 [6, 7]; a tipo constante el negocio médico creció un 4 % en FY2025 y un 0 % en FY2026 [5]. El margen operativo publicado bajó del 21,2 % de FY2023 al 9,6 % de FY2026, y el ajustado de la empresa del 20,1 % al 14,2 % [5, 7]. En FY2026 el margen bruto perdió 3,9 puntos (del 68,6 % al 64,7 %) por los aranceles de EE. UU. (unos 25.000 M brutos y 18.000 M tras mitigación), por las alertas de importación y las retenciones de envíos ligadas a la FDA (unos 30.000 M de impacto neto) y por la mezcla [10]. FY2024 no es comparable: la retirada de los sistemas de navegación de Veran costó 51.886 M y el beneficio neto (242.566 M) lo infla la plusvalía de Evident [2]. FY2022 y FY2023 incluyen todavía el negocio de ortopedia, que es pequeño; FY2024-FY2026 ya no [2, 3]. Los ejercicios FY2017-FY2021 no se presentan: la empresa no los ha reexpresado sin Imaging ni Evident y mezclarían perímetros.</w:t>
      </w:r>
    </w:p>
    <w:p>
      <w:pPr>
        <w:pStyle w:val="Heading2"/>
      </w:pPr>
      <w:r>
        <w:t xml:space="preserve">Ajustes y partidas no recurrentes</w:t>
      </w:r>
    </w:p>
    <w:p>
      <w:pPr>
        <w:spacing w:after="100"/>
      </w:pPr>
      <w:r>
        <w:t xml:space="preserve">Olympus publica un beneficio operativo ajustado que excluye otros ingresos y otros gastos: 176.793 M en FY2023, 151.316 M en FY2024, 188.509 M en FY2025 y 143.310 M en FY2026 [5, 6, 7]. Lo excluido se repite cada año y aquí no se trata como no recurrente: costes de calidad del programa Elevate por las cartas de advertencia de la FDA (1.937 M en FY2023, 23.041 M en FY2024, 19.350 M en FY2025 y 10.781 M en FY2026), reestructuración y plantilla (8.836 M, 2.361 M, 5.851 M, 2.865 M y 26.872 M de FY2022 a FY2026) y deterioros de activos de desarrollo (1.630 M en FY2022, 12.913 M en FY2024, 2.558 M en FY2025 y 10.150 M en FY2026) [1, 2, 3, 4]. Sí se tratan como puntuales: en FY2022, 8.517 M de ganancias (adquisición por etapas de Medi-Tate, contraprestación contingente de Veran, reversión de una provisión fiscal y venta de activos); en FY2023, la venta del terreno de Hatagaya (16.395 M) y Medi-Tate (1.381 M); en FY2024, Veran (51.886 M) y Taewoong (unos 2.000 M) menos la venta del negocio de colágeno (1.127 M); en FY2025, 2.044 M de ingresos en Shenzhen; en FY2026, la licencia cobrada a Evident (5.995 M) y la venta de un edificio (1.166 M) [1, 2, 3, 4]. El beneficio neto incluye operaciones interrumpidas: 5.343 M en FY2022, 5.623 M en FY2023, 207.864 M en FY2024 (plusvalía de Evident de 349.037 M antes de impuestos) y 55 M en FY2025 [2, 3, 4].</w:t>
      </w:r>
    </w:p>
    <w:p>
      <w:pPr>
        <w:spacing w:after="100"/>
      </w:pPr>
      <w:r>
        <w:t xml:space="preserve">Efecto FDA cuantificado por la empresa: las alertas de importación del 24-jun-2025 (broncoscopios, laparoscopios, ureterorrenoscopios y lavadoras de endoscopios fabricados en Aizu) restaban unos 15.000 M de ventas en la guía de FY2026 [1, 15], cuando en mayo de 2025 la empresa aún esperaba cumplir todos sus compromisos con la FDA al cierre de FY2026 [16]; a nueve meses el efecto era de 6.000 M por las alertas y 9.000 M por retenciones de envíos, sobre todo en SIS [13]; en el 4T, 18.000 M; en el año, unos 30.000 M de impacto neto [10]; en el 1T FY2027, unos 13.000 M más [9]. Hubo además una provisión de unos 2.400 M por la retirada voluntaria de dispositivos quirúrgicos [13]. El programa de plantilla (unas 2.000 posiciones netas menos en FY2026-FY2027 y 24.000 M de ahorro anual en FY2028) costó 26.872 M en FY2026 [1, 9, 14]. El LTM a junio de 2026 lleva dentro esos costes de reestructuración, que no se ajustan.</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62"/>
        <w:gridCol w:w="1220"/>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239.208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58.959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251.192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54.395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272.111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70.905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206.512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32.811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7,96</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247.838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46.272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261.045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41.840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295.281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43.412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1T27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240.400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46.259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mayo de 2026 (resultados de FY2026) Bob White llamó a FY2026 un año de reconstrucción: la empresa absorbió unos 30.000 M JPY de impacto neto de las alertas de importación y de las retenciones voluntarias de envíos, cerró por encima de la guía revisada con un margen ajustado del 14,2 % y dio para FY2027 ventas de 1.055.000-1.076.000 M y margen ajustado del 15,2 %-16,7 % [10]. Anunció la revisión estratégica de la endoscopia quirúrgica y otras áreas de SIS, «sin descartar nada», y una recompra de hasta 60.000 M [10]. En agosto de 2026 (1T FY2027) el tono cambió de la defensa a la ejecución: ventas +16 % (+5 % a tipo constante), GIS +21 %, margen ajustado del 12,8 % frente al 6,4 %, y la guía se mantuvo [8, 9]. La FDA sigue sin cerrar el asunto: la empresa habla de relación «constructiva», espera que la mayoría de los productos retenidos vuelva en el segundo semestre y nombró un nuevo responsable de calidad; las retenciones restaron unos 13.000 M en el trimestre [9]. Del programa de plantilla dijo que casi ha terminado la optimización de puestos y que va camino de los 24.000 M de ahorro anual en FY2028 [9]. Margen y ahorro del trimestre se apoyaron también en menor I+D por calendario [9]. No dio plazo para las reinspecciones de la FDA ni cifra el coste pendiente de remediación. No se han encontrado transcripciones ni resúmenes de preguntas y respuestas publicados por la empresa.</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1.357.999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284.859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285.249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302.572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386.127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65.015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148.570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510.168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1.508.701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298.081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274.747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169.329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340.057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57.162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227.890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640.085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1.534.216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272.292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325.774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340.933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299.616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60.943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19.626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757.186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1.433.273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274.564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329.908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252.532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229.102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62.465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39.035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751.733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1.537.162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295.270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363.279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188.038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239.576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66.309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117.847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812.040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(FY2024: Venta de Evident (negocio científico) a Bain Capital cerrada en abril de 2023: plusvalía en operaciones interrumpidas; FY2023 y anteriores reexpresados sin Evident.; FY2025: Negocio de ortopedia clasificado como operación interrumpida desde el 1T FY2025 y vendido; FY2024 reexpresado sin ortopedia, FY2022-FY2023 siguen incluyéndola (ingresos pequeños).).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deuda financiera bajó de 386.127 M JPY en FY2022 a 229.102 M en FY2025 y subió a 239.576 M en FY2026 (bonos de 134.716 M y préstamos de 104.860 M, a un tipo medio de entre el 0,95 % y el 2,14 %) [1, 4]. Con la caja de Evident la empresa llegó a tener caja neta (41.317 M en FY2024 y 23.430 M en FY2025), pero las recompras de 330.000 M en tres años y la caída del flujo operativo la devolvieron a deuda neta de 51.538 M en FY2026 y de 200.347 M en junio de 2026, sin arrendamientos [5, 8]. El bono en dólares de 79.876 M vence en diciembre de 2026 [1]. El circulante empeora: existencias de 187.145 M a 207.092 M y clientes de 204.183 M a 236.833 M en FY2026, más deprisa que las ventas (+1 %), en parte por el yen y por los productos retenidos [1]. El fondo de comercio de SIS (179.576 M, el 11,7 % del activo) es asunto clave de la auditoría por su sensibilidad a la FDA [1].</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169.729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61.771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17.691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90.267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115.742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70,32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98.490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70.623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20.914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6.953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143.432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42.365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64.624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19.518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-41.777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242.566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190.463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65.209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19.302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105.952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117.855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92,42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100.585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82.423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19.910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68.172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JP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FY2022-FY2026: FCF </w:t>
      </w:r>
      <w:r>
        <w:rPr>
          <w:b/>
          <w:bCs/>
        </w:rPr>
        <w:t xml:space="preserve">159.647</w:t>
      </w:r>
      <w:r>
        <w:t xml:space="preserve">, conversión </w:t>
      </w:r>
      <w:r>
        <w:rPr>
          <w:b/>
          <w:bCs/>
        </w:rPr>
        <w:t xml:space="preserve">23 %</w:t>
      </w:r>
      <w:r>
        <w:t xml:space="preserve"> del beneficio neto; adquisiciones 81.759, dividendos 97.441, recompras 410.010.</w:t>
      </w:r>
    </w:p>
    <w:p>
      <w:pPr>
        <w:spacing w:after="100"/>
      </w:pPr>
      <w:r>
        <w:t xml:space="preserve">El flujo operativo lo deforman los impuestos: se pagaron 9.164 M JPY en FY2022, 97.567 M en FY2023 y 137.390 M en FY2024 (con la venta de Evident), hubo una devolución neta de 3.009 M en FY2025 y se pagaron 62.374 M en FY2026, de ellos 14.700 M por la venta de Evident en el extranjero [1, 3, 9]. Los flujos incluyen las operaciones interrumpidas hasta su venta. La empresa publica un flujo libre ajustado (sin otros ingresos y gastos, compras ni reestructuración) de 109.387 M en FY2025 y 53.465 M en FY2026 [5]. Las adquisiciones de FY2024 son el pago de 43.647 M por Taewoong, operación rescindida en marzo de 2024; se recuperaron 31.110 M en FY2024, 7.603 M en FY2025 y 3.032 M en FY2026, que van en desinversiones junto con los 379.091 M de Evident [1, 3]. El capex en caja subió a 82.423 M en FY2026 (1,2 veces la amortización), con 21.801 M de desarrollo capitalizado frente a 14.300 M un año antes [1, 5]. La empresa no separa mantenimiento y crecimiento; estimación propia: la amortización (67.216 M) aproxima el capex de mantenimiento. Los intereses pagados van en el flujo operativo.</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Ernst &amp; Young ShinNihon LLC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FY2026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0,87x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 solo en parte: mirar circulante y ajustes.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El auditor da opinión favorable sobre FY2026 y señala como asunto clave el deterioro del fondo de comercio de SIS (179.576 M JPY), por la incertidumbre de las cartas de advertencia, las alertas de importación y las inspecciones de la FDA de finales de 2025 [1]. Tres hábitos piden vigilancia. Primero, «otros gastos» aparece todos los años con importes altos (31.293 M en FY2025 y 57.535 M en FY2026), y el beneficio ajustado que la empresa destaca los excluye siempre; calidad, reestructuración y deterioros de desarrollo son recurrentes [1]. Segundo, la capitalización de desarrollo sube del 13,8 % al 19,8 % del gasto en I+D (14.300 M a 21.801 M) en un año, y a la vez se deterioran cada año activos de desarrollo (10.150 M en FY2026) [1, 5]. Tercero, el tipo impositivo es irregular: 19,6 % en FY2024 y 27,5 % en FY2026, con pagos de impuestos por la venta de Evident que siguen saliendo en FY2026 [1, 2]. Hay reexpresiones frecuentes pero explicadas: ortopedia y Evident a interrumpidas, la reasignación de costes centrales a GIS y SIS y la valoración de la compra en Chile [1, 5]. El antecedente del escándalo contable de 2011 explica el estándar de exigencia del mercado con esta empresa.</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Otros gastos recurrentes excluidos del beneficio ajustado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13.890 M y 103.361 M al año desde FY2022; la diferencia entre beneficio operativo ajustado y publicado fue de 46.190 M en FY2026 [1, 5].</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Más desarrollo capitalizado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 14.300 M a 21.801 M en FY2026 y 25.000 M previstos en FY2027; mejora el margen frente a quien lo lleva a gasto [5, 8].</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Fondo de comercio de SIS sensible a la FDA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179.576 M, el 11,7 % del activo, con SIS en pérdidas operativas en FY2026 y en revisión estratégica [1, 10].</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Deterioros de activos de desarrollo todos los años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1.630 M en FY2022, 12.913 M en FY2024, 2.558 M en FY2025 y 10.150 M en FY2026 [1, 2, 3, 4].</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Opciones de venta a favor del socio en Swan EndoSurgical</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Pasivo de 4.445 M a valor razonable y compromiso de hasta 206 M USD condicionado a hitos [1].</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659.932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764.528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822.968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783.790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860.328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-19,2 % · </w:t>
      </w:r>
      <w:r>
        <w:rPr>
          <w:b/>
          <w:bCs/>
        </w:rPr>
        <w:t xml:space="preserve">WACC</w:t>
      </w:r>
      <w:r>
        <w:t xml:space="preserve">: 7,2 %.</w:t>
      </w:r>
    </w:p>
    <w:p>
      <w:pPr>
        <w:spacing w:after="100"/>
      </w:pPr>
      <w:r>
        <w:t xml:space="preserve">Olympus creó valor con holgura mientras el negocio estuvo limpio: ROIC del 16,1 % en FY2022, 16,7 % en FY2023 y 15,1 % en FY2025, el doble de un WACC del 7,18 %. FY2024 (10,2 %) y FY2026 (7,9 %) muestran el coste de los problemas de calidad: en FY2026 el ROIC apenas cubre el coste de capital porque el margen EBIT cayó al 9,3 % por los aranceles de EE. UU., unos 30.000 M de ventas retenidas por la FDA y el programa de plantilla [10]. El motor del ROIC es el margen, no la rotación: la rotación del capital es estable (0,55-0,68) y el circulante absorbe un 36 % de las ventas por el inventario de equipos y repuestos (212 días). El ROIC incremental de FY2022-FY2026 es negativo (−19,2 %): el capital invertido creció un 41 % y el beneficio operativo después de impuestos cayó un 36 %. Frente a sus competidores, el margen es inferior al de Boston Scientific o Stryker en sus divisiones de endoscopia (33 % y 30 % de EBIT) y superior al de Fujifilm Healthcare (5,8 %) [27, 28, 30]. La tesis exige volver a un ROIC del 13-15 %, que es lo que supone el margen EBITDA del 22,7 % del caso base, el de FY2025.</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266.656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4.514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271.170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188.038 M JPY a 31-mar-2026 y de 118.545 M a 30-jun-2026, tras pagar BioProtect (43.172 M), la recompra (60.000 M) y el dividendo (33.033 M) en el 1T FY2027; líneas de crédito comprometidas globales en varias divisas, sin importe publicado [1, 8, 11].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R&amp;I A+ (perspectiva estable); S&amp;P BBB+ (perspectiva negativa); Moody's Baa1 (perspectiva estable), a 31-mar-2026 [1].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JP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Pensiones: superávit neto de 31.170 M JPY (activo de 51.189 M frente a pasivo de 20.019 M) a 31-mar-2026 [1]. Provisiones de 25.950 M (16.318 M corrientes y 9.632 M no corrientes), entre ellas garantías de producto y litigios; la empresa declara que no tiene pasivos contingentes significativos [1]. En la sociedad conjunta Swan EndoSurgical (45 %) el socio, un fondo de Revival Healthcare Capital, tiene opciones de venta contra Olympus valoradas en 4.445 M, ejercitables en seis años, y Olympus puede aportar hasta 206 M USD más si se cumplen hitos [1]. La deuda no tiene covenants publicados. La política financiera admite apalancarse para compras sin bajar de BBB-; S&amp;P ya tiene la nota en perspectiva negativa [1]. Arrendamientos NIIF 16 de 66.309 M, fuera de la deuda financiera [1].</w:t>
      </w:r>
    </w:p>
    <w:p>
      <w:pPr>
        <w:pStyle w:val="Heading1"/>
      </w:pPr>
      <w:r>
        <w:t xml:space="preserve">12. Asignación de capital</w:t>
      </w:r>
    </w:p>
    <w:p>
      <w:pPr>
        <w:pStyle w:val="Confianza"/>
        <w:spacing w:after="100"/>
      </w:pPr>
      <w:r>
        <w:t xml:space="preserve">Confianza: Alta</w:t>
      </w:r>
    </w:p>
    <w:p>
      <w:pPr>
        <w:spacing w:after="100"/>
      </w:pPr>
      <w:r>
        <w:t xml:space="preserve">Hasta FY2026 la política era subir el dividendo de forma estable y gradual y recomprar de forma flexible, con prioridad para invertir en crecimiento [1]. El dividendo pasó de 14 JPY (FY2022) a 30 JPY (FY2026), que se mantiene en FY2027 [1, 10]. Desde FY2027 la empresa pasa a un marco «más flexible» que combina dividendo y recompras oportunistas [10]. Recompras: 30.001 M en FY2022, 50.003 M en FY2023, 180.002 M en FY2024, 100.002 M en FY2025 y 50.002 M en FY2026 (27,63 M de acciones); el programa de hasta 60.000 M de FY2027 se ejecutó entero en mayo de 2026 con 38,95 M de acciones [1]. Las acciones emitidas bajaron de 1.285,9 M a 1.114,5 M por amortización de autocartera; la autocartera era de 13,38 M acciones a 31-mar-2026 [1]. Prioridades declaradas: inversión en crecimiento (innovación, GIS, compras selectivas), dividendo, recompras y mantener grado de inversión [10]. Las participaciones cruzadas son irrelevantes (1.284 M en la matriz a marzo de 2024)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90.267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21.837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15.616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30.001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1.283,6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6.953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18.048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50.003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1.268,4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-41.777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46.613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20.240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180.002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1.216,2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105.952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8.674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20.981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100.002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1.146,4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22.556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50.002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1.113,9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JP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Veran Medical Technologies (EE. UU., navegación electromagnética para broncoscopia)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31.050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con contraprestación contingente</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Fracaso: en FY2024 se dejaron de fabricar y vender sus sistemas, con una pérdida de 51.886 M (41.704 M de deterioro), más que el precio pagado [2, 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Quest Photonic Devices (Países Bajos, imagen por fluorescencia)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4.684</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SIS; sin deterioro específico publicado [4].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Medi-Tate (Israel, urología), 81,54 % restante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22.680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Ganancia de 2.826 M por la participación previa y ajustes favorables de la contraprestación contingente en FY2023 (1.381 M) [4].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Odin Medical (Reino Unido, inteligencia artificial para endoscopia)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3.982</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GIS; sin efecto material publicado [4].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Taewoong Medical (Corea del Sur, stents digestivos)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43.647</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Rescindida en marzo de 2024 tras pagar; se recuperaron 41.745 M entre FY2024 y FY2026 y costó unos 2.000 M en gastos [1, 2,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 de distribución propio en Chile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3.881</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del precio revisada en FY2026; importe pequeño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Swan EndoSurgical (EE. UU., robótica endoluminal), 45 % en sociedad conjunta con Revival</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hasta 206 M USD más según hitos en seis años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Pérdida de participadas de 3.700 M en FY2026 y efecto de 4.400 M en el beneficio ajustado; opciones cruzadas de compra y venta [1, 10].</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FY2027</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BioProtect (Israel, balón separador biodegradable para radioterapia de próstata)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43.300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 270 M USD con pagos por hitos incluidos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Cerrada el 1-jun-2026; ventas de 2.329 M y pérdida operativa de 2.589 M en 2025, unas 18,6 veces ventas; el fondo de comercio del grupo subió 45.900 M en el trimestre [8, 12, 17].</w:t>
            </w:r>
          </w:p>
        </w:tc>
      </w:tr>
    </w:tbl>
    <w:p>
      <w:pPr>
        <w:spacing w:after="160" w:before="0"/>
      </w:pPr>
    </w:p>
    <w:p>
      <w:pPr>
        <w:spacing w:after="100"/>
      </w:pPr>
      <w:r>
        <w:t xml:space="preserve">Desde la venta de Evident (379.091 M cobrados en FY2024) la dirección ha devuelto mucho y comprado poco: 410.010 M en recompras y 97.441 M en dividendos entre FY2022 y FY2026, frente a 81.759 M pagados por compras, de los que 41.745 M se recuperaron al rescindir Taewoong [1, 2, 3, 4]. Las recompras redujeron las acciones diluidas de 1.283,6 M a 1.113,9 M (-13 %), pero el BPA diluido de FY2026 (61,20 JPY) quedó por debajo del de FY2022 (90,17 JPY) porque el beneficio cayó más deprisa [1, 4]. Las compras propias tienen mal historial: Veran se perdió entera y Taewoong se rescindió después de pagar. Las nuevas (Swan, BioProtect) son apuestas tecnológicas sin beneficio, a múltiplos de ventas altos. En 2026 la empresa recompra con deuda: la deuda neta pasó de 51.538 M a 200.347 M en un trimestre y S&amp;P mantiene perspectiva negativa [1, 8].</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Bob White (Robert John White)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Representative Executive Officer, presidente y consejero delegado (CEO)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Treinta años en tecnología médica: GE Healthcare, Covidien y Medtronic, donde fue vicepresidente ejecutivo y presidente del grupo de terapias mínimamente invasivas y de la cartera médico-quirúrgica; consejero de supervisión de Philips [39, 46]. El consejo lo nombró por unanimidad el 25 de abril de 2025, con efecto el 1 de junio, tras una búsqueda con cazatalentos iniciada en noviembre de 2024; había dejado Medtronic en abril de 2024 [46, 54]; en su primer ejercicio completo (FY2026) el beneficio operativo cayó un 40,2 % y el margen ajustado bajó al 14,2 %, con unos 30.000 millones de JPY de impacto neto de las alertas de importación de la FDA [10, 47]. Tiene 193.305 acciones, todas pendientes de entrega por el plan de acciones [39].</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Michael Parenti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Executive Officer y director financiero (CFO)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Carrera financiera en Johnson &amp; Johnson (Ethicon, DePuy, fusiones y adquisiciones, director financiero de J&amp;J en China y en Japón) y director financiero del grupo MedSurg y NeuroTech de Stryker; entró en Olympus en 2026 y es CFO desde el 1 de abril de 2026, en sustitución de Tatsuya Izumi [39, 43]. Sin historial medible en el cargo todavía.</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Masato Iwasaki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(consejero externo independiente) y presidente del comité de nombramientos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 farmacéutico formado en Takeda; consejero de Olympus desde junio de 2024 y presidente del consejo desde junio de 2025, cuando sustituyó a Sumitaka Fujita [39, 43]. Dirigió la búsqueda que llevó a Bob White [46]. Su reelección de 2026 obtuvo un 91,63 % a favor, la más baja del consejo después de la de Hiroshi Ishino [40].</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Brian Barry</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Executive Officer y director de calidad (Chief Quality Officer)</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 cuarenta años en calidad y asuntos regulatorios en C. R. Bard, Covidien y Medtronic; sustituyó el 1 de agosto de 2026 a Boris Shkolnik, que había montado la función global de calidad y la relación con la FDA [45]. Su cometido es cerrar las observaciones de la FDA y levantar las alertas de importación, de las que depende la recuperación del margen [38, 45].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Gabriela Kaynor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Executive Officer, directora de estrategia (CSO) y responsable de ESG</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Ingeniera y directiva de producto en Johnson &amp; Johnson, Covidien y Acclarent; en Olympus dirigió la división de soluciones terapéuticas antes de pasar a directora de estrategia, y suma la responsabilidad de ESG desde el 1 de abril de 2026 [39, 43]. Tiene 83.965 acciones y cobró 264 millones de JPY en FY2026 [43].</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 de 2021: ingresos de 806.000, beneficio operativo de 126.000 y beneficio atribuido de 89.000 millones de JPY [48].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868.867, beneficio operativo de 153.898 y beneficio atribuido de 115.742 millones de JPY [49].</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 de 2022: ingresos de 968.000 y beneficio operativo de 206.000 millones de JPY (margen del 21,3 %), con el negocio científico todavía dentro [49].</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el negocio científico, ya clasificado como discontinuado: ingresos de 881.923 y beneficio operativo de 186.609 millones de JPY, margen del 21,2 % [50]. El cambio de perímetro impide comparar los importes; el margen se cumplió.</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 de 2023: ingresos de 914.000, beneficio operativo de 163.000 y beneficio atribuido de 336.000 millones de JPY (con la venta de Evident) [50].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936.210, beneficio operativo de 43.598 (ajustado, 151.534) y beneficio atribuido de 242.566 millones de JPY [51].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 de 2024: ingresos de 1.021.000, beneficio operativo de 177.000, beneficio operativo ajustado de 198.500 y beneficio atribuido de 121.000 millones de JPY [51].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997.332, beneficio operativo de 162.462, ajustado de 188.509 y beneficio atribuido de 117.855 millones de JPY [52].</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 de 2025: ingresos de 999.000, beneficio operativo de 150.000, ajustado de 175.000 (margen del 17,5 %) y beneficio atribuido de 105.000 millones de JPY [52].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1.010.676, beneficio operativo de 97.120, ajustado de 143.310 (margen del 14,2 %) y beneficio atribuido de 68.172 millones de JPY; la guía se rebajó durante el año [10, 47].</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Plan 2023 (FY2024-FY2026)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Objetivos de mayo de 2023: ingresos +5 % anual a tipo constante desde FY2023, margen operativo ajustado de en torno al 20 % y BPA ajustado +8 % anual [46].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Margen ajustado del 14,2 % en FY2026; BPA ajustado de -12,7 %, +39,9 % y -21,4 % en los tres años; rentabilidad total relativa por debajo del percentil 25 de sus comparables. El plan de acciones por objetivos de ese periodo pagó el 48,1 % [39, 47].</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spacing w:after="100"/>
      </w:pPr>
      <w:r>
        <w:t xml:space="preserve">La credibilidad de la guía es baja: solo FY2022 superó el objetivo inicial, y los tres últimos ejercicios quedaron por debajo en beneficio, dos de ellos con mucha distancia. El plan de 2023 (margen ajustado de en torno al 20 %) se abandonó en la práctica: FY2026 cerró en el 14,2 % y la guía de FY2027 es del 15,2-16,7 % [10, 46, 47]. </w:t>
      </w:r>
      <w:r>
        <w:rPr>
          <w:b/>
        </w:rPr>
        <w:t xml:space="preserve">El equipo es casi nuevo</w:t>
      </w:r>
      <w:r>
        <w:t xml:space="preserve">: consejero delegado desde junio de 2025, director financiero desde abril de 2026, director de calidad desde agosto de 2026, y el presidente ejecutivo Yasuo Takeuchi y otros cuatro ejecutivos salieron el 31 de marzo de 2026 [39, 43, 45]. Es el tercer consejero delegado en tres años, tras la salida forzada de Stefan Kaufmann [53]. La sucesión la decide un comité de nombramientos de solo independientes, sin sucesor interno visible [38].</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 (1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Masato Iwasaki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David Robert Hale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externo (codirector general de ValueAct Capital)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Jimmy C. Beasley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externo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(presidente); Innovación y Seguridad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Sachiko Ichikawa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externa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Kohei Kan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externo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Gary John Pruden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externo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Luann Marie Pendy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externa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Remuneración (desde el 29 de septiembre de 2026)</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Jean-Luc Butel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externo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Costa Saroukos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externo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Bob White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presidente y 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Ninguna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90 %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a la reelección de presidente o primer ejecutivo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70,3 % a favor (no se vota la remuneración)</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17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Master Trust Bank of Japan (cuenta fiduciaria)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Custodio de fondos e inversores institucionales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Registro a 31 de marzo de 2026; agrupa clientes, no es un accionista único [38, 39]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Custody Bank of Japan (cuenta fiduciaria)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Custodio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Registro a 31 de marzo de 2026 [39]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 Japan y siete entidades vinculadas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7,25 %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 de fondos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Último aviso de participación significativa: 31 de diciembre de 2024; la empresa no puede confirmar el saldo a marzo de 2026 [38, 43]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Sumitomo Mitsui Trust Asset Management y una entidad vinculada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 de fondos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Aviso de 15 de septiembre de 2025 [38, 43]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Nomura Asset Management y una entidad vinculada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 de fondos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Aviso de 28 de abril de 2023, sin actualizar [38]</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State Street Bank and Trust (cuenta 505001)</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Custodio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Registro a 31 de marzo de 2026 [39]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Massachusetts Financial Services y una entidad vinculada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 de fondos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Bajó del 5 % según el aviso de 13 de marzo de 2026 [38]</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SMBC Trust Bank (fondo de pensiones de Sumitomo Mitsui Banking)</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Banco (participación de 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Registro a 31 de marzo de 2026 [39]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ValueAct Capital Master Fund</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activista con consejero (David Hale)</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Sigue siendo accionista según la convocatoria de 2026; por debajo del 5 %, sin cifra publicada [39]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13.383.184 acciones (1,20 %) a 31 de marzo de 2026; 52.327.484 tras la recompra de 38.948.300 acciones por 60.000 millones de JPY en mayo de 2026, de las que se amortizarán todas menos 9 millones antes del 30 de abril de 2027 [39, 43]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(FY2026)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731,00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233,00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210,00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288,00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La remuneración no se vota en junta: la fija una comisión de tres independientes [38, 39]. Para el consejero delegado, la mezcla objetivo es 15 % fijo, 23 % variable anual y 62 % a largo plazo, este último en un 60 % en acciones por objetivos [39]. </w:t>
      </w:r>
      <w:r>
        <w:rPr>
          <w:b/>
        </w:rPr>
        <w:t xml:space="preserve">El variable anual de FY2026</w:t>
      </w:r>
      <w:r>
        <w:t xml:space="preserve"> pesó ingresos (35 %), margen operativo ajustado (25 %) y calidad (40 %), y pagó el 48,6 % [39]. </w:t>
      </w:r>
      <w:r>
        <w:rPr>
          <w:b/>
        </w:rPr>
        <w:t xml:space="preserve">Las acciones por objetivos de FY2024-FY2026</w:t>
      </w:r>
      <w:r>
        <w:t xml:space="preserve"> midieron BPA (20 %), rentabilidad total relativa (40 %), calidad (30 %) y DJSI (10 %), y pagaron el 48,1 %, con cero en rentabilidad relativa [39]. No premia crecer a cualquier precio: hay </w:t>
      </w:r>
      <w:r>
        <w:rPr>
          <w:i/>
        </w:rPr>
        <w:t xml:space="preserve">clawback</w:t>
      </w:r>
      <w:r>
        <w:t xml:space="preserve"> por reformulación contable, adquisiciones excesivas o incumplimientos graves, y obligación de tener acciones por cinco veces el fijo [39]. Los 731 millones de JPY de Bob White incluyen ajustes fiscales por expatriación: unas 73 veces el salario medio de la matriz en Japón (estimación propia) [43].</w:t>
      </w:r>
    </w:p>
    <w:p>
      <w:pPr>
        <w:pStyle w:val="Heading2"/>
      </w:pPr>
      <w:r>
        <w:t xml:space="preserve">Operaciones vinculadas, estructura de control y defensas</w:t>
      </w:r>
    </w:p>
    <w:p>
      <w:pPr>
        <w:spacing w:after="100"/>
      </w:pPr>
      <w:r>
        <w:t xml:space="preserve">No hay accionista de control ni sociedad matriz: el capital está repartido entre custodios e inversores institucionales, con más del 30 % en manos extranjeras [38]. Una sola clase de acciones, un voto por acción y </w:t>
      </w:r>
      <w:r>
        <w:rPr>
          <w:b/>
        </w:rPr>
        <w:t xml:space="preserve">sin medidas antiopa</w:t>
      </w:r>
      <w:r>
        <w:t xml:space="preserve"> [38]. Es una «Company with Nominating Committee, etc.»: el consejo tiene 10 miembros, 9 de ellos externos e independientes; lo preside un independiente, y las tres comisiones legales están formadas solo por independientes [38, 44]. Los consejeros se eligen cada año [38]. La propia empresa no declara intereses especiales con los candidatos [39]. Un matiz: David Hale es codirector general de ValueAct, que conserva acciones; la empresa lo califica de independiente porque la participación no es significativa [38, 39]. Las participaciones cruzadas se limitan a siete valores por 2.600 millones de JPY [38].</w:t>
      </w:r>
    </w:p>
    <w:p>
      <w:pPr>
        <w:pStyle w:val="Heading2"/>
      </w:pPr>
      <w:r>
        <w:t xml:space="preserve">Señales de alerta</w:t>
      </w:r>
    </w:p>
    <w:p>
      <w:pPr>
        <w:pStyle w:val="ListParagraph"/>
        <w:numPr>
          <w:ilvl w:val="0"/>
          <w:numId w:val="2"/>
        </w:numPr>
        <w:spacing w:after="60"/>
      </w:pPr>
      <w:r>
        <w:t xml:space="preserve">Rotación de la cúpula: Stefan Kaufmann dimitió como consejero delegado el 28 de octubre de 2024 a petición del consejo, que concluyó por unanimidad que probablemente había incumplido el código de conducta, tras una investigación interna por la supuesta compra de drogas ilegales; Yasuo Takeuchi asumió el cargo de forma interina y Bob White llegó en junio de 2025 [46, 53]. La tabla de remuneraciones de FY2026 deja fuera un reembolso de 550 millones de JPY por los costes de ajuste fiscal de ese consejero delegado [39].</w:t>
      </w:r>
    </w:p>
    <w:p>
      <w:pPr>
        <w:pStyle w:val="ListParagraph"/>
        <w:numPr>
          <w:ilvl w:val="0"/>
          <w:numId w:val="2"/>
        </w:numPr>
        <w:spacing w:after="60"/>
      </w:pPr>
      <w:r>
        <w:t xml:space="preserve">Rotación del equipo: salieron el 31 de marzo de 2026 el presidente ejecutivo, el director financiero, el de fabricación, el de recursos humanos y el responsable del negocio gastrointestinal; el director de calidad se cambió en agosto de 2026 [39, 45].</w:t>
      </w:r>
    </w:p>
    <w:p>
      <w:pPr>
        <w:pStyle w:val="ListParagraph"/>
        <w:numPr>
          <w:ilvl w:val="0"/>
          <w:numId w:val="2"/>
        </w:numPr>
        <w:spacing w:after="60"/>
      </w:pPr>
      <w:r>
        <w:t xml:space="preserve">Regulación: la FDA publicó el 24 de junio de 2025 alertas de importación para broncoscopios, laparoscopios, ureterorrenoscopios y reprocesadores fabricados en Aizu, y sus inspecciones de finales de 2025 en ocho plantas dejaron observaciones [39]. El impacto neto en FY2026 fue de unos 30.000 millones de JPY [10].</w:t>
      </w:r>
    </w:p>
    <w:p>
      <w:pPr>
        <w:pStyle w:val="ListParagraph"/>
        <w:numPr>
          <w:ilvl w:val="0"/>
          <w:numId w:val="2"/>
        </w:numPr>
        <w:spacing w:after="60"/>
      </w:pPr>
      <w:r>
        <w:t xml:space="preserve">El presidente del consejo Sumitaka Fujita fue reelegido en junio de 2024 con solo un 70,27 % a favor (2.996.483 votos en contra), la votación más baja de las tres últimas juntas [42]; tenía 81 años, llevaba 12 como consejero externo y presidía el consejo desde junio de 2018, y la empresa no explicó el rechazo [56]. El consejero delegado obtuvo el 96,87 % en 2024 (Kaufmann), el 98,47 % en 2025 y el 97,34 % en 2026 (White), y el presidente Iwasaki el 95,85 % y el 91,63 % [40, 41, 42].</w:t>
      </w:r>
    </w:p>
    <w:p>
      <w:pPr>
        <w:pStyle w:val="ListParagraph"/>
        <w:numPr>
          <w:ilvl w:val="0"/>
          <w:numId w:val="2"/>
        </w:numPr>
        <w:spacing w:after="60"/>
      </w:pPr>
      <w:r>
        <w:t xml:space="preserve">Historia: en 2011 la empresa admitió haber ocultado unos 1.500 millones de USD de pérdidas durante casi dos décadas, después de despedir al consejero delegado Michael Woodford por denunciarlo; el presidente Tsuyoshi Kikukawa dimitió y la empresa tuvo que reformular sus cuentas para evitar la exclusión de cotización [55]. El consejo actual, con mayoría independiente y la estructura de tres comisiones legales desde junio de 2019, es la respuesta a aquella crisis [38, 56].</w:t>
      </w:r>
    </w:p>
    <w:p>
      <w:pPr>
        <w:pStyle w:val="ListParagraph"/>
        <w:numPr>
          <w:ilvl w:val="0"/>
          <w:numId w:val="2"/>
        </w:numPr>
        <w:spacing w:after="60"/>
      </w:pPr>
      <w:r>
        <w:t xml:space="preserve">Consejo: el consejero independiente Hiroshi Ishino, reelegido con el 88,21 % en junio de 2026, dimitió por motivos de salud el 29 de septiembre de 2026; el consejo pasa de 11 a 10 miembros [40, 44].</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Para el ejercicio 2027 (abril de 2026 a marzo de 2027) Olympus prevé ingresos de 1.055.000-1.076.000 M JPY (+4,4 % a +6,5 %), beneficio operativo de 136.500-155.500 M JPY, beneficio operativo ajustado (sin otros ingresos y gastos) de 160.500-179.500 M JPY, beneficio atribuido de 95.500-109.000 M JPY y BPA de 89,59-102,26 JPY, con 155 JPY/USD y 181 JPY/EUR [11, 47]. La guía se publicó el 12 de mayo de 2026 y se mantuvo sin cambios en los resultados del primer trimestre, el 7 de agosto [11]. En la presentación del primer trimestre la empresa da además un BPA ajustado de 106-119 JPY, frente a 92 JPY en el ejercicio 2026 [9]. La mejora descansa en la desaparición gradual de los efectos puntuales de 2026, la eficiencia del nuevo modelo operativo y la contención de costes [47].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1.082.210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217.778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150.424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98,04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30,64</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14 analistas, 9-oct-2026 [59]</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1.122.825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243.746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171.689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113,90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14 analistas, 9-oct-2026 [59]</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FY2029e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1.166.751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260.290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186.535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124,80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33,80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14 analistas, 9-oct-2026 [59]</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1.071.317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1.082.210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218.549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217.778</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1.114.169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1.122.825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242.889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243.746</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FY2029e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1.164.307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1.166.751</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263.133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260.290</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 / 8 /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2.184,62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1.800,00 – 3.300,00</w:t>
            </w:r>
          </w:p>
        </w:tc>
      </w:tr>
    </w:tbl>
    <w:p>
      <w:pPr>
        <w:spacing w:after="160" w:before="0"/>
      </w:pPr>
    </w:p>
    <w:p>
      <w:pPr>
        <w:pStyle w:val="Heading2"/>
      </w:pPr>
      <w:r>
        <w:t xml:space="preserve">Revisiones de estimaciones</w:t>
      </w:r>
    </w:p>
    <w:p>
      <w:pPr>
        <w:spacing w:after="100"/>
      </w:pPr>
      <w:r>
        <w:t xml:space="preserve">No hay series gratuitas de revisiones con cifras: MarketScreener solo las muestra en gráficos [60] e Investing.com no publica la evolución de las estimaciones [61]. Lo verificable es la posición del consenso frente a la guía: el BPA del ejercicio 2027 (98,04 JPY) queda en la mitad alta del rango de la empresa (89,59-102,26 JPY) y el EBIT (150.424 M JPY) en el tercio alto del beneficio operativo guiado (136.500-155.500 M JPY) [11, 59]. Los ingresos del consenso (1.082.210 M JPY) superan incluso el máximo de la guía, posiblemente por un yen más débil (158,3 JPY/USD a la fecha de corte frente a 155 en la guía) [11, 63]. El precio objetivo medio, 2.184,62 JPY, coincide en MarketScreener e Investing.com, que reparten 5 compras, 8 mantener y 1 venta [60, 61].</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0,52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-57,7 %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Olympus ha rentado un −2 % anual en cinco años frente al +18,7 % del TOPIX y al −3,5 % del ETF de tecnología médica de EE. UU. (IHI) [58]: el castigo no es solo de la empresa, también del sector, pero en Tokio el diferencial es de 20 puntos al año. La caída máxima, del 57,7 %, va del 12 de septiembre de 2022 al 13 de marzo de 2026 (mínimo de 52 semanas, 1.302,5 JPY) [58]. En ese tramo coinciden las cartas de advertencia de la FDA, las alertas de importación de junio de 2025 sobre equipos fabricados en Aizu y los aranceles de EE. UU., que llevaron el beneficio operativo del ejercicio 2026 a 97.120 M JPY, un 40 % menos [1, 47]. Las dos mayores caídas diarias del año fueron el 13 y el 16 de febrero de 2026 (−5,2 % y −12,9 %) [58]. Desde marzo la acción ha subido un 54 % hasta 2.000 JPY, con la recompra de 60.000 M JPY de mayo a 1.540,5 JPY por acción [57] y la guía de recuperación del ejercicio 2027 [11]. La beta mensual de cinco años (0,52) es baja, pero la volatilidad de un año (41,8 %) duplica la de un valor defensivo [58].</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Se excluye el ejercicio 2024: su beneficio atribuido incluye la plusvalía de la venta de Evident (transferida el 3 de abril de 2023 por 427.674 M JPY, con una ganancia prevista de 347.900 M JPY antes de impuestos) y su EBIT recoge los costes de la rescisión de Taewoong Medical, así que ni el PER ni el EV/EBITDA de ese año miden el negocio [3, 4]. El ejercicio 2026 también está deprimido, aunque se mantiene: unos 4.400 M JPY de gastos de Swan EndoSurgical, 14.100 M JPY de reestructuración y 3.400 M JPY más de deterioros de activos de desarrollo [1]. El precio de cierre ha caído de 2.339 JPY en marzo de 2022 a 1.488,5 JPY en marzo de 2026 [58]: la desvalorización viene del precio y no solo de los beneficios.</w:t>
      </w:r>
    </w:p>
    <w:p>
      <w:pPr>
        <w:pStyle w:val="Heading1"/>
      </w:pPr>
      <w:r>
        <w:t xml:space="preserve">18. Comparables cotizados</w:t>
      </w:r>
    </w:p>
    <w:p>
      <w:pPr>
        <w:pStyle w:val="Confianza"/>
        <w:spacing w:after="100"/>
      </w:pPr>
      <w:r>
        <w:t xml:space="preserve">Confianza: Media</w:t>
      </w:r>
    </w:p>
    <w:p>
      <w:pPr>
        <w:spacing w:after="100"/>
      </w:pPr>
      <w:r>
        <w:t xml:space="preserve">Fabricantes de tecnología médica con equipos de capital y consumibles para hospitales. Hoya (endoscopios Pentax), Fujifilm (endoscopia, aunque es un conglomerado con solo una parte en salud) y Terumo son los competidores japoneses directos. Boston Scientific y Medtronic compiten en endoterapia, y Stryker en visualización quirúrgica. Intuitive Surgical es la referencia en cirugía robótica, pero su crecimiento y sus márgenes la sacan del grupo central. Sysmex y Smith &amp; Nephew completan el tamaño medio. Karl Storz, el rival más directo en endoscopia quirúrgica, no cotiza [64, 65, 66, 67, 68, 69, 70, 71, 72].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Olympus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2.125.640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Hoya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8.371.000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Fujifilm</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4.084.000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Terumo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3.405.000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Sysmex</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1.139.000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Boston Scientific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9.644.975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Medtronic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17.729.152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Stryker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16.779.376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Intuitive Surgical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23.269.512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Smith &amp; Nephew</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1.765.000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6"/>
        <w:gridCol w:w="1056"/>
        <w:gridCol w:w="1188"/>
        <w:gridCol w:w="1188"/>
        <w:gridCol w:w="1056"/>
        <w:gridCol w:w="1056"/>
        <w:gridCol w:w="118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29,8 %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231.446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9,9x / 10,2x / 13,7x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1.902,48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1.967,81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2.729,99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182.849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10,8x / 11,9x / 15,5x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1.604,64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1.793,89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2.413,24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16,5x / 18,0x / 25,2x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1.755,40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1.914,98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2.680,98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1.044.564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2,3x / 3,3x / 4,4x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1.977,60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2.950,60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4.071,02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(9 comparables): múltiplo = 0,4 + 1,59 × crecimiento; R² = 0,78. Para el crecimiento esperado de la empresa (4,4 %), el múltiplo ajustado es 7,4x y el valor por acción, 1.358,06.</w:t>
      </w:r>
    </w:p>
    <w:p>
      <w:pPr>
        <w:spacing w:after="100"/>
      </w:pPr>
      <w:r>
        <w:t xml:space="preserve">Olympus cotiza a 10,3x EV/EBITDA a 12 meses vista y 18,8x PER, frente a medianas de 10,2x y 18,0x: está en su sitio, sin descuento, pese a crecer menos (2,8 % entre los últimos y los próximos 12 meses, frente al 5-9 % de la mayoría) y a tener un margen EBITDA del 17,5 %, el más bajo del grupo salvo Fujifilm. Dos sesgos: el EBITDA y el BPA de las empresas de EE. UU. y Reino Unido son ajustados, mientras los de Olympus son NIIF con la reestructuración dentro, lo que abarata a los comparables; y Hoya (36 % de margen) e Intuitive (44 %) están en otra liga de rentabilidad. Con los comparables más parecidos por margen y crecimiento (Fujifilm, Terumo, Sysmex, Smith &amp; Nephew), el EV/EBITDA mediano baja a 9,0x. La regresión crecimiento-múltiplo no justifica prima. Usamos la mediana del grupo completo (1.941,40 JPY por acción) porque sus dos sesgos se compensan en parte [64, 65, 66, 67, 68, 69, 70, 71, 72].</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Evident (negocio científico de Olympus)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Bain Capital (K.K. BCJ-66)</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427.674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 transferencia sujeto a ajustes, sobre unos ingresos de 135.421 M JPY del ejercicio 2023; microscopía e inspección industrial, no tecnología médica [4].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Cantel Medical</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STERIS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728.162</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de unos 4.600 M USD sobre unos ingresos de unos 1.000 M USD y un EBIT ajustado de 134 M USD del ejercicio a julio de 2020; líder en reprocesamiento de endoscopios [73].</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Axonics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Boston Scientific</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538.206</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9,29x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71 USD por acción; valor empresa de unos 3.400 M USD sobre unos ingresos previstos de 366 M USD en 2023 (+34 %); neuromodulación urológica [74].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Shockwave Medical</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Johnson &amp; Johnson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2.073.678</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17,94x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de unos 13.100 M USD sobre unos ingresos de 730,2 M USD en 2023 (+49 %) y un EBITDA ajustado de 242,7 M USD; se excluye por su crecimiento [77, 78].</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Inari Medical</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Stryker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757.921</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7,94x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80 USD por acción, valor del capital de unos 4.900 M USD. El valor empresa es una estimación propia: resta 112 M USD de caja e inversiones a septiembre de 2024. Los ingresos son el punto medio de la guía de 2024 (601,5-604,5 M USD) [75, 76].</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2025-10</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Hologic</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Blackstone y TPG</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2.896.817</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Hasta 79 USD por acción (76 USD en efectivo y un derecho contingente de hasta 3 USD); valor empresa de hasta 18.300 M USD sobre unos ingresos de 4.100,5 M USD y un EBITDA ajustado de 1.339,7 M USD del ejercicio 2025 [79, 80].</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BioProtect</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43.380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18,63x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270 M USD con hitos incluidos (43.380 M JPY pagados en caja) sobre unas ventas de 2.329 M JPY en 2025 y pérdidas operativas; se excluye por estar en fase inicial [11, 12].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EV/ventas)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4.267,58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4.129,98 – 7.550,21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Los compradores pagan por la tecnología médica de crecimiento alto entre 8 y 18 veces las ventas (Inari, Axonics, Shockwave) y por los negocios maduros entre 3 y 5 veces (Cantel, Evident, Hologic) [4, 73, 74, 75, 76, 77, 78, 79, 80]. Hologic es la única referencia reciente de capital privado sobre una cotizada grande de tecnología médica: 13,7 veces el EBITDA ajustado, con una prima del 46 % [79, 80]. Olympus se parece más a este segundo grupo, por crecimiento (+4 % a +6 % guiado) y por tamaño. Con un valor empresa cercano a 2,4 billones de yenes, un 95 % de capital flotante y un consejo de 10 miembros, 9 de ellos externos [44, 81], no tiene accionista de control que facilite una operación. La compra de Taewoong Medical, firmada en febrero de 2023, se rescindió en marzo de 2024 y no se incluye [3].</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FY2027e crece un 6,0 %, dentro de la guía (4,4 %-6,5 %, con 155 JPY/USD) y por debajo del consenso (7,1 %), porque el primer trimestre creció un 16,4 % con el yen débil y la propia empresa espera un primer semestre más lento [9, 11, 59]. FY2028e-FY2030e: 4,0-4,5 %, entre el consenso (3,8 % y 3,9 %) y la aspiración de la empresa a tipo constante (3 %, 4 % y 5 % en FY2027-FY2029) [10, 59]; la vuelta de los productos retenidos y la renovación con EVIS X1 lo sostienen, China lo frena. Después converge al 2,0 % en FY2036e. El crecimiento medio (3,7 %) queda por encima del 3,4 % del mercado de endoscopios GI [37] y por debajo del 7,7 % anual de FY2022-FY2026, que llevaba dentro unos 190.000 M de efecto del yen [6, 7].</w:t>
      </w:r>
    </w:p>
    <w:p>
      <w:pPr>
        <w:keepNext/>
        <w:spacing w:after="100"/>
      </w:pPr>
      <w:r>
        <w:rPr>
          <w:b/>
          <w:bCs/>
        </w:rPr>
        <w:t xml:space="preserve">Márgenes.</w:t>
      </w:r>
    </w:p>
    <w:p>
      <w:pPr>
        <w:spacing w:after="100"/>
      </w:pPr>
      <w:r>
        <w:t xml:space="preserve">Margen EBITDA (sin participadas ni partidas puntuales, con los gastos de calidad y reestructuración dentro) del 20,4 % en FY2027e: la guía de beneficio operativo (136.500-155.500 M, con 31.500 M de otros gastos) más 68.000 M de amortizaciones da un 20,1 % en el punto medio, y en torno al 20,5 % sin las pérdidas de Swan EndoSurgical, que van fuera del EBITDA del DCF [10, 11]. Sube al 21,8 % en FY2028e y al 22,6 % en FY2029e, con los 24.000 M de ahorro anual del programa de plantilla [9] y el objetivo de 100 puntos básicos de mejora al año [10], y se estabiliza en el 22,7 % de FY2025, el último ejercicio limpio: la prueba de sostenibilidad no deja pedir más de lo demostrado. Queda por debajo del 26,3 % de FY2023 porque los aranceles de EE. UU. (unos 18.000 M netos al año) y la presión de precios en China no desaparecen [10, 13]. El consenso da un 20,1 %, 21,7 % y 22,3 % en FY2027e-FY2029e; nuestra proyección difiere en menos de un 1,1 % en EBITDA [59].</w:t>
      </w:r>
    </w:p>
    <w:p>
      <w:pPr>
        <w:keepNext/>
        <w:spacing w:after="100"/>
      </w:pPr>
      <w:r>
        <w:rPr>
          <w:b/>
          <w:bCs/>
        </w:rPr>
        <w:t xml:space="preserve">Inversión y circulante.</w:t>
      </w:r>
    </w:p>
    <w:p>
      <w:pPr>
        <w:spacing w:after="100"/>
      </w:pPr>
      <w:r>
        <w:t xml:space="preserve">Inversión del 8,9 % de las ventas en FY2027e: es la guía de la empresa (95.000 M, con 13.000 M de altas de derechos de uso y 25.000 M de desarrollo capitalizado) [10]. Baja al 7,2 % en FY2036e, siempre por encima de la amortización (6,4-6,6 %), que incluye la de los derechos de uso: con NIIF 16 los arrendamientos están en la deuda del puente y su renovación se paga en el capex. En FY2022-FY2026 el capex del estado de flujos fue del 6,5 % al 8,2 % de las ventas, más un 2 % de pagos de arrendamientos. El circulante se mantiene en el 35 % de las ventas, la media de FY2022-FY2026 (31-38 %). Tipo impositivo del 28 %: el efectivo fue del 25,9 % en FY2025 y del 27,5 % en FY2026, y el legal japonés ronda el 30 %.</w:t>
      </w:r>
    </w:p>
    <w:p>
      <w:pPr>
        <w:keepNext/>
        <w:spacing w:after="100"/>
      </w:pPr>
      <w:r>
        <w:rPr>
          <w:b/>
          <w:bCs/>
        </w:rPr>
        <w:t xml:space="preserve">Coste del capital.</w:t>
      </w:r>
    </w:p>
    <w:p>
      <w:pPr>
        <w:spacing w:after="100"/>
      </w:pPr>
      <w:r>
        <w:t xml:space="preserve">Todo en JPY. Tasa libre: bono japonés a 10 años al 3,089 % el 8-oct-2026 (Ministerio de Finanzas; el dato del 9 aún no estaba publicado) [62]. </w:t>
      </w:r>
      <w:r>
        <w:rPr>
          <w:b/>
        </w:rPr>
        <w:t xml:space="preserve">Beta de 0,99</w:t>
      </w:r>
      <w:r>
        <w:t xml:space="preserve">: media de la propia semanal de cinco años frente al TOPIX, ajustada de Blume (0,89), y la sectorial de Damodaran para productos sanitarios en Japón, 0,96 desapalancada y reapalancada con la deuda de Olympus (1,08) [58, 84]. La beta propia frente a otros índices es más baja y no la usamos: Nikkei 225 0,72 ajustada (índice dominado por tecnología), IHI 0,70 e IXJ 0,73 (en USD); la mensual frente al TOPIX, 0,52, está deprimida por caídas propias de la FDA que no se mueven con el mercado [58]. Prima madura de 4,23 % y </w:t>
      </w:r>
      <w:r>
        <w:rPr>
          <w:b/>
        </w:rPr>
        <w:t xml:space="preserve">prima país de 0,75 %</w:t>
      </w:r>
      <w:r>
        <w:t xml:space="preserve">: la de Damodaran ponderada por dónde vende Olympus (Japón 10,3 % × 0,91; Norteamérica 40,1 % × 0,23; Europa 27,8 % × 1,04; China 8,2 % × 0,91; Asia-Pacífico 10,2 % × 1,49; otros 3,4 % × 1,40) [1, 83]. Coste de los fondos propios 8,03 %. Deuda al 3,3 % antes de impuestos (bono más el diferencial de un BBB+; su coste histórico, 2,1 %, se fijó con tipos casi nulos) y peso del 15 % a valor de mercado. WACC: 7,18 %.</w:t>
      </w:r>
    </w:p>
    <w:p>
      <w:pPr>
        <w:keepNext/>
        <w:spacing w:after="100"/>
      </w:pPr>
      <w:r>
        <w:rPr>
          <w:b/>
          <w:bCs/>
        </w:rPr>
        <w:t xml:space="preserve">Valor terminal.</w:t>
      </w:r>
    </w:p>
    <w:p>
      <w:pPr>
        <w:spacing w:after="100"/>
      </w:pPr>
      <w:r>
        <w:t xml:space="preserve">Gordon con un crecimiento del 2,0 % en JPY: entre la inflación esperada en Japón (en torno al 2 %) y la tasa libre menos medio punto (2,59 %). El valor terminal pesa un 66 % del valor empresa. El múltiplo de salida de contraste es 10,5x EBITDA, en línea con la mediana de los comparables a 12 meses vista (10,2x) y con la mediana histórica de Olympus (12,4x en los últimos 12 meses) [59]; el Gordon implica 8,9x, más prudente.</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0,99</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7,15 %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1.071.317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218.549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68.564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41.996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95.347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11.682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69.524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0,47</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32.394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1.114.169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242.889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72.421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47.731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96.933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14.998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83.227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77.783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1.164.307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263.133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75.680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52.487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98.966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17.548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94.132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82.028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1.216.701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276.191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79.086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55.190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100.986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18.338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101.678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82.672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1.265.369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287.239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82.249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57.397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102.495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110.313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83.690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1.309.657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297.292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86.437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59.039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103.463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15.501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119.289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84.485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1.348.946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306.211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89.030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60.810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103.869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13.751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127.780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84.381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1.382.670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313.866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91.256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62.331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103.700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11.803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136.032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83.818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1.417.237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321.713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93.538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63.889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103.458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12.098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142.267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81.792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1.445.581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328.147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95.408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65.167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104.082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148.978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79.958</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JP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2.934.049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3.445.543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773.001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1.521.084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2.294.085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-266.656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2.024.760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1.062,8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1.905,08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JP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2.056,33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2.230,32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2.445,94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2.720,17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3.080,65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1.841,37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1.979,12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2.146,32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2.353,52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2.617,04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1.661,71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1.772,68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1.905,08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2.065,78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2.264,93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1.509,39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1.600,10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1.706,79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1.834,07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1.988,55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8,2 %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1.378,70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1.453,77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1.540,98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1.643,56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1.765,94</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1.431,53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1.507,91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1.586,35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1.666,68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1.748,67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1.567,28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1.654,99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1.745,72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1.839,34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1.935,72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1.703,04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1.802,08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1.905,08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2.012,00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2.122,76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1.838,79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1.949,17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2.064,45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2.184,66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2.309,81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1.974,54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2.096,26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2.223,82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2.357,32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2.496,85</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322.304 M (22 %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que financia esa reinversión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 (ROIC 7,9 %)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que la proyección supone para el capital nuevo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30,9 % (histórico: -19,2 %)</w:t>
            </w:r>
          </w:p>
        </w:tc>
      </w:tr>
    </w:tbl>
    <w:p>
      <w:pPr>
        <w:spacing w:after="160" w:before="0"/>
      </w:pPr>
    </w:p>
    <w:p>
      <w:pPr>
        <w:spacing w:after="100"/>
      </w:pPr>
      <w:r>
        <w:t xml:space="preserve">La proyección reinvierte el 22 % del NOPAT. Con el ROIC del último ejercicio (7,9 %), eso financia un crecimiento del 1,7 % anual, frente al 3,6 % de ingresos proyectado. Supone que el capital nuevo rinde un 30,9 %, frente a un ROIC incremental histórico del -19,2 %.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aspiración de la empresa a tipo constante es del 3 % en FY2027 [10]; el resto es divisa: la guía (+4,4 % a +6,5 %) usa 155 JPY/USD y el 1T creció un 16,4 % publicado frente a un 5 % a tipo constante [9, 11]. Reparto entre volumen (vuelta de los productos retenidos, EVIS X1) y precio (China a la baja), estimación propia.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Aspiración del 4 % a tipo constante [10]: renovación de unos 70.000 procesadores a EVIS X1 [18]; precio positivo fuera de China (estimación propia).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Aspiración del 5 % a tipo constante [10]; dejamos 4,5 % por la presión de la compra centralizada en China [15].</w:t>
            </w:r>
          </w:p>
        </w:tc>
      </w:tr>
    </w:tbl>
    <w:p>
      <w:pPr>
        <w:spacing w:after="160" w:before="0"/>
      </w:pPr>
    </w:p>
    <w:p>
      <w:pPr>
        <w:spacing w:after="100"/>
      </w:pPr>
      <w:r>
        <w:t xml:space="preserve">En parte. El foso sostiene el crecimiento: en torno al 70 % de los endoscopios GI del mundo, con costes de cambio altos (procesador, endoscopios, reprocesado y servicio son un sistema) [18], y un 3,7 % anual de media, apenas por encima del 3,4 % del mercado [37], así que la cuota casi no se mueve (prueba a mano: la cuota publicada es de un segmento y el mercado final va en blanco). Con el ROIC de FY2025 (15,1 %), la reinversión financia un 3,3 % anual y el precio aporta el resto. Con el de FY2026 (7,9 %), solo un 1,7 %: el crecimiento depende de que el margen vuelva. Por eso el margen final se limita al 22,7 % de FY2025.</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(FY2027e-FY2036e)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4,5 % (base: 3,7 %)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23,3 % (base: 22,7 %)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7,0 % (WACC: 7,2 %)</w:t>
            </w:r>
          </w:p>
        </w:tc>
      </w:tr>
    </w:tbl>
    <w:p>
      <w:pPr>
        <w:spacing w:after="160" w:before="0"/>
      </w:pPr>
    </w:p>
    <w:p>
      <w:pPr>
        <w:spacing w:after="100"/>
      </w:pPr>
      <w:r>
        <w:rPr>
          <w:b/>
        </w:rPr>
        <w:t xml:space="preserve">El DCF da 1.905,08 JPY por acción, un 4,7 % por debajo del precio</w:t>
      </w:r>
      <w:r>
        <w:t xml:space="preserve">, con un WACC del 7,18 % y un valor terminal que pesa el 66 %. El DCF inverso dice que el precio de 2.000 JPY descuenta un crecimiento anual del 4,5 % en FY2027e-FY2036e (nuestra base, 3,7 %) o, con nuestro crecimiento, un margen EBITDA estable del 23,3 % (base, 22,7 %, el de FY2025); la rentabilidad implícita es del 7,0 %, algo por debajo del WACC. Es decir, </w:t>
      </w:r>
      <w:r>
        <w:rPr>
          <w:b/>
        </w:rPr>
        <w:t xml:space="preserve">el mercado paga algo más que la recuperación completa del plan de Bob White</w:t>
      </w:r>
      <w:r>
        <w:t xml:space="preserve">: que el margen supere su nivel de FY2025 pese a los aranceles y que las ventas crezcan más deprisa que su mercado (3,4 %). No es una exigencia extrema, pero deja poco margen: la recuperación aún no se ha demostrado más allá de un trimestre, la alerta de importación sigue en vigor y la dirección no cumplió la guía de beneficio en FY2024, FY2025 ni FY2026. Un punto menos de margen en todos los años lleva el valor a 1.745,72 JPY; medio punto más de WACC, a 1.706,79.</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1.183,91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FDA no da por buenas las reinspecciones: la alerta de importación de Aizu sigue en 2027 o se extiende a otras plantas, como en el decreto de consentimiento de Philips Respironics, y China sigue cambiando endoscopios de Olympus por locales en las compras centralizadas. El margen EBITDA se queda en el 17-20 % (FY2026 fue del 15,9 %), el crecimiento en un 2,2 % anual y el mercado exige medio punto más de rentabilidad.</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1.905,08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productos retenidos vuelven en el segundo semestre de FY2027 y la alerta se levanta en FY2028; el programa de plantilla da sus 24.000 M de ahorro y el margen EBITDA sube del 20,4 % al 22,7 % en FY2030e, el de FY2025, por debajo del de FY2023 por los aranceles. Las ventas crecen un 3,7 % anual de media, algo más que el mercado.</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24,7 %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2.357,32</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resuelve la FDA en FY2027, la endoscopia quirúrgica se vende o se reestructura (deja de restar), EVIS X1 con EDOF y los desechables (duodenoscopio de un solo uso) aceleran la renovación, y el margen EBITDA llega al 24,7 %, cerca del nivel previo a la crisis de calidad. El crecimiento medio sube al 4,7 %.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JPY) · precio actual 2.000,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1.837,85 JPY (-8,1 %).</w:t>
      </w:r>
    </w:p>
    <w:p>
      <w:pPr>
        <w:spacing w:after="100"/>
      </w:pPr>
      <w:r>
        <w:t xml:space="preserve">La asimetría es desfavorable: el alcista vale 2.357,32 JPY (+17,9 %) y el bajista 1.183,91 JPY (−40,8 %), una asimetría de 0,44x. El bajista no es cosmético: el margen EBITDA de FY2026 ya fue del 15,9 % y el bajista solo supone que no se recupera más allá del 19,7 %, algo que ya ocurrió dos de los últimos tres años. Con probabilidades de 25/50/25, el valor ponderado es de 1.837,85 JPY, un 8,1 % por debajo del precio. Para que la apuesta compense hay que dar más del 25 % de probabilidad al alcista o comprar más abajo: por debajo de 1.685,64 JPY la regla daría Comprar.</w:t>
      </w:r>
    </w:p>
    <w:p>
      <w:pPr>
        <w:pStyle w:val="Heading1"/>
      </w:pPr>
      <w:r>
        <w:t xml:space="preserve">22. Suma de partes</w:t>
      </w:r>
    </w:p>
    <w:p>
      <w:pPr>
        <w:pStyle w:val="Confianza"/>
        <w:spacing w:after="100"/>
      </w:pPr>
      <w:r>
        <w:t xml:space="preserve">Confianza: Media</w:t>
      </w:r>
    </w:p>
    <w:p>
      <w:pPr>
        <w:spacing w:after="100"/>
      </w:pPr>
      <w:r>
        <w:t xml:space="preserve">No se hace. GIS y SIS tienen perfiles muy distintos (FY2026: margen operativo del 19,6 % en GIS y pérdidas de 14.986 M en SIS), pero la empresa no publica el EBITDA de cada segmento, SIS lleva el efecto puntual de las retenciones de la FDA y su endoscopia quirúrgica está en revisión estratégica sin conclusiones [10]. Una valoración por partes dependería de supuestos sobre el reparto de costes centrales (24.253 M en FY2026) que no podemos contrastar. La revisión de SIS es un catalizador, no una fuente de valor cuantificable hoy.</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JPY) · precio actual 2.000,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1.302,50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2.210,50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2.184,62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1.902,48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1.967,81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2.729,99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1.755,40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1.914,98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2.680,98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1.600,10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1.905,08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2.353,52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1.183,91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1.837,85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2.357,32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1.715,95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1.916,13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2.159,89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2.000,00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2.010,00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1.905,08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1.941,40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4.267,58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1.837,85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bl>
    <w:p>
      <w:pPr>
        <w:spacing w:after="160" w:before="0"/>
      </w:pPr>
    </w:p>
    <w:p>
      <w:pPr>
        <w:spacing w:after="100"/>
      </w:pPr>
      <w:r>
        <w:rPr>
          <w:b/>
          <w:bCs/>
        </w:rPr>
        <w:t xml:space="preserve">Valor intrínseco ponderado (largo plazo):</w:t>
      </w:r>
      <w:r>
        <w:t xml:space="preserve"> 1.902,53 JPY (-4,9 % sobre 2.000,00).</w:t>
      </w:r>
    </w:p>
    <w:p>
      <w:pPr>
        <w:spacing w:after="100"/>
      </w:pPr>
      <w:r>
        <w:t xml:space="preserve">El DCF pesa un 50 %: los flujos de Olympus son previsibles una vez limpios de la FDA y la proyección coincide con el consenso en menos de un 1,1 % hasta FY2029e. Los comparables pesan un 30 % y dan algo más (1.941,40 JPY, media de EV/EBITDA y PER a 12 meses vista), con dos sesgos que se compensan en parte: el EBITDA y el BPA de los comparables de EE. UU. y Reino Unido son ajustados (sin amortización de intangibles adquiridos ni cargos de reestructuración) frente al NIIF de Olympus, lo que rebaja sus múltiplos y el valor implícito; y Hoya e Intuitive, con márgenes del 36 % y el 44 %, cotizan a 18,5x y 24,5x y tiran de la parte alta. Los escenarios pesan un 20 % para recoger la asimetría. Las transacciones no se usan: su mediana (4.267,58 JPY) mezcla compras de crecimiento alto a 8-18 veces ventas con prima de control, y Olympus no tiene accionista que facilite una operación. La dispersión entre métodos es baja (1.838-1.941 JPY) y todos quedan por debajo del precio.</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92,00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1.490,40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120,10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(18.4x) × 1.1 (tope: la mediana de 5 años, 26.7x,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2.426,02</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140,00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27,3x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1.35</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3.822,00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+92,6 %</w:t>
            </w:r>
          </w:p>
        </w:tc>
      </w:tr>
    </w:tbl>
    <w:p>
      <w:pPr>
        <w:spacing w:after="160" w:before="0"/>
      </w:pPr>
    </w:p>
    <w:p>
      <w:pPr>
        <w:spacing w:after="100"/>
      </w:pPr>
      <w:r>
        <w:rPr>
          <w:b/>
          <w:bCs/>
        </w:rPr>
        <w:t xml:space="preserve">Objetivo a 12 meses (ponderado):</w:t>
      </w:r>
      <w:r>
        <w:t xml:space="preserve"> 2.541,11 JPY · rentabilidad +28,6 % (base +22,8 %) · señal Mantener.</w:t>
      </w:r>
    </w:p>
    <w:p>
      <w:pPr>
        <w:spacing w:after="100"/>
      </w:pPr>
      <w:r>
        <w:t xml:space="preserve">Para comparar, con la regla v2 (historia al cierre, mismo precio): 15,6x / 18,4x / 21,8x, 12,8 % Mantener; con el tope anterior del base (×1,3, 14-oct mediodía): 40,8 % Mantener. Decide la regla vigente (v3 con tope ×1,1; METODO-VIGENTE.md).</w:t>
      </w:r>
    </w:p>
    <w:p>
      <w:pPr>
        <w:keepNext/>
        <w:spacing w:after="100"/>
      </w:pPr>
      <w:r>
        <w:rPr>
          <w:b/>
          <w:bCs/>
        </w:rPr>
        <w:t xml:space="preserve">Frente al consenso (solo contraste).</w:t>
      </w:r>
    </w:p>
    <w:p>
      <w:pPr>
        <w:spacing w:after="100"/>
      </w:pPr>
      <w:r>
        <w:t xml:space="preserve">Nuestro BPA base de FY2029e (120,10) se separa un -3,8 % del consenso (124,80) y nuestro precio base (2209,84) un +1,2 % del objetivo medio de los analistas (2184,62). No se acerca la cifra: el porqué (ventas, margen, base de BPA o múltiplo) está en el contraste con el consenso de revision-12m-2026-10-13.md.</w:t>
      </w:r>
    </w:p>
    <w:p>
      <w:pPr>
        <w:keepNext/>
        <w:spacing w:after="100"/>
      </w:pPr>
      <w:r>
        <w:rPr>
          <w:b/>
          <w:bCs/>
        </w:rPr>
        <w:t xml:space="preserve">Del valor intrínseco al objetivo a 12 meses.</w:t>
      </w:r>
    </w:p>
    <w:p>
      <w:pPr>
        <w:spacing w:after="100"/>
      </w:pPr>
      <w:r>
        <w:t xml:space="preserve">Valor intrínseco 1902,53 (-4,9 %) frente al objetivo a 12 meses ponderado 2226,72 (+12,8 % con dividendo; base +12,0 %). La distancia es menor del 25 %.</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2T FY2027 (abril-septiembre)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prueba de que la guía se cumple con el yen más fuerte y la ejecución de la recompra; vigilar el margen ajustado frente al 15,2-16,7 % guiado.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 FY2027 (oct-2026 a mar-2027)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Vuelta al mercado de la mayoría de los productos retenidos voluntariamente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Recupera parte de los 13.000 M de ventas trimestrales perdidas en SIS; si se retrasa, la guía no se cumple.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 (sin fecha)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Reinspección de la FDA en Aizu y levantamiento de la alerta de importación 89-04</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Devuelve a EE. UU. broncoscopios, ureteroscopios, laparoscopios y lavadoras; la alerta sigue en la versión de la FDA del 19-ago-2026 [20].</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Conclusión de la revisión estratégica de la endoscopia quirúrgica (SIS)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venta o un cierre quitaría un negocio con pérdidas y simplificaría la tesis; un deterioro del fondo de comercio de SIS (179.576 M) restaría beneficio contable, no caja [1].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Mayo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FY2027, guía de FY2028 y nueva recompra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Prueba del objetivo de 100 puntos básicos de mejora anual del margen y de la política de recompras «más dinámica».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30-abr-2027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Amortización de 29,95 M acciones propias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efecto en el valor (ya están fuera de las acciones en circulación), pero confirma que no se reutilizan [57].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FDA no levanta la alerta de importación de Aizu o abre nuevas acciones (decreto de consentimiento)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−41 % en el escenario bajista; −8 % por cada punto de margen perdido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96 % de los compromisos con la FDA estaba cumplido según el informe integrado de 2025; nuevo director de calidad; ninguna carta de advertencia desde 2023 [9, 18].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Formulario 483 tras la reinspección de Aizu; productos retenidos que no vuelven en el 2S FY2027.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 sustituye endoscopios importados por locales (compras centralizadas, «comprar chino»)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 y regulación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 a −5 % (China es el 8,2 % de las ventas y aporta margen superior a la media)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Gastroscopio fabricado en Suzhou registrado en agosto de 2025; cartera localizada [14, 18].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en China por debajo del −3 % interanual del 1T FY2027.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que no recupera: aranceles de EE. UU. y costes de calidad permanentes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−8 % por punto de margen EBITDA (1.745,72 JPY con −1 punto)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Programa de plantilla con 24.000 M de ahorro anual en FY2028 [9].</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ajustado del año por debajo del 15,2 % de la guía.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Asignación de capital: recompras con deuda y compras fallidas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Pérdida de rating: +0,25 puntos de coste de la deuda, efecto menor; una compra cara como Veran restaría 3-5 %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Calificación A+ de R&amp;I y BBB+ de S&amp;P; deuda neta ajustada de 1,5x EBITDA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Rebaja de S&amp;P (perspectiva negativa) o nueva compra grande pagada a múltiplos de ventas.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 en endoscopia GI: Fujifilm, Pentax y fabricantes chinos con precios bajos; desechables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Competitivo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si el crecimiento baja un punto en todos los años (1.802,08 JPY)</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 del 70 %, base instalada y contratos de servicio recurrentes [18].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Pérdida de concursos en Europa o EE. UU.; caída de las ventas de servicio.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Yen fuerte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Divisa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Cada yen de apreciación resta al año 2.900 M de ventas y 500 M de beneficio operativo frente al dólar, y 1.700 M y 500 M frente al euro [10]; un yen un 10 % más fuerte frente a ambos restaría un 7 % de las ventas y un 10 % del beneficio operativo ajustado (estimación propia)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Buena parte de los costes también está en dólares y euros.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JPY/USD por debajo de 140.</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Rotación de la cúpula y credibilidad</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Indirecto: prima de riesgo más alta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Consejo con 9 de 10 independientes y comités solo de independientes [38].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Salida de otro alto directivo antes de mayo de 2027.</w:t>
            </w:r>
          </w:p>
        </w:tc>
      </w:tr>
    </w:tbl>
    <w:p>
      <w:pPr>
        <w:spacing w:after="160" w:before="0"/>
      </w:pPr>
    </w:p>
    <w:p>
      <w:pPr>
        <w:pStyle w:val="Heading2"/>
      </w:pPr>
      <w:r>
        <w:t xml:space="preserve">Pre-mortem</w:t>
      </w:r>
    </w:p>
    <w:p>
      <w:pPr>
        <w:spacing w:after="100"/>
      </w:pPr>
      <w:r>
        <w:t xml:space="preserve">Es octubre de 2029 y la acción vale 1.200 JPY. La FDA reinspeccionó Aizu a principios de 2027 y emitió un nuevo formulario 483: la alerta no se levantó y, en 2028, Olympus firmó un decreto de consentimiento que exigía certificar cada planta antes de volver a exportar a EE. UU. Las retenciones voluntarias, que debían terminar en el segundo semestre de FY2027, se alargaron a FY2028. Mientras, en China las compras centralizadas dieron el 40 % de los concursos de endoscopios a SonoScape y Aohua, y Olympus bajó precios. El margen ajustado se quedó en el 14-15 %, lejos del 17 % que pedía el plan, y la dirección, por cuarto año seguido, no cumplió la guía. La empresa siguió recomprando acciones con deuda, S&amp;P la bajó a BBB y la endoscopia quirúrgica se vendió con pérdidas. El mercado pasó a pagar 8x EBITDA, como Fujifilm. Lo habría anticipado: que los productos retenidos no volvieran en el segundo semestre de FY2027 y que el margen ajustado del 2T FY2027 quedara por debajo del 15 %.</w:t>
      </w:r>
    </w:p>
    <w:p>
      <w:pPr>
        <w:pStyle w:val="Heading1"/>
      </w:pPr>
      <w:r>
        <w:t xml:space="preserve">26. ESG y controversias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S&amp;P Global (Dow Jones Sustainability World Index)</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Incluida en el índice DJSI World en FY2023, FY2024 y FY2025</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2025-07</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S&amp;P Global (Dow Jones Sustainability Asia Pacific Index)</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Incluida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2025-07</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FTSE Russell (FTSE4Good Index Series)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Incluida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2025-07</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FTSE Russell (FTSE Blossom Japan Index y Sector Relative Index)</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Incluida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2025-07</w:t>
            </w:r>
          </w:p>
        </w:tc>
      </w:tr>
    </w:tbl>
    <w:p>
      <w:pPr>
        <w:spacing w:after="160" w:before="0"/>
      </w:pPr>
    </w:p>
    <w:p>
      <w:pPr>
        <w:pStyle w:val="Heading2"/>
      </w:pPr>
      <w:r>
        <w:t xml:space="preserve">Asuntos materiales</w:t>
      </w:r>
    </w:p>
    <w:p>
      <w:pPr>
        <w:spacing w:after="100"/>
      </w:pPr>
      <w:r>
        <w:rPr>
          <w:b/>
        </w:rPr>
        <w:t xml:space="preserve">Seguridad del paciente y calidad del producto</w:t>
      </w:r>
      <w:r>
        <w:t xml:space="preserve"> es el asunto que mueve las cifras: el proyecto Elevate prevé unos 80.000 M JPY de inversión entre FY2024 y FY2026 para cumplir los compromisos con la FDA [18] (solo en el 1T FY2026, 2.425 M JPY de gastos de calidad en tramitación de reclamaciones, notificación de incidentes y validación de procesos [11]), y las alertas de importación y retenciones voluntarias costaron unos 30.000 M JPY de ventas netas en FY2026 y 13.000 M JPY en el 1T FY2027 [9, 10]. El segundo es el </w:t>
      </w:r>
      <w:r>
        <w:rPr>
          <w:b/>
        </w:rPr>
        <w:t xml:space="preserve">riesgo de infección del reprocesado</w:t>
      </w:r>
      <w:r>
        <w:t xml:space="preserve"> de endoscopios reutilizables, origen de las sanciones por duodenoscopios y del empuje del desechable [26, 32]. El tercero es la </w:t>
      </w:r>
      <w:r>
        <w:rPr>
          <w:b/>
        </w:rPr>
        <w:t xml:space="preserve">ética comercial</w:t>
      </w:r>
      <w:r>
        <w:t xml:space="preserve">: el acuerdo de 2016 con el Departamento de Justicia por pagos a médicos y la campaña anticorrupción en hospitales chinos desde 2023 [18, 25]. La remuneración variable de los directivos incluye la inclusión en el DJSI como indicador [18].</w:t>
      </w:r>
    </w:p>
    <w:p>
      <w:pPr>
        <w:pStyle w:val="Heading2"/>
      </w:pPr>
      <w:r>
        <w:t xml:space="preserve">Controversias</w:t>
      </w:r>
    </w:p>
    <w:p>
      <w:pPr>
        <w:spacing w:after="100"/>
      </w:pPr>
      <w:r>
        <w:t xml:space="preserve">Cartas de advertencia de la FDA a Aizu (2-nov-2022), Hachioji (12-dic-2022) e Hinode (15-mar-2023) [21, 22, 23]; alerta de importación 89-04 sobre productos de Aizu desde el 24-jun-2025, vigente en la versión del 19-ago-2026 [19, 20]; inspecciones de ocho plantas a finales de 2025, retenciones voluntarias y una provisión de 2.400 M JPY por la retirada de ciertos dispositivos quirúrgicos [13]. No consta un decreto de consentimiento. Antes: culpabilidad en 2018 por no notificar infecciones de duodenoscopios (80 M USD de multa y 5 M USD de decomiso) [26] y acuerdo de enjuiciamiento diferido de 2016 por sobornos a médicos y hospitales (612 M USD más intereses en la parte estadounidense) [25].</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FDA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¿Cuándo espera la reinspección de Aizu y qué productos siguen retenidos a 30 de septiembre? ¿Hay alguna conversación sobre un decreto de consentimiento?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variable que separa el escenario base del bajista (−39 %).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los 31.500 M de otros gastos guiados para FY2027 es el programa de plantilla y qué parte se repetirá (calidad, deterioros de desarrollo)?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otros gastos se repiten cada año (57.535 M en FY2026); el margen del DCF los incluye.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opciones contempla la revisión estratégica de la endoscopia quirúrgica, y cuál es su margen sin las retenciones?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SIS perdió 14.986 M en FY2026 y su fondo de comercio (179.576 M) es el asunto clave de la auditoría.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 los 25.000 M de efecto bruto de los aranceles de EE. UU. se puede trasladar a precios o mitigar con producción local en FY2028?</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Explica casi 2 puntos de margen de diferencia entre FY2025 y el estado estacionario del DCF.</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cuota de las compras centralizadas de endoscopios ha ganado o perdido Olympus en 2026 y con qué descuento de precio?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 es el 8,2 % de las ventas y los locales ya tienen el 20-30 % de su mercado.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recomprar con deuda (la deuda neta pasó de 51.538 M a 200.347 M en un trimestre) con S&amp;P en perspectiva negativa?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compras recientes destruyeron valor: Veran se perdió entera y Taewoong se rescindió.</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Desarrollo capitalizado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qué sube la capitalización de I+D del 13,8 % al 19,8 % del gasto mientras se deterioran 10.150 M de activos de desarrollo?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Infla el EBITDA y el margen ajustado.</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17 de 24 controles correctos y 5 explicados. Fuentes: 84 (58 primarias); citas distintas en el texto: 84.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BAI − impuestos − minoritarios = beneficio neto (FY2022)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Diferencia de -5.343 (¿operaciones interrumpidas?). Explicación: La diferencia (5.343 M) es el resultado de operaciones interrumpidas (negocio científico y ortopedia), que la empresa suma al beneficio atribuido; la cuenta recoge solo operaciones continuadas.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BAI − impuestos − minoritarios = beneficio neto (FY2023)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Diferencia de -5.623 (¿operaciones interrumpidas?). Explicación: La diferencia (5.623 M) es el resultado de operaciones interrumpidas, como en FY2022.</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BAI − impuestos − minoritarios = beneficio neto (FY2024)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Diferencia de -207.864 (¿operaciones interrumpidas?). Explicación: La diferencia (207.864 M) es el resultado de operaciones interrumpidas, casi todo la plusvalía de la venta de Evident a Bain (349.037 M antes de impuestos); por eso FY2024 se excluye de los múltiplos históricos.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del capital nuevo de la proyección ≤ 1,25 × el histórico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proyección supone que la inversión nueva rinde un 30,9 % frente a un ROIC de 7,9 % y un incremental histórico de -19,2 %: crecimiento que la empresa no ha demostrado poder comprar. Explicación: El motor mide el aumento del NOPAT desde FY2026, un año deprimido por partidas que no se repiten (26.872 M del programa de plantilla, unos 30.000 M de ventas retenidas por la FDA, 18.000 M de aranceles y las pérdidas de SIS), y el ROIC incremental histórico es negativo por la venta de Evident y esas mismas partidas. La vuelta del margen hasta el 20,4 % de FY2027e es la guía de la empresa y el consenso [10, 11, 59], no rendimiento de capital nuevo. Medido desde FY2025 (NOPAT de unos 118.500 M y ROIC del 15,1 %), el capital nuevo rinde en torno al 16 %, por debajo de 1,25 veces ese ROIC. El margen final se limitó al 22,7 % de FY2025 para no pedir más de lo demostrado.</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35,0 % frente a 35,9 % real: genera una variación de circulante de 11.682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66 %.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Caja proyectada coherente con la histórica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DCF proyecta 82.294 M de flujo libre medio en sus tres primeros años, frente a 20.809 M de media real en los tres últimos: justifica el salto (circulante, inversión, márgenes) o ajusta los supuestos. Explicación: El flujo libre medio de FY2024-FY2026 está hundido por partidas que no se repiten al mismo ritmo: la retirada de Veran (51.886 M), los impuestos de la venta de Evident, el programa de plantilla (26.872 M en FY2026), unos 30.000 M de ventas perdidas por la FDA y los aranceles. En FY2022 y FY2025, sin esas partidas, el flujo libre fue de 90.267 M y 105.952 M; la proyección de los tres primeros años está en esa franja.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BPA base de FY2029e (120,10) supone un 25,2 % anual desde 61,20 (FY2026): explícalo en valoracion.objetivo_12m.comentario o la confianza es baja.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regla da «Mantener» y el análisis recomienda «Vender»: hace falta «justificacion_recomendacion».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frente a la sugerida por los criterios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criterios dan «Media» (no llega a Alta: rentabilidad del -3,4 % (&gt; −20 %); con la prima del mercado, -3,0 % (&gt; −15 %); el precio pide 0,8 puntos más de crecimiento que el caso base (&lt; 5)) y el análisis pone «Baja»: explica en la síntesis por qué te apartas.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84 fuentes (58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58.</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28. Sentimiento en foros y comentarios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Segmentos GIS y SIS de FY2022 a FY2024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Cuadernos de datos de FY2024 a FY2026: solo FY2025 reexpresado en GIS y SIS; 2) Annual Securities Report FY2026: nota de segmentos con FY2025 y FY2026; 3) informe integrado 2025: segmentos antiguos ESD y TSD, sin reexpresar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Comparación con el consenso de cada trimestre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Presentaciones de resultados: no citan consenso; 2) web de inversores: sin página de consenso; 3) búsqueda web descartada para ahorrar el cupo compartido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BPA de los trimestres intermedios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Cuadernos de datos: no dan BPA; 2) presentaciones: dan BPA ajustado acumulado, no trimestral publicado; 3) solo se descargaron los tanshin del 4T FY2026 y 1T FY2027</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Preguntas de analistas en las conferencias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Página de resultados de la web de inversores: solo tanshin, datos y presentación; 2) rutas habituales de preguntas y respuestas en la web: no existen; 3) búsqueda web descartada para ahorrar el cupo compartido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Vida media de la deuda y calendario detallado de préstamos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18 del Annual Securities Report FY2026: préstamos de 104.860 M con vencimientos de agosto de 2027 a mayo de 2035, sin desglose; 2) nota de riesgo de liquidez: solo menos y más de un año; 3) no se puede derivar sin el desglose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Precio de Arc Medical y múltiplos de las compras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de combinaciones de negocios de los Annual Securities Report FY2023-FY2026: no aparece Arc Medical; 2) los anuncios de compra no publican EBITDA; 3) las adquiridas tenían EBITDA negativo o no publicado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conjunta de los cinco primeros (CR5) en endoscopia GI</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integrado 2025 de Olympus: solo da su propia cuota (alrededor del 70 %); 2) iData Research y búsqueda de informes sectoriales: ordenan a los tres primeros sin porcentajes; 3) cuentas de Fujifilm y Hoya: no publican cuota en endoscopia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Crecimiento histórico del mercado de endoscopia GI (cinco años)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integrado 2025 de Olympus: solo previsión 4-6 % para FY2025-FY2028; 2) iData Research: solo tamaño de 2025 y previsión al 3,4 %; 3) búsqueda de series históricas de mercado: las fuentes gratuitas no publican la serie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y margen de Karl Storz</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de Stryker: solo la cita entre los líderes de endoscopia; 2) sociedad no cotizada, sin cuentas en registros bursátiles; 3) iData Research: no la incluye entre los tres primeros en endoscopia GI ni da sus cifras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Margen operativo de SonoScape y Aohua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de Huachuang Securities sobre sus cuentas de 2025: solo ingresos y beneficio neto; 2) búsqueda del informe anual en chino: resultados de prensa y analistas sin beneficio operativo; 3) no se puede derivar sin la cuenta completa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mercado de cada competidor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iData Research: ordena sin porcentajes; 2) cuentas de Fujifilm, Hoya y Boston Scientific: no publican cuota en endoscopia GI; 3) prensa china: solo la cuota conjunta de los fabricantes nacionales (20-30 %)</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 con nota (MSCI, Sustainalytics, CDP)</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integrado 2025: solo la inclusión en índices DJSI y FTSE; 2) sección de gobierno del mismo informe: la remuneración variable usa solo el DJSI; 3) presentaciones de resultados de FY2026 y del 1T FY2027: no citan calificaciones ESG</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Operaciones de consejeros y directivos en los últimos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Japón no tiene un registro público de operaciones de directivos equivalente al de la CNMV o al Form 4; 2) los avisos de participación significativa solo afectan a tenedores de más del 5 %, y el informe de valores de FY2026 y la convocatoria de 2026 solo dan las acciones de cada consejero a 31 de marzo de 2026, sin movimientos; 3) las únicas entregas documentadas son las del plan de acciones (403.525 acciones a ejecutivos y 21.050 a consejeros externos en FY2026), que no son compras ni ventas en mercado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Participación actual de ValueAct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Convocatoria de 2026 y lista de los diez mayores accionistas: confirma que ValueAct Capital Master Fund es accionista, sin porcentaje; 2) informe de gobierno corporativo e informe de valores: ningún aviso vigente de participación significativa de ValueAct; 3) búsqueda en prensa: solo hay datos de 2018-2021 (5,04 % al entrar y ventas parciales a finales de 2020)</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Votos a favor y en contra de la remuneración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Informes extraordinarios de resultados de las juntas de 2024, 2025 y 2026: el único punto del orden del día fue la elección de consejeros; 2) convocatorias de 2024 y 2026: la remuneración la fija la comisión de remuneración, sin voto consultivo; 3) en su lugar se usa el voto más bajo a la elección del presidente o del consejero delegado (70,27 % a Sumitaka Fujita en 2024)</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Revisiones de las estimaciones a 3 y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Página de consenso de MarketScreener: solo recomendación y precios objetivo; 2) página de revisiones de MarketScreener: solo gráficos sin cifras; 3) Minkabu (consenso japonés): acceso denegado, e Investing.com no publica la evolución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ROIC de los comparables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Tablas financieras de MarketScreener de cada empresa: solo ROE y ROA; 2) fichas de cotización de MarketScreener: sin ROIC; 3) derivarlo exige capital invertido de cada balance, no disponible con el mismo criterio para las nueve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Múltiplo de EBITDA de Evident, Cantel, Axonics e Inari</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Comunicados de la operación (Olympus, STERIS, Boston Scientific, Stryker): no dan EBITDA; 2) informe anual de Olympus de 2023: resultado de la actividad interrumpida sin amortizaciones; 3) resultados trimestrales de Inari: EBITDA no relevante (pérdidas operativas)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Annual Securities Report FY2026 (158.º ejercicio, cerrado el 31-mar-2026)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Olympus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18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https://www.olympus-global.com/ir/data/pdf/annual_fy2026_en.pdf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Annual Securities Report FY2025 (157.º ejercicio, cerrado el 31-mar-2025)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Olympus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https://www.olympus-global.com/ir/data/pdf/annual_fy2025_en.pdf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Securities Report FY2024 (156.º ejercicio, cerrado el 31-mar-2024)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https://www.olympus-global.com/ir/data/pdf/annual_fy2024_en.pdf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Securities Report FY2023 (155.º ejercicio), versión corregida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sep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https://www.olympus-global.com/ir/data/pdf/annual155PA_en.pdf?230919a.pdf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Data for FY2026 (cuaderno de datos del 4T)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https://www.olympus-global.com/ir/data/brief/pdf/02_data_Q4FY2026_en.pdf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Data for FY2025 (cuaderno de datos del 4T)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https://www.olympus-global.com/ir/data/brief/pdf/02_data_Q4FY2025_en.pdf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Data for FY2024 (cuaderno de datos del 4T)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https://www.olympus-global.com/ir/data/brief/pdf/02_data_Q4FY2024_en.pdf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Data for the 1st Quarter of FY2027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https://www.olympus-global.com/ir/data/brief/pdf/02_data_Q1FY2027_en.pdf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Presentation Materials for the 1st Quarter of FY2027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https://www.olympus-global.com/ir/data/brief/pdf/03_presentation_Q1FY2027_en.pdf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Presentation Materials for FY2026 (resultados anuales)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https://www.olympus-global.com/ir/data/brief/pdf/03_presentation_Q4FY2026_en.pdf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Results (Tanshin) for the 1st Quarter of FY2027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https://www.olympus-global.com/ir/data/brief/pdf/01_tanshin_Q1FY2027_en.pdf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Notice Regarding Acquisition of BioProtect Ltd.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https://www.olympus-global.com/ir/data/announcement/2026/contents/ir00010.pdf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Presentation Materials for the 3rd Quarter of FY2026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https://www.olympus-global.com/ir/data/brief/pdf/03_presentation_Q3FY2026_en.pdf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Presentation Materials for the 2nd Quarter of FY2026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https://www.olympus-global.com/ir/data/brief/pdf/03_presentation_Q2FY2026_en.pdf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Presentation Materials for the 1st Quarter of FY2026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https://www.olympus-global.com/ir/data/brief/pdf/03_presentation_Q1FY2026_en.pdf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Presentation Materials for FY2025 (resultados anuales)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https://www.olympus-global.com/ir/data/brief/pdf/03_presentation_Q4FY2025_en.pdf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Notice Regarding Completion of Acquisition of BioProtect Ltd.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https://www.olympus-global.com/ir/data/announcement/2026/contents/ir00011.pdf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Integrated Report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https://www.olympus-global.com/ir/data/integratedreport/pdf/integrated_report_2025e_web.pdf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Import Alerts for Certain Olympus Medical Devices Manufactured in Japan - Letter to Health Care Providers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Food and Drug Administration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https://www.fda.gov/medical-devices/letters-health-care-providers/import-alerts-certain-olympus-medical-devices-manufactured-japan-letter-health-care-providers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Import Alert 89-04: Detention Without Physical Examination of Devices from Firms that Have not met Device Quality System Requirements (versión publicada el 19-ago-2026)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Food and Drug Administration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https://www.accessdata.fda.gov/cms_ia/importalert_241.html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Warning Letter, Aizu Olympus Co., Ltd. (MARCS-CMS 643172)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Food and Drug Administration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nov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https://www.fda.gov/inspections-compliance-enforcement-and-criminal-investigations/warning-letters/aizu-olympus-co-ltd-643172-11022022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Warning Letter, Olympus Medical Systems Corporation, Hachioji (MARCS-CMS 649726)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Food and Drug Administration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dic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https://www.fda.gov/inspections-compliance-enforcement-and-criminal-investigations/warning-letters/olympus-medical-systems-corporation-649726-12122022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Warning Letter, Olympus Medical Systems Corp., Hinode (MARCS-CMS 654013)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Food and Drug Administration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mar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https://www.fda.gov/inspections-compliance-enforcement-and-criminal-investigations/warning-letters/olympus-medical-systems-corp-654013-03152023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says it will 'promptly address' FDA import alert concerns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MedTech Dive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https://www.medtechdive.com/news/Olympus-response-FDA-endoscopy-import-alert/751973/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Deferred Prosecution Agreement, United States v. Olympus Corporation of the Americas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Attorney's Office, District of New Jersey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2016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https://www.justice.gov/usao-nj/file/867021/dl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Plea Agreement with Olympus Medical Systems Corporation (caso 2:18-cr-00727)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Attorney's Office, District of New Jersey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nov 2018</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https://www.justice.gov/usao-nj/press-release/file/1118431/dl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Boston Scientific, Form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Boston Scientific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https://www.sec.gov/Archives/edgar/data/885725/000088572526000010/bsx-20251231.htm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Stryker Corporation, Form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Stryker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https://www.sec.gov/Archives/edgar/data/310764/000031076426000010/syk-20251231.htm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Form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https://www.sec.gov/Archives/edgar/data/1035267/000103526726000010/isrg-20251231.htm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FUJIFILM Holdings, 1st Quarter ended June 30, 2026 Earnings Presentation (incluye los trimestres del ejercicio FY2025)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FUJIFILM Holdings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https://ir.fujifilm.com/en/investors/ir-materials/earnings-presentations/main/01114/teaserItems2/0/linkList/0/link/ff_fy2026q1_001e.pdf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HOYA Corporation, Consolidated Financial Statements for the year ended 31 March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HOYA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https://www.hoya.com/wp-content/uploads/2026/07/Annual-Report-Final.pdf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Ambu A/S, Annual Report 2024/25 (anuncio a la bolsa)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Ambu A/S (vía Inderes)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https://www.inderes.fi/releases/annual-report-202425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开立医疗(300633) 2025年报&amp;2026年一季报点评</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Huachuang Securities (vía Gelonghui)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https://m.gelonghui.com/news/5239871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澳华内镜(688212) 2025年报&amp;2026年一季报点评</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Huachuang Securities (vía Gelonghui)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https://m.gelonghui.com/news/5239870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 foreign exchange reference rates (JPY, USD, DKK y CNY a 30-sep-2025, 31-dic-2025 y 31-mar-2026)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 (ECB Data Portal)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https://data.ecb.europa.eu/data/datasets/EXR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Medical progress rises to meet global standards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Shenzhen Government Online (China Daily)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https://www.sz.gov.cn/en_szgov/business/news/content/post_12283546.html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Gastrointestinal Endoscope Market Size, Share &amp; Trends Analysis, Global, 2025-2032 (MedCore)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iData Research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https://idataresearch.com/product/gastrointestinal-endoscopes-market-report/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Corporate Governance Report (actualizado a 29 de septiembre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https://www.olympus-global.com/company/governance/pdf/governance_report_sep_29_2026_en.pdf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Notice Regarding the Convocation of the General Meeting of Shareholders for the Fiscal Year Ended March 31,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https://www.olympus-global.com/ir/stock/pdf/meetingFY2026_01.pdf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Extraordinary Report (Results of the Exercise of Voting Rights), junta de 25 de junio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https://www.olympus-global.com/ir/stock/pdf/meetingFY2026_03.pdf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Extraordinary Report (Results of the Exercise of Voting Rights), junta de 26 de junio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https://www.olympus-global.com/ir/stock/pdf/meetingFY2025_03.pdf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Extraordinary Report (Results of the Exercise of Voting Rights), junta de 26 de junio de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jun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https://www.olympus-global.com/ir/stock/pdf/meetingFY2024_03.pdf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de valores (有価証券報告書), 158.º ejercicio (FY2026)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https://www.olympus.co.jp/ir/data/pdf/annual_fy2026_jp.pdf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Notice Regarding the Resignation of an Outside Director and a Change in the Composition of the Compensation Committee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https://www.olympus-global.com/ir/data/announcement/2026/contents/ir00013.pdf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Notice Concerning Change of Executive Officer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https://www.olympus-global.com/ir/data/announcement/2026/contents/ir00012.pdf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Integrated Report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https://www.olympus-global.com/ir/data/integratedreport/pdf/integrated_report_2025e_web.pdf?pd=f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Results (Tanshin) for the Fiscal Year Ended March 31,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https://www.olympus-global.com/ir/data/brief/pdf/01_tanshin_Q4FY2026_en.pdf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Results (Tanshin) for the Fiscal Year Ended March 31,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may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https://www.olympus-global.com/ir/data/brief/pdf/Olympus_FY2021_Consolidated_Financial_Results_E.pdf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Results (Tanshin) for the Fiscal Year Ended March 31,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may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https://www.olympus-global.com/ir/data/brief/pdf/01_tanshin_Q4FY2022_en.pdf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Results (Tanshin) for the Fiscal Year Ended March 31,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may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https://www.olympus-global.com/ir/data/brief/pdf/01_tanshin_Q4FY2023_en.pdf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Results (Tanshin) for the Fiscal Year Ended March 31,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https://www.olympus-global.com/ir/data/brief/pdf/01_tanshin_Q4FY2024_en.pdf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Results (Tanshin) for the Fiscal Year Ended March 31,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https://www.olympus-global.com/ir/data/brief/pdf/01_tanshin_Q4FY2025_en.pdf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CEO resigns over alleged purchase of illegal drugs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 Jazeera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https://www.aljazeera.com/economy/2024/10/28/olympus-ceo-resigns-over-alleged-purchase-of-illegal-drugs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Appoints New CEO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https://medical.olympusamerica.com/node/3583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files revised earnings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 Jazeera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dic 2011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https://www.aljazeera.com/economy/2011/12/14/olympus-files-revised-earnings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Notice Regarding the Convocation of the General Meeting of Shareholders for the Fiscal Year Ended March 31,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jun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https://www.olympus-global.com/ir/stock/pdf/meetingFY2024_01.pdf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Notice Regarding Result of Share Repurchase through ToSTNeT-3, Completion of Share Repurchase and Cancellation of Treasury Shares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https://www.olympus-global.com/ir/data/announcement/2026/contents/ir00009.pdf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Cotizaciones históricas diarias de 7733.T, 1305.T (ETF del TOPIX) e IHI (ETF de tecnología médica de EE. UU.)</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https://finance.yahoo.com/quote/7733.T/history/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Corporation: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https://www.marketscreener.com/quote/stock/OLYMPUS-CORPORATION-6491236/finances/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Corporation: Target Price Consensus and Analysts Recommendations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https://www.marketscreener.com/quote/stock/OLYMPUS-CORPORATION-6491236/consensus/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Corp. (7733) analyst consensus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https://www.investing.com/equities/olympus-corp.-consensus-estimates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Interest Rate (October 2026): JGB yield curve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Ministry of Finance Japan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https://www.mof.go.jp/english/policy/jgbs/reference/interest_rate/jgbcme.csv</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USD/JPY (JPY=X): cotizaciones diarias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https://finance.yahoo.com/quote/JPY=X/history/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HOYA Corporation: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https://www.marketscreener.com/quote/stock/HOYA-CORPORATION-6491345/finances/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FUJIFILM Holdings Corporation: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https://www.marketscreener.com/quote/stock/FUJIFILM-HOLDINGS-CORPORA-6492326/finances/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Terumo Corporation: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https://www.marketscreener.com/quote/stock/TERUMO-CORPORATION-6491240/finances/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Sysmex Corporation: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https://www.marketscreener.com/quote/stock/SYSMEX-CORPORATION-6492200/finances/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Boston Scientific Corporation: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https://www.marketscreener.com/quote/stock/BOSTON-SCIENTIFIC-CORPORA-11935/finances/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Medtronic plc: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https://www.marketscreener.com/quote/stock/MEDTRONIC-PLC-20661655/finances/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Stryker Corporation: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https://www.marketscreener.com/quote/stock/STRYKER-CORPORATION-14536/finances/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Inc.: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https://www.marketscreener.com/quote/stock/INTUITIVE-SURGICAL-INC-9740/finances/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Smith &amp; Nephew plc: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https://www.marketscreener.com/quote/stock/SMITH-NEPHEW-PLC-9590181/finances/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STERIS to Combine with Cantel Medical (press release, Form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STERIS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ene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https://www.sec.gov/Archives/edgar/data/1757898/000114036121000965/nc10018867x1_ex99-1.htm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Boston Scientific announces agreement to acquire Axonics, Inc. (Form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Boston Scientific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ene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https://www.sec.gov/Archives/edgar/data/885725/000088572524000003/pressreleasedatedjanuary82.htm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Stryker to acquire Inari Medical (Form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Inari Medical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https://www.sec.gov/Archives/edgar/data/1531048/000119312525002249/d871947dex991.htm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Inari Medical reports third quarter 2024 financial results (Form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Inari Medical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https://www.sec.gov/Archives/edgar/data/1531048/000153104824000058/nari-20240930xex991xpressr.htm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Johnson &amp; Johnson to acquire Shockwave Medical (Form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Shockwave Medical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abr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https://www.sec.gov/Archives/edgar/data/1642545/000119312524087890/d819714dex991.htm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Shockwave Medical Reports Fourth Quarter and Full Year 2023 Financial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Shockwave Medical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https://www.sec.gov/Archives/edgar/data/1642545/000117184324000832/exh_991.htm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Hologic enters into definitive agreement to be acquired by Blackstone and TPG (Form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Hologic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https://www.sec.gov/Archives/edgar/data/859737/000119312525244423/d72397dex991.htm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Hologic Announces Financial Results for Fourth Quarter of Fiscal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Hologic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https://www.sec.gov/Archives/edgar/data/859737/000114036125040182/ef20058177_ex99-1.htm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Corporation Stock (7733) - Quote Japan Exchange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https://www.marketscreener.com/quote/stock/OLYMPUS-CORPORATION-6491236/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fila de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Country Default Spreads and Risk Premiums (ctryprem.xlsx), enero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https://pages.stern.nyu.edu/~adamodar/pc/datasets/ctryprem.xlsx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Betas by Sector: Japan y Global (betaJapan.xls, betaGlobal.xls), enero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https://pages.stern.nyu.edu/~adamodar/pc/datasets/betaJapan.xls</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85,8 %</w:t>
      </w:r>
      <w:r>
        <w:t xml:space="preserve"> · Secciones con menos del 60 % de campos cubiertos: </w:t>
      </w:r>
      <w:r>
        <w:rPr>
          <w:b/>
          <w:bCs/>
        </w:rPr>
        <w:t xml:space="preserve">sentimiento</w:t>
      </w:r>
      <w:r>
        <w:t xml:space="preserve"> · Generado el 14 oct 2026.</w:t>
      </w:r>
    </w:p>
    <w:p>
      <w:pPr>
        <w:pStyle w:val="Nota"/>
        <w:spacing w:after="100"/>
      </w:pPr>
      <w:r>
        <w:t xml:space="preserve">Línea cotizada: Bolsa de Tokio (TSE Prime, 7733); no hay ADR patrocinado relevante. Todo en millones de JPY; los comparables en otras divisas se pasan a yenes al tipo de la fecha de corte (158,30 JPY/USD) y los competidores al tipo de cierre de su ejercicio. Olympus nombra el ejercicio por el año en que termina: FY2026 va de abril de 2025 a marzo de 2026. La cuenta empieza en FY2022: la empresa no ha reexpresado FY2017-FY2021 sin cámaras ni el negocio científico (Evident), y mezclarlos falsearía márgenes y crecimientos. FY2022 y FY2023 son operaciones continuadas reexpresadas; el beneficio neto atribuido incluye las operaciones interrumpidas (sobre todo la plusvalía de Evident en FY2024). Los segmentos vigentes (GIS y SIS) solo tienen FY2025 y FY2026 reexpresados. Olympus no publica transcripciones de sus conferencias ni hay registro público de operaciones de directivos en Japón. El consenso sale de MarketScreener (14 analistas), contrastado con Investing en recomendaciones y precio objetivo. El cierre del 9-oct-2026 (2.000 JPY) es el de la sesión de Tokio, ya cerrada a la hora de corte.</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9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Olympus Corporation (7733)</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(JPY) · precio actual 2.000,00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(1.302,50 – 2.210,50)</c:v>
                </c:pt>
                <c:pt idx="1">
                  <c:v>Precio objetivo de los analistas (1.800,00 – 3.300,00)</c:v>
                </c:pt>
                <c:pt idx="2">
                  <c:v>Comparables: EV/EBITDA NTM (1.902,48 – 2.729,99)</c:v>
                </c:pt>
                <c:pt idx="3">
                  <c:v>Comparables: PER NTM (1.755,40 – 2.680,98)</c:v>
                </c:pt>
                <c:pt idx="4">
                  <c:v>DCF (WACC y g ± 0,5) (1.600,10 – 2.353,52)</c:v>
                </c:pt>
                <c:pt idx="5">
                  <c:v>Escenarios (bajista – alcista) (1.183,91 – 2.357,32)</c:v>
                </c:pt>
                <c:pt idx="6">
                  <c:v>DCF con la prima implícita del mercado (4,2 %)</c:v>
                </c:pt>
                <c:pt idx="7">
                  <c:v>Precio actual (2.000,00)</c:v>
                </c:pt>
              </c:strCache>
            </c:strRef>
          </c:cat>
          <c:val>
            <c:numRef>
              <c:f>Hoja1!$B$2:$B$9</c:f>
              <c:numCache>
                <c:formatCode>#,##0</c:formatCode>
                <c:ptCount val="8"/>
                <c:pt idx="0">
                  <c:v>1302.5</c:v>
                </c:pt>
                <c:pt idx="1">
                  <c:v>1800</c:v>
                </c:pt>
                <c:pt idx="2">
                  <c:v>1902.48</c:v>
                </c:pt>
                <c:pt idx="3">
                  <c:v>1755.4</c:v>
                </c:pt>
                <c:pt idx="4">
                  <c:v>1600.1</c:v>
                </c:pt>
                <c:pt idx="5">
                  <c:v>1183.91</c:v>
                </c:pt>
                <c:pt idx="6">
                  <c:v>1715.95</c:v>
                </c:pt>
                <c:pt idx="7">
                  <c:v>1990</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(1.302,50 – 2.210,50)</c:v>
                </c:pt>
                <c:pt idx="1">
                  <c:v>Precio objetivo de los analistas (1.800,00 – 3.300,00)</c:v>
                </c:pt>
                <c:pt idx="2">
                  <c:v>Comparables: EV/EBITDA NTM (1.902,48 – 2.729,99)</c:v>
                </c:pt>
                <c:pt idx="3">
                  <c:v>Comparables: PER NTM (1.755,40 – 2.680,98)</c:v>
                </c:pt>
                <c:pt idx="4">
                  <c:v>DCF (WACC y g ± 0,5) (1.600,10 – 2.353,52)</c:v>
                </c:pt>
                <c:pt idx="5">
                  <c:v>Escenarios (bajista – alcista) (1.183,91 – 2.357,32)</c:v>
                </c:pt>
                <c:pt idx="6">
                  <c:v>DCF con la prima implícita del mercado (4,2 %)</c:v>
                </c:pt>
                <c:pt idx="7">
                  <c:v>Precio actual (2.000,00)</c:v>
                </c:pt>
              </c:strCache>
            </c:strRef>
          </c:cat>
          <c:val>
            <c:numRef>
              <c:f>Hoja1!$C$2:$C$9</c:f>
              <c:numCache>
                <c:formatCode>#,##0</c:formatCode>
                <c:ptCount val="8"/>
                <c:pt idx="0">
                  <c:v>908</c:v>
                </c:pt>
                <c:pt idx="1">
                  <c:v>1500</c:v>
                </c:pt>
                <c:pt idx="2">
                  <c:v>827.5099999999998</c:v>
                </c:pt>
                <c:pt idx="3">
                  <c:v>925.5799999999999</c:v>
                </c:pt>
                <c:pt idx="4">
                  <c:v>753.4200000000001</c:v>
                </c:pt>
                <c:pt idx="5">
                  <c:v>1173.41</c:v>
                </c:pt>
                <c:pt idx="6">
                  <c:v>443.9399999999998</c:v>
                </c:pt>
                <c:pt idx="7">
                  <c:v>20</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(JPY, millones)</a:t>
            </a:r>
          </a:p>
        </c:rich>
      </c:tx>
      <c:overlay val="0"/>
    </c:title>
    <c:autoTitleDeleted val="0"/>
    <c:plotArea>
      <c:layout/>
      <c:barChart>
        <c:barDir val="col"/>
        <c:grouping val="stacked"/>
        <c:varyColors val="0"/>
        <c:ser>
          <c:idx val="0"/>
          <c:order val="0"/>
          <c:tx>
            <c:strRef>
              <c:f>Hoja1!$B$1</c:f>
              <c:strCache>
                <c:ptCount val="1"/>
                <c:pt idx="0">
                  <c:v>GIS (Gastrointestinal Solutions)</c:v>
                </c:pt>
              </c:strCache>
            </c:strRef>
          </c:tx>
          <c:spPr>
            <a:solidFill>
              <a:srgbClr val="2A78D6"/>
            </a:solidFill>
            <a:ln w="12700">
              <a:solidFill>
                <a:srgbClr val="FFFFFF"/>
              </a:solidFill>
            </a:ln>
          </c:spPr>
          <c:invertIfNegative val="0"/>
          <c:cat>
            <c:strRef>
              <c:f>Hoja1!$A$2:$A$3</c:f>
              <c:strCache>
                <c:ptCount val="2"/>
                <c:pt idx="0">
                  <c:v>FY2025</c:v>
                </c:pt>
                <c:pt idx="1">
                  <c:v>FY2026</c:v>
                </c:pt>
              </c:strCache>
            </c:strRef>
          </c:cat>
          <c:val>
            <c:numRef>
              <c:f>Hoja1!$B$2:$B$3</c:f>
              <c:numCache>
                <c:formatCode>#,##0</c:formatCode>
                <c:ptCount val="2"/>
                <c:pt idx="0">
                  <c:v>674043</c:v>
                </c:pt>
                <c:pt idx="1">
                  <c:v>697359</c:v>
                </c:pt>
              </c:numCache>
            </c:numRef>
          </c:val>
        </c:ser>
        <c:ser>
          <c:idx val="1"/>
          <c:order val="1"/>
          <c:tx>
            <c:strRef>
              <c:f>Hoja1!$C$1</c:f>
              <c:strCache>
                <c:ptCount val="1"/>
                <c:pt idx="0">
                  <c:v>SIS (Surgical and Interventional Solutions)</c:v>
                </c:pt>
              </c:strCache>
            </c:strRef>
          </c:tx>
          <c:spPr>
            <a:solidFill>
              <a:srgbClr val="EB6834"/>
            </a:solidFill>
            <a:ln w="12700">
              <a:solidFill>
                <a:srgbClr val="FFFFFF"/>
              </a:solidFill>
            </a:ln>
          </c:spPr>
          <c:invertIfNegative val="0"/>
          <c:cat>
            <c:strRef>
              <c:f>Hoja1!$A$2:$A$3</c:f>
              <c:strCache>
                <c:ptCount val="2"/>
                <c:pt idx="0">
                  <c:v>FY2025</c:v>
                </c:pt>
                <c:pt idx="1">
                  <c:v>FY2026</c:v>
                </c:pt>
              </c:strCache>
            </c:strRef>
          </c:cat>
          <c:val>
            <c:numRef>
              <c:f>Hoja1!$C$2:$C$3</c:f>
              <c:numCache>
                <c:formatCode>#,##0</c:formatCode>
                <c:ptCount val="2"/>
                <c:pt idx="0">
                  <c:v>322759</c:v>
                </c:pt>
                <c:pt idx="1">
                  <c:v>313109</c:v>
                </c:pt>
              </c:numCache>
            </c:numRef>
          </c:val>
        </c:ser>
        <c:ser>
          <c:idx val="2"/>
          <c:order val="2"/>
          <c:tx>
            <c:strRef>
              <c:f>Hoja1!$D$1</c:f>
              <c:strCache>
                <c:ptCount val="1"/>
                <c:pt idx="0">
                  <c:v>Corporativo, otros y eliminaciones</c:v>
                </c:pt>
              </c:strCache>
            </c:strRef>
          </c:tx>
          <c:spPr>
            <a:solidFill>
              <a:srgbClr val="1BAF7A"/>
            </a:solidFill>
            <a:ln w="12700">
              <a:solidFill>
                <a:srgbClr val="FFFFFF"/>
              </a:solidFill>
            </a:ln>
          </c:spPr>
          <c:invertIfNegative val="0"/>
          <c:cat>
            <c:strRef>
              <c:f>Hoja1!$A$2:$A$3</c:f>
              <c:strCache>
                <c:ptCount val="2"/>
                <c:pt idx="0">
                  <c:v>FY2025</c:v>
                </c:pt>
                <c:pt idx="1">
                  <c:v>FY2026</c:v>
                </c:pt>
              </c:strCache>
            </c:strRef>
          </c:cat>
          <c:val>
            <c:numRef>
              <c:f>Hoja1!$D$2:$D$3</c:f>
              <c:numCache>
                <c:formatCode>#,##0</c:formatCode>
                <c:ptCount val="2"/>
                <c:pt idx="0">
                  <c:v>530</c:v>
                </c:pt>
                <c:pt idx="1">
                  <c:v>208</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(FY2026)</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GIS (Gastrointestinal Solutions)</c:v>
                </c:pt>
                <c:pt idx="1">
                  <c:v>SIS (Surgical and Interventional Solutions)</c:v>
                </c:pt>
                <c:pt idx="2">
                  <c:v>Corporativo, otros y eliminaciones</c:v>
                </c:pt>
              </c:strCache>
            </c:strRef>
          </c:cat>
          <c:val>
            <c:numRef>
              <c:f>Hoja1!$B$2:$B$4</c:f>
              <c:numCache>
                <c:formatCode>General</c:formatCode>
                <c:ptCount val="3"/>
                <c:pt idx="0">
                  <c:v>69</c:v>
                </c:pt>
                <c:pt idx="1">
                  <c:v>31</c:v>
                </c:pt>
                <c:pt idx="2">
                  <c:v>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Japón</c:v>
                </c:pt>
                <c:pt idx="1">
                  <c:v>Norteamérica</c:v>
                </c:pt>
                <c:pt idx="2">
                  <c:v>Europa</c:v>
                </c:pt>
                <c:pt idx="3">
                  <c:v>China</c:v>
                </c:pt>
                <c:pt idx="4">
                  <c:v>Asia-Pacífico</c:v>
                </c:pt>
                <c:pt idx="5">
                  <c:v>Otros</c:v>
                </c:pt>
              </c:strCache>
            </c:strRef>
          </c:cat>
          <c:val>
            <c:numRef>
              <c:f>Hoja1!$B$2:$B$7</c:f>
              <c:numCache>
                <c:formatCode>0"%"</c:formatCode>
                <c:ptCount val="6"/>
                <c:pt idx="0">
                  <c:v>10.3</c:v>
                </c:pt>
                <c:pt idx="1">
                  <c:v>40.1</c:v>
                </c:pt>
                <c:pt idx="2">
                  <c:v>27.8</c:v>
                </c:pt>
                <c:pt idx="3">
                  <c:v>8.2</c:v>
                </c:pt>
                <c:pt idx="4">
                  <c:v>10.2</c:v>
                </c:pt>
                <c:pt idx="5">
                  <c:v>3.4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(2025, dato de iData; 2026e-2030e, estimación propia con la TCAC del 3,4 % que publica iData))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2025</c:v>
                </c:pt>
                <c:pt idx="1">
                  <c:v>2026e</c:v>
                </c:pt>
                <c:pt idx="2">
                  <c:v>2027e</c:v>
                </c:pt>
                <c:pt idx="3">
                  <c:v>2028e</c:v>
                </c:pt>
                <c:pt idx="4">
                  <c:v>2029e</c:v>
                </c:pt>
                <c:pt idx="5">
                  <c:v>2030e</c:v>
                </c:pt>
              </c:strCache>
            </c:strRef>
          </c:cat>
          <c:val>
            <c:numRef>
              <c:f>Hoja1!$B$2:$B$7</c:f>
              <c:numCache>
                <c:formatCode>#,##0</c:formatCode>
                <c:ptCount val="6"/>
                <c:pt idx="0">
                  <c:v>7700</c:v>
                </c:pt>
                <c:pt idx="1">
                  <c:v>7962</c:v>
                </c:pt>
                <c:pt idx="2">
                  <c:v>8233</c:v>
                </c:pt>
                <c:pt idx="3">
                  <c:v>8512</c:v>
                </c:pt>
                <c:pt idx="4">
                  <c:v>8802</c:v>
                </c:pt>
                <c:pt idx="5">
                  <c:v>9101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2</c:v>
                </c:pt>
                <c:pt idx="1">
                  <c:v>3</c:v>
                </c:pt>
                <c:pt idx="2">
                  <c:v>2</c:v>
                </c:pt>
                <c:pt idx="3">
                  <c:v>2</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Pt>
            <c:idx val="9"/>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Olympus</c:v>
                </c:pt>
                <c:pt idx="1">
                  <c:v>Fujifilm (Medical Systems)</c:v>
                </c:pt>
                <c:pt idx="2">
                  <c:v>Hoya (Pentax Medical)</c:v>
                </c:pt>
                <c:pt idx="3">
                  <c:v>Boston Scientific (Endoscopy)</c:v>
                </c:pt>
                <c:pt idx="4">
                  <c:v>Stryker (Endoscopy)</c:v>
                </c:pt>
                <c:pt idx="5">
                  <c:v>Intuitive Surgical</c:v>
                </c:pt>
                <c:pt idx="6">
                  <c:v>Ambu</c:v>
                </c:pt>
                <c:pt idx="7">
                  <c:v>SonoScape Medical</c:v>
                </c:pt>
                <c:pt idx="8">
                  <c:v>Aohua Endoscopy</c:v>
                </c:pt>
                <c:pt idx="9">
                  <c:v>Karl Storz</c:v>
                </c:pt>
              </c:strCache>
            </c:strRef>
          </c:cat>
          <c:val>
            <c:numRef>
              <c:f>Hoja1!$B$2:$B$11</c:f>
              <c:numCache>
                <c:formatCode>0.0"%"</c:formatCode>
                <c:ptCount val="10"/>
                <c:pt idx="0">
                  <c:v>9.3</c:v>
                </c:pt>
                <c:pt idx="1">
                  <c:v>5.8</c:v>
                </c:pt>
                <c:pt idx="2">
                  <c:v>21.9</c:v>
                </c:pt>
                <c:pt idx="3">
                  <c:v>33.2</c:v>
                </c:pt>
                <c:pt idx="4">
                  <c:v>29.9</c:v>
                </c:pt>
                <c:pt idx="5">
                  <c:v>29.3</c:v>
                </c:pt>
                <c:pt idx="6">
                  <c:v>13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2</c:v>
                </c:pt>
                <c:pt idx="1">
                  <c:v>4</c:v>
                </c:pt>
                <c:pt idx="2">
                  <c:v>4</c:v>
                </c:pt>
                <c:pt idx="3">
                  <c:v>2</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(JPY,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FY2022</c:v>
                </c:pt>
                <c:pt idx="1">
                  <c:v>FY2023</c:v>
                </c:pt>
                <c:pt idx="2">
                  <c:v>FY2024</c:v>
                </c:pt>
                <c:pt idx="3">
                  <c:v>FY2025</c:v>
                </c:pt>
                <c:pt idx="4">
                  <c:v>FY2026</c:v>
                </c:pt>
                <c:pt idx="5">
                  <c:v>FY2027e</c:v>
                </c:pt>
                <c:pt idx="6">
                  <c:v>FY2028e</c:v>
                </c:pt>
                <c:pt idx="7">
                  <c:v>FY2029e</c:v>
                </c:pt>
                <c:pt idx="8">
                  <c:v>FY2030e</c:v>
                </c:pt>
                <c:pt idx="9">
                  <c:v>FY2031e</c:v>
                </c:pt>
                <c:pt idx="10">
                  <c:v>FY2032e</c:v>
                </c:pt>
                <c:pt idx="11">
                  <c:v>FY2033e</c:v>
                </c:pt>
                <c:pt idx="12">
                  <c:v>FY2034e</c:v>
                </c:pt>
                <c:pt idx="13">
                  <c:v>FY2035e</c:v>
                </c:pt>
                <c:pt idx="14">
                  <c:v>FY2036e</c:v>
                </c:pt>
              </c:strCache>
            </c:strRef>
          </c:cat>
          <c:val>
            <c:numRef>
              <c:f>Hoja1!$B$2:$B$16</c:f>
              <c:numCache>
                <c:formatCode>#,##0</c:formatCode>
                <c:ptCount val="15"/>
                <c:pt idx="0">
                  <c:v>750123</c:v>
                </c:pt>
                <c:pt idx="1">
                  <c:v>881923</c:v>
                </c:pt>
                <c:pt idx="2">
                  <c:v>925752</c:v>
                </c:pt>
                <c:pt idx="3">
                  <c:v>997332</c:v>
                </c:pt>
                <c:pt idx="4">
                  <c:v>1010676</c:v>
                </c:pt>
                <c:pt idx="5">
                  <c:v>1071317</c:v>
                </c:pt>
                <c:pt idx="6">
                  <c:v>1114169</c:v>
                </c:pt>
                <c:pt idx="7">
                  <c:v>1164307</c:v>
                </c:pt>
                <c:pt idx="8">
                  <c:v>1216701</c:v>
                </c:pt>
                <c:pt idx="9">
                  <c:v>1265369</c:v>
                </c:pt>
                <c:pt idx="10">
                  <c:v>1309657</c:v>
                </c:pt>
                <c:pt idx="11">
                  <c:v>1348946</c:v>
                </c:pt>
                <c:pt idx="12">
                  <c:v>1382670</c:v>
                </c:pt>
                <c:pt idx="13">
                  <c:v>1417237</c:v>
                </c:pt>
                <c:pt idx="14">
                  <c:v>1445581</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FY2022</c:v>
                </c:pt>
                <c:pt idx="1">
                  <c:v>FY2023</c:v>
                </c:pt>
                <c:pt idx="2">
                  <c:v>FY2024</c:v>
                </c:pt>
                <c:pt idx="3">
                  <c:v>FY2025</c:v>
                </c:pt>
                <c:pt idx="4">
                  <c:v>FY2026</c:v>
                </c:pt>
                <c:pt idx="5">
                  <c:v>FY2027e</c:v>
                </c:pt>
                <c:pt idx="6">
                  <c:v>FY2028e</c:v>
                </c:pt>
                <c:pt idx="7">
                  <c:v>FY2029e</c:v>
                </c:pt>
                <c:pt idx="8">
                  <c:v>FY2030e</c:v>
                </c:pt>
                <c:pt idx="9">
                  <c:v>FY2031e</c:v>
                </c:pt>
                <c:pt idx="10">
                  <c:v>FY2032e</c:v>
                </c:pt>
                <c:pt idx="11">
                  <c:v>FY2033e</c:v>
                </c:pt>
                <c:pt idx="12">
                  <c:v>FY2034e</c:v>
                </c:pt>
                <c:pt idx="13">
                  <c:v>FY2035e</c:v>
                </c:pt>
                <c:pt idx="14">
                  <c:v>FY2036e</c:v>
                </c:pt>
              </c:strCache>
            </c:strRef>
          </c:cat>
          <c:val>
            <c:numRef>
              <c:f>Hoja1!$C$2:$C$16</c:f>
              <c:numCache>
                <c:formatCode>#,##0</c:formatCode>
                <c:ptCount val="15"/>
                <c:pt idx="0">
                  <c:v>194030</c:v>
                </c:pt>
                <c:pt idx="1">
                  <c:v>231934</c:v>
                </c:pt>
                <c:pt idx="2">
                  <c:v>169697</c:v>
                </c:pt>
                <c:pt idx="3">
                  <c:v>226302</c:v>
                </c:pt>
                <c:pt idx="4">
                  <c:v>160875</c:v>
                </c:pt>
                <c:pt idx="5">
                  <c:v>218549</c:v>
                </c:pt>
                <c:pt idx="6">
                  <c:v>242889</c:v>
                </c:pt>
                <c:pt idx="7">
                  <c:v>263133</c:v>
                </c:pt>
                <c:pt idx="8">
                  <c:v>276191</c:v>
                </c:pt>
                <c:pt idx="9">
                  <c:v>287239</c:v>
                </c:pt>
                <c:pt idx="10">
                  <c:v>297292</c:v>
                </c:pt>
                <c:pt idx="11">
                  <c:v>306211</c:v>
                </c:pt>
                <c:pt idx="12">
                  <c:v>313866</c:v>
                </c:pt>
                <c:pt idx="13">
                  <c:v>321713</c:v>
                </c:pt>
                <c:pt idx="14">
                  <c:v>328147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Hoja1!$B$2:$B$6</c:f>
              <c:numCache>
                <c:formatCode>0"%"</c:formatCode>
                <c:ptCount val="5"/>
                <c:pt idx="0">
                  <c:v>67.5</c:v>
                </c:pt>
                <c:pt idx="1">
                  <c:v>67.7</c:v>
                </c:pt>
                <c:pt idx="2">
                  <c:v>66.8</c:v>
                </c:pt>
                <c:pt idx="3">
                  <c:v>68.6</c:v>
                </c:pt>
                <c:pt idx="4">
                  <c:v>64.7</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Hoja1!$C$2:$C$6</c:f>
              <c:numCache>
                <c:formatCode>0"%"</c:formatCode>
                <c:ptCount val="5"/>
                <c:pt idx="0">
                  <c:v>25.9</c:v>
                </c:pt>
                <c:pt idx="1">
                  <c:v>26.3</c:v>
                </c:pt>
                <c:pt idx="2">
                  <c:v>18.3</c:v>
                </c:pt>
                <c:pt idx="3">
                  <c:v>22.7</c:v>
                </c:pt>
                <c:pt idx="4">
                  <c:v>15.9</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Hoja1!$D$2:$D$6</c:f>
              <c:numCache>
                <c:formatCode>0"%"</c:formatCode>
                <c:ptCount val="5"/>
                <c:pt idx="0">
                  <c:v>18.2</c:v>
                </c:pt>
                <c:pt idx="1">
                  <c:v>19.1</c:v>
                </c:pt>
                <c:pt idx="2">
                  <c:v>11.3</c:v>
                </c:pt>
                <c:pt idx="3">
                  <c:v>16</c:v>
                </c:pt>
                <c:pt idx="4">
                  <c:v>9.3</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Hoja1!$E$2:$E$6</c:f>
              <c:numCache>
                <c:formatCode>0"%"</c:formatCode>
                <c:ptCount val="5"/>
                <c:pt idx="0">
                  <c:v>15.4</c:v>
                </c:pt>
                <c:pt idx="1">
                  <c:v>16.3</c:v>
                </c:pt>
                <c:pt idx="2">
                  <c:v>26.2</c:v>
                </c:pt>
                <c:pt idx="3">
                  <c:v>11.8</c:v>
                </c:pt>
                <c:pt idx="4">
                  <c:v>6.7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2T25</c:v>
                </c:pt>
                <c:pt idx="1">
                  <c:v>3T25</c:v>
                </c:pt>
                <c:pt idx="2">
                  <c:v>4T25</c:v>
                </c:pt>
                <c:pt idx="3">
                  <c:v>1T26</c:v>
                </c:pt>
                <c:pt idx="4">
                  <c:v>2T26</c:v>
                </c:pt>
                <c:pt idx="5">
                  <c:v>3T26</c:v>
                </c:pt>
                <c:pt idx="6">
                  <c:v>4T26</c:v>
                </c:pt>
                <c:pt idx="7">
                  <c:v>1T27</c:v>
                </c:pt>
              </c:strCache>
            </c:strRef>
          </c:cat>
          <c:val>
            <c:numRef>
              <c:f>Hoja1!$B$2:$B$9</c:f>
              <c:numCache>
                <c:formatCode>0.0"%"</c:formatCode>
                <c:ptCount val="8"/>
                <c:pt idx="0">
                  <c:v>5.6</c:v>
                </c:pt>
                <c:pt idx="1">
                  <c:v>6.2</c:v>
                </c:pt>
                <c:pt idx="2">
                  <c:v>5.6</c:v>
                </c:pt>
                <c:pt idx="3">
                  <c:v>-12.1</c:v>
                </c:pt>
                <c:pt idx="4">
                  <c:v>3.6</c:v>
                </c:pt>
                <c:pt idx="5">
                  <c:v>3.9</c:v>
                </c:pt>
                <c:pt idx="6">
                  <c:v>8.5</c:v>
                </c:pt>
                <c:pt idx="7">
                  <c:v>16.4</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2T25</c:v>
                </c:pt>
                <c:pt idx="1">
                  <c:v>3T25</c:v>
                </c:pt>
                <c:pt idx="2">
                  <c:v>4T25</c:v>
                </c:pt>
                <c:pt idx="3">
                  <c:v>1T26</c:v>
                </c:pt>
                <c:pt idx="4">
                  <c:v>2T26</c:v>
                </c:pt>
                <c:pt idx="5">
                  <c:v>3T26</c:v>
                </c:pt>
                <c:pt idx="6">
                  <c:v>4T26</c:v>
                </c:pt>
                <c:pt idx="7">
                  <c:v>1T27</c:v>
                </c:pt>
              </c:strCache>
            </c:strRef>
          </c:cat>
          <c:val>
            <c:numRef>
              <c:f>Hoja1!$C$2:$C$9</c:f>
              <c:numCache>
                <c:formatCode>0.0"%"</c:formatCode>
                <c:ptCount val="8"/>
                <c:pt idx="0">
                  <c:v>2</c:v>
                </c:pt>
                <c:pt idx="1">
                  <c:v>4</c:v>
                </c:pt>
                <c:pt idx="2">
                  <c:v>4</c:v>
                </c:pt>
                <c:pt idx="3">
                  <c:v>-7</c:v>
                </c:pt>
                <c:pt idx="4">
                  <c:v>4</c:v>
                </c:pt>
                <c:pt idx="5">
                  <c:v>0</c:v>
                </c:pt>
                <c:pt idx="6">
                  <c:v>3</c:v>
                </c:pt>
                <c:pt idx="7">
                  <c:v>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Hoja1!$B$2:$B$6</c:f>
              <c:numCache>
                <c:formatCode>0</c:formatCode>
                <c:ptCount val="5"/>
                <c:pt idx="0">
                  <c:v>87</c:v>
                </c:pt>
                <c:pt idx="1">
                  <c:v>72</c:v>
                </c:pt>
                <c:pt idx="2">
                  <c:v>78</c:v>
                </c:pt>
                <c:pt idx="3">
                  <c:v>75</c:v>
                </c:pt>
                <c:pt idx="4">
                  <c:v>86</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Hoja1!$C$2:$C$6</c:f>
              <c:numCache>
                <c:formatCode>0</c:formatCode>
                <c:ptCount val="5"/>
                <c:pt idx="0">
                  <c:v>251</c:v>
                </c:pt>
                <c:pt idx="1">
                  <c:v>209</c:v>
                </c:pt>
                <c:pt idx="2">
                  <c:v>226</c:v>
                </c:pt>
                <c:pt idx="3">
                  <c:v>218</c:v>
                </c:pt>
                <c:pt idx="4">
                  <c:v>212</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Hoja1!$D$2:$D$6</c:f>
              <c:numCache>
                <c:formatCode>0</c:formatCode>
                <c:ptCount val="5"/>
                <c:pt idx="0">
                  <c:v>91</c:v>
                </c:pt>
                <c:pt idx="1">
                  <c:v>81</c:v>
                </c:pt>
                <c:pt idx="2">
                  <c:v>73</c:v>
                </c:pt>
                <c:pt idx="3">
                  <c:v>71</c:v>
                </c:pt>
                <c:pt idx="4">
                  <c:v>83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(JPY,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FY2022</c:v>
                </c:pt>
                <c:pt idx="1">
                  <c:v>FY2023</c:v>
                </c:pt>
                <c:pt idx="2">
                  <c:v>FY2024</c:v>
                </c:pt>
                <c:pt idx="3">
                  <c:v>FY2025</c:v>
                </c:pt>
                <c:pt idx="4">
                  <c:v>FY2026</c:v>
                </c:pt>
              </c:strCache>
            </c:strRef>
          </c:cat>
          <c:val>
            <c:numRef>
              <c:f>Hoja1!$B$2:$B$6</c:f>
              <c:numCache>
                <c:formatCode>#,##0</c:formatCode>
                <c:ptCount val="5"/>
                <c:pt idx="0">
                  <c:v>90267</c:v>
                </c:pt>
                <c:pt idx="1">
                  <c:v>6953</c:v>
                </c:pt>
                <c:pt idx="2">
                  <c:v>-41777</c:v>
                </c:pt>
                <c:pt idx="3">
                  <c:v>105952</c:v>
                </c:pt>
                <c:pt idx="4">
                  <c:v>-1748</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FY2022</c:v>
                </c:pt>
                <c:pt idx="1">
                  <c:v>FY2023</c:v>
                </c:pt>
                <c:pt idx="2">
                  <c:v>FY2024</c:v>
                </c:pt>
                <c:pt idx="3">
                  <c:v>FY2025</c:v>
                </c:pt>
                <c:pt idx="4">
                  <c:v>FY2026</c:v>
                </c:pt>
              </c:strCache>
            </c:strRef>
          </c:cat>
          <c:val>
            <c:numRef>
              <c:f>Hoja1!$C$2:$C$6</c:f>
              <c:numCache>
                <c:formatCode>#,##0</c:formatCode>
                <c:ptCount val="5"/>
                <c:pt idx="0">
                  <c:v>115742</c:v>
                </c:pt>
                <c:pt idx="1">
                  <c:v>143432</c:v>
                </c:pt>
                <c:pt idx="2">
                  <c:v>242566</c:v>
                </c:pt>
                <c:pt idx="3">
                  <c:v>117855</c:v>
                </c:pt>
                <c:pt idx="4">
                  <c:v>68172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Hoja1!$B$2:$B$6</c:f>
              <c:numCache>
                <c:formatCode>0"%"</c:formatCode>
                <c:ptCount val="5"/>
                <c:pt idx="0">
                  <c:v>16.1</c:v>
                </c:pt>
                <c:pt idx="1">
                  <c:v>16.7</c:v>
                </c:pt>
                <c:pt idx="2">
                  <c:v>10.2</c:v>
                </c:pt>
                <c:pt idx="3">
                  <c:v>15.1</c:v>
                </c:pt>
                <c:pt idx="4">
                  <c:v>7.9</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Hoja1!$C$2:$C$6</c:f>
              <c:numCache>
                <c:formatCode>0"%"</c:formatCode>
                <c:ptCount val="5"/>
                <c:pt idx="0">
                  <c:v>7.2</c:v>
                </c:pt>
                <c:pt idx="1">
                  <c:v>7.2</c:v>
                </c:pt>
                <c:pt idx="2">
                  <c:v>7.2</c:v>
                </c:pt>
                <c:pt idx="3">
                  <c:v>7.2</c:v>
                </c:pt>
                <c:pt idx="4">
                  <c:v>7.2</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Hoja1!$D$2:$D$6</c:f>
              <c:numCache>
                <c:formatCode>0"%"</c:formatCode>
                <c:ptCount val="5"/>
                <c:pt idx="0">
                  <c:v>22.7</c:v>
                </c:pt>
                <c:pt idx="1">
                  <c:v>24.9</c:v>
                </c:pt>
                <c:pt idx="2">
                  <c:v>34.7</c:v>
                </c:pt>
                <c:pt idx="3">
                  <c:v>15.6</c:v>
                </c:pt>
                <c:pt idx="4">
                  <c:v>8.7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FY2022</c:v>
                </c:pt>
                <c:pt idx="1">
                  <c:v>FY2023</c:v>
                </c:pt>
                <c:pt idx="2">
                  <c:v>FY2024</c:v>
                </c:pt>
                <c:pt idx="3">
                  <c:v>FY2025</c:v>
                </c:pt>
                <c:pt idx="4">
                  <c:v>FY2026</c:v>
                </c:pt>
              </c:strCache>
            </c:strRef>
          </c:cat>
          <c:val>
            <c:numRef>
              <c:f>Hoja1!$B$2:$B$6</c:f>
              <c:numCache>
                <c:formatCode>0.0"x"</c:formatCode>
                <c:ptCount val="5"/>
                <c:pt idx="0">
                  <c:v>0.77</c:v>
                </c:pt>
                <c:pt idx="1">
                  <c:v>0.98</c:v>
                </c:pt>
                <c:pt idx="2">
                  <c:v>0.12</c:v>
                </c:pt>
                <c:pt idx="3">
                  <c:v>0.17</c:v>
                </c:pt>
                <c:pt idx="4">
                  <c:v>0.73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(JPY,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2026</c:v>
                </c:pt>
                <c:pt idx="1">
                  <c:v>2028</c:v>
                </c:pt>
                <c:pt idx="2">
                  <c:v>2030</c:v>
                </c:pt>
                <c:pt idx="3">
                  <c:v>2027-2035</c:v>
                </c:pt>
              </c:strCache>
            </c:strRef>
          </c:cat>
          <c:val>
            <c:numRef>
              <c:f>Hoja1!$B$2:$B$5</c:f>
              <c:numCache>
                <c:formatCode>#,##0</c:formatCode>
                <c:ptCount val="4"/>
                <c:pt idx="0">
                  <c:v>79876</c:v>
                </c:pt>
                <c:pt idx="1">
                  <c:v>14956</c:v>
                </c:pt>
                <c:pt idx="2">
                  <c:v>39884</c:v>
                </c:pt>
                <c:pt idx="3">
                  <c:v>104860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(JPY,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FY2022</c:v>
                </c:pt>
                <c:pt idx="1">
                  <c:v>FY2023</c:v>
                </c:pt>
                <c:pt idx="2">
                  <c:v>FY2024</c:v>
                </c:pt>
                <c:pt idx="3">
                  <c:v>FY2025</c:v>
                </c:pt>
                <c:pt idx="4">
                  <c:v>FY2026</c:v>
                </c:pt>
              </c:strCache>
            </c:strRef>
          </c:cat>
          <c:val>
            <c:numRef>
              <c:f>Hoja1!$B$2:$B$6</c:f>
              <c:numCache>
                <c:formatCode>#,##0</c:formatCode>
                <c:ptCount val="5"/>
                <c:pt idx="0">
                  <c:v>21837</c:v>
                </c:pt>
                <c:pt idx="1">
                  <c:v>4465</c:v>
                </c:pt>
                <c:pt idx="2">
                  <c:v>46613</c:v>
                </c:pt>
                <c:pt idx="3">
                  <c:v>8674</c:v>
                </c:pt>
                <c:pt idx="4">
                  <c:v>170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FY2022</c:v>
                </c:pt>
                <c:pt idx="1">
                  <c:v>FY2023</c:v>
                </c:pt>
                <c:pt idx="2">
                  <c:v>FY2024</c:v>
                </c:pt>
                <c:pt idx="3">
                  <c:v>FY2025</c:v>
                </c:pt>
                <c:pt idx="4">
                  <c:v>FY2026</c:v>
                </c:pt>
              </c:strCache>
            </c:strRef>
          </c:cat>
          <c:val>
            <c:numRef>
              <c:f>Hoja1!$C$2:$C$6</c:f>
              <c:numCache>
                <c:formatCode>#,##0</c:formatCode>
                <c:ptCount val="5"/>
                <c:pt idx="0">
                  <c:v>15616</c:v>
                </c:pt>
                <c:pt idx="1">
                  <c:v>18048</c:v>
                </c:pt>
                <c:pt idx="2">
                  <c:v>20240</c:v>
                </c:pt>
                <c:pt idx="3">
                  <c:v>20981</c:v>
                </c:pt>
                <c:pt idx="4">
                  <c:v>22556</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FY2022</c:v>
                </c:pt>
                <c:pt idx="1">
                  <c:v>FY2023</c:v>
                </c:pt>
                <c:pt idx="2">
                  <c:v>FY2024</c:v>
                </c:pt>
                <c:pt idx="3">
                  <c:v>FY2025</c:v>
                </c:pt>
                <c:pt idx="4">
                  <c:v>FY2026</c:v>
                </c:pt>
              </c:strCache>
            </c:strRef>
          </c:cat>
          <c:val>
            <c:numRef>
              <c:f>Hoja1!$D$2:$D$6</c:f>
              <c:numCache>
                <c:formatCode>#,##0</c:formatCode>
                <c:ptCount val="5"/>
                <c:pt idx="0">
                  <c:v>30001</c:v>
                </c:pt>
                <c:pt idx="1">
                  <c:v>50003</c:v>
                </c:pt>
                <c:pt idx="2">
                  <c:v>180002</c:v>
                </c:pt>
                <c:pt idx="3">
                  <c:v>100002</c:v>
                </c:pt>
                <c:pt idx="4">
                  <c:v>50002</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Independiente</c:v>
                </c:pt>
                <c:pt idx="1">
                  <c:v>Ejecutivo</c:v>
                </c:pt>
              </c:strCache>
            </c:strRef>
          </c:cat>
          <c:val>
            <c:numRef>
              <c:f>Hoja1!$B$2:$B$3</c:f>
              <c:numCache>
                <c:formatCode>0</c:formatCode>
                <c:ptCount val="2"/>
                <c:pt idx="0">
                  <c:v>9</c:v>
                </c:pt>
                <c:pt idx="1">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The Master Trust Bank of Japan (cuenta fiduciaria)</c:v>
                </c:pt>
                <c:pt idx="1">
                  <c:v>Custody Bank of Japan (cuenta fiduciaria)</c:v>
                </c:pt>
                <c:pt idx="2">
                  <c:v>BlackRock Japan y siete entidades vinculadas</c:v>
                </c:pt>
                <c:pt idx="3">
                  <c:v>Sumitomo Mitsui Trust Asset Management y una entidad vinculada</c:v>
                </c:pt>
                <c:pt idx="4">
                  <c:v>Nomura Asset Management y una entidad vinculada</c:v>
                </c:pt>
                <c:pt idx="5">
                  <c:v>State Street Bank and Trust (cuenta 505001)</c:v>
                </c:pt>
                <c:pt idx="6">
                  <c:v>Massachusetts Financial Services y una entidad vinculada</c:v>
                </c:pt>
                <c:pt idx="7">
                  <c:v>SMBC Trust Bank (fondo de pensiones de Sumitomo Mitsui Banking)</c:v>
                </c:pt>
                <c:pt idx="8">
                  <c:v>ValueAct Capital Master Fund</c:v>
                </c:pt>
                <c:pt idx="9">
                  <c:v>Autocartera</c:v>
                </c:pt>
              </c:strCache>
            </c:strRef>
          </c:cat>
          <c:val>
            <c:numRef>
              <c:f>Hoja1!$B$2:$B$11</c:f>
              <c:numCache>
                <c:formatCode>0.0"%"</c:formatCode>
                <c:ptCount val="10"/>
                <c:pt idx="0">
                  <c:v>19.14</c:v>
                </c:pt>
                <c:pt idx="1">
                  <c:v>6.71</c:v>
                </c:pt>
                <c:pt idx="2">
                  <c:v>7.25</c:v>
                </c:pt>
                <c:pt idx="3">
                  <c:v>6.2</c:v>
                </c:pt>
                <c:pt idx="4">
                  <c:v>5.05</c:v>
                </c:pt>
                <c:pt idx="5">
                  <c:v>5.21</c:v>
                </c:pt>
                <c:pt idx="6">
                  <c:v>3.83</c:v>
                </c:pt>
                <c:pt idx="7">
                  <c:v>3.59</c:v>
                </c:pt>
                <c:pt idx="9">
                  <c:v>4.7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-15.5</c:v>
                </c:pt>
                <c:pt idx="1">
                  <c:v>7.6</c:v>
                </c:pt>
                <c:pt idx="2">
                  <c:v>-21.3</c:v>
                </c:pt>
                <c:pt idx="3">
                  <c:v>101.4</c:v>
                </c:pt>
                <c:pt idx="4">
                  <c:v>34.4</c:v>
                </c:pt>
                <c:pt idx="5">
                  <c:v>18</c:v>
                </c:pt>
                <c:pt idx="6">
                  <c:v>-10.7</c:v>
                </c:pt>
                <c:pt idx="7">
                  <c:v>-12.6</c:v>
                </c:pt>
                <c:pt idx="8">
                  <c:v>17.1</c:v>
                </c:pt>
                <c:pt idx="9">
                  <c:v>-15.4</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0.2</c:v>
                </c:pt>
                <c:pt idx="1">
                  <c:v>22.2</c:v>
                </c:pt>
                <c:pt idx="2">
                  <c:v>-16.1</c:v>
                </c:pt>
                <c:pt idx="3">
                  <c:v>17.9</c:v>
                </c:pt>
                <c:pt idx="4">
                  <c:v>7.3</c:v>
                </c:pt>
                <c:pt idx="5">
                  <c:v>12.7</c:v>
                </c:pt>
                <c:pt idx="6">
                  <c:v>-2.3</c:v>
                </c:pt>
                <c:pt idx="7">
                  <c:v>27.9</c:v>
                </c:pt>
                <c:pt idx="8">
                  <c:v>20.3</c:v>
                </c:pt>
                <c:pt idx="9">
                  <c:v>25.5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Hoja1!$B$2:$B$6</c:f>
              <c:numCache>
                <c:formatCode>0.0"x"</c:formatCode>
                <c:ptCount val="5"/>
                <c:pt idx="0">
                  <c:v>16.2</c:v>
                </c:pt>
                <c:pt idx="1">
                  <c:v>13.7</c:v>
                </c:pt>
                <c:pt idx="2">
                  <c:v>16</c:v>
                </c:pt>
                <c:pt idx="3">
                  <c:v>10</c:v>
                </c:pt>
                <c:pt idx="4">
                  <c:v>11</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Hoja1!$C$2:$C$6</c:f>
              <c:numCache>
                <c:formatCode>0.0"x"</c:formatCode>
                <c:ptCount val="5"/>
                <c:pt idx="0">
                  <c:v>12.4</c:v>
                </c:pt>
                <c:pt idx="1">
                  <c:v>12.4</c:v>
                </c:pt>
                <c:pt idx="2">
                  <c:v>12.4</c:v>
                </c:pt>
                <c:pt idx="3">
                  <c:v>12.4</c:v>
                </c:pt>
                <c:pt idx="4">
                  <c:v>12.4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Pt>
            <c:idx val="9"/>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Olympus</c:v>
                </c:pt>
                <c:pt idx="1">
                  <c:v>Hoya</c:v>
                </c:pt>
                <c:pt idx="2">
                  <c:v>Fujifilm</c:v>
                </c:pt>
                <c:pt idx="3">
                  <c:v>Terumo</c:v>
                </c:pt>
                <c:pt idx="4">
                  <c:v>Sysmex</c:v>
                </c:pt>
                <c:pt idx="5">
                  <c:v>Boston Scientific</c:v>
                </c:pt>
                <c:pt idx="6">
                  <c:v>Medtronic</c:v>
                </c:pt>
                <c:pt idx="7">
                  <c:v>Stryker</c:v>
                </c:pt>
                <c:pt idx="8">
                  <c:v>Intuitive Surgical</c:v>
                </c:pt>
                <c:pt idx="9">
                  <c:v>Smith &amp; Nephew</c:v>
                </c:pt>
              </c:strCache>
            </c:strRef>
          </c:cat>
          <c:val>
            <c:numRef>
              <c:f>Hoja1!$B$2:$B$11</c:f>
              <c:numCache>
                <c:formatCode>0.0"x"</c:formatCode>
                <c:ptCount val="10"/>
                <c:pt idx="0">
                  <c:v>10.3</c:v>
                </c:pt>
                <c:pt idx="1">
                  <c:v>18.5</c:v>
                </c:pt>
                <c:pt idx="2">
                  <c:v>8.1</c:v>
                </c:pt>
                <c:pt idx="3">
                  <c:v>10</c:v>
                </c:pt>
                <c:pt idx="4">
                  <c:v>9.9</c:v>
                </c:pt>
                <c:pt idx="5">
                  <c:v>10.2</c:v>
                </c:pt>
                <c:pt idx="6">
                  <c:v>11.9</c:v>
                </c:pt>
                <c:pt idx="7">
                  <c:v>13.7</c:v>
                </c:pt>
                <c:pt idx="8">
                  <c:v>24.5</c:v>
                </c:pt>
                <c:pt idx="9">
                  <c:v>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Olympus</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4.4</c:v>
                </c:pt>
              </c:numCache>
            </c:numRef>
          </c:xVal>
          <c:yVal>
            <c:numRef>
              <c:f>Hoja1!$C$2</c:f>
              <c:numCache>
                <c:formatCode>0.0"x"</c:formatCode>
                <c:ptCount val="1"/>
                <c:pt idx="0">
                  <c:v>10.3</c:v>
                </c:pt>
              </c:numCache>
            </c:numRef>
          </c:yVal>
          <c:smooth val="0"/>
        </c:ser>
        <c:ser>
          <c:idx val="1"/>
          <c:order val="1"/>
          <c:tx>
            <c:strRef>
              <c:f>Hoja1!$A$3</c:f>
              <c:strCache>
                <c:ptCount val="1"/>
                <c:pt idx="0">
                  <c:v>Hoya</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9.5</c:v>
                </c:pt>
              </c:numCache>
            </c:numRef>
          </c:xVal>
          <c:yVal>
            <c:numRef>
              <c:f>Hoja1!$C$3</c:f>
              <c:numCache>
                <c:formatCode>0.0"x"</c:formatCode>
                <c:ptCount val="1"/>
                <c:pt idx="0">
                  <c:v>18.5</c:v>
                </c:pt>
              </c:numCache>
            </c:numRef>
          </c:yVal>
          <c:smooth val="0"/>
        </c:ser>
        <c:ser>
          <c:idx val="2"/>
          <c:order val="2"/>
          <c:tx>
            <c:strRef>
              <c:f>Hoja1!$A$4</c:f>
              <c:strCache>
                <c:ptCount val="1"/>
                <c:pt idx="0">
                  <c:v>Fujifilm</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5.1</c:v>
                </c:pt>
              </c:numCache>
            </c:numRef>
          </c:xVal>
          <c:yVal>
            <c:numRef>
              <c:f>Hoja1!$C$4</c:f>
              <c:numCache>
                <c:formatCode>0.0"x"</c:formatCode>
                <c:ptCount val="1"/>
                <c:pt idx="0">
                  <c:v>8.1</c:v>
                </c:pt>
              </c:numCache>
            </c:numRef>
          </c:yVal>
          <c:smooth val="0"/>
        </c:ser>
        <c:ser>
          <c:idx val="3"/>
          <c:order val="3"/>
          <c:tx>
            <c:strRef>
              <c:f>Hoja1!$A$5</c:f>
              <c:strCache>
                <c:ptCount val="1"/>
                <c:pt idx="0">
                  <c:v>Terumo</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9</c:v>
                </c:pt>
              </c:numCache>
            </c:numRef>
          </c:xVal>
          <c:yVal>
            <c:numRef>
              <c:f>Hoja1!$C$5</c:f>
              <c:numCache>
                <c:formatCode>0.0"x"</c:formatCode>
                <c:ptCount val="1"/>
                <c:pt idx="0">
                  <c:v>10</c:v>
                </c:pt>
              </c:numCache>
            </c:numRef>
          </c:yVal>
          <c:smooth val="0"/>
        </c:ser>
        <c:ser>
          <c:idx val="4"/>
          <c:order val="4"/>
          <c:tx>
            <c:strRef>
              <c:f>Hoja1!$A$6</c:f>
              <c:strCache>
                <c:ptCount val="1"/>
                <c:pt idx="0">
                  <c:v>Sysmex</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7.9</c:v>
                </c:pt>
              </c:numCache>
            </c:numRef>
          </c:xVal>
          <c:yVal>
            <c:numRef>
              <c:f>Hoja1!$C$6</c:f>
              <c:numCache>
                <c:formatCode>0.0"x"</c:formatCode>
                <c:ptCount val="1"/>
                <c:pt idx="0">
                  <c:v>9.9</c:v>
                </c:pt>
              </c:numCache>
            </c:numRef>
          </c:yVal>
          <c:smooth val="0"/>
        </c:ser>
        <c:ser>
          <c:idx val="5"/>
          <c:order val="5"/>
          <c:tx>
            <c:strRef>
              <c:f>Hoja1!$A$7</c:f>
              <c:strCache>
                <c:ptCount val="1"/>
                <c:pt idx="0">
                  <c:v>Boston Scientific</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5.1</c:v>
                </c:pt>
              </c:numCache>
            </c:numRef>
          </c:xVal>
          <c:yVal>
            <c:numRef>
              <c:f>Hoja1!$C$7</c:f>
              <c:numCache>
                <c:formatCode>0.0"x"</c:formatCode>
                <c:ptCount val="1"/>
                <c:pt idx="0">
                  <c:v>10.2</c:v>
                </c:pt>
              </c:numCache>
            </c:numRef>
          </c:yVal>
          <c:smooth val="0"/>
        </c:ser>
        <c:ser>
          <c:idx val="6"/>
          <c:order val="6"/>
          <c:tx>
            <c:strRef>
              <c:f>Hoja1!$A$8</c:f>
              <c:strCache>
                <c:ptCount val="1"/>
                <c:pt idx="0">
                  <c:v>Medtronic</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5.5</c:v>
                </c:pt>
              </c:numCache>
            </c:numRef>
          </c:xVal>
          <c:yVal>
            <c:numRef>
              <c:f>Hoja1!$C$8</c:f>
              <c:numCache>
                <c:formatCode>0.0"x"</c:formatCode>
                <c:ptCount val="1"/>
                <c:pt idx="0">
                  <c:v>11.9</c:v>
                </c:pt>
              </c:numCache>
            </c:numRef>
          </c:yVal>
          <c:smooth val="0"/>
        </c:ser>
        <c:ser>
          <c:idx val="7"/>
          <c:order val="7"/>
          <c:tx>
            <c:strRef>
              <c:f>Hoja1!$A$9</c:f>
              <c:strCache>
                <c:ptCount val="1"/>
                <c:pt idx="0">
                  <c:v>Stryker</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8.5</c:v>
                </c:pt>
              </c:numCache>
            </c:numRef>
          </c:xVal>
          <c:yVal>
            <c:numRef>
              <c:f>Hoja1!$C$9</c:f>
              <c:numCache>
                <c:formatCode>0.0"x"</c:formatCode>
                <c:ptCount val="1"/>
                <c:pt idx="0">
                  <c:v>13.7</c:v>
                </c:pt>
              </c:numCache>
            </c:numRef>
          </c:yVal>
          <c:smooth val="0"/>
        </c:ser>
        <c:ser>
          <c:idx val="8"/>
          <c:order val="8"/>
          <c:tx>
            <c:strRef>
              <c:f>Hoja1!$A$10</c:f>
              <c:strCache>
                <c:ptCount val="1"/>
                <c:pt idx="0">
                  <c:v>Intuitive Surgical</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Hoja1!$B$10</c:f>
              <c:numCache>
                <c:formatCode>0"%"</c:formatCode>
                <c:ptCount val="1"/>
                <c:pt idx="0">
                  <c:v>14.2</c:v>
                </c:pt>
              </c:numCache>
            </c:numRef>
          </c:xVal>
          <c:yVal>
            <c:numRef>
              <c:f>Hoja1!$C$10</c:f>
              <c:numCache>
                <c:formatCode>0.0"x"</c:formatCode>
                <c:ptCount val="1"/>
                <c:pt idx="0">
                  <c:v>24.5</c:v>
                </c:pt>
              </c:numCache>
            </c:numRef>
          </c:yVal>
          <c:smooth val="0"/>
        </c:ser>
        <c:ser>
          <c:idx val="9"/>
          <c:order val="9"/>
          <c:tx>
            <c:strRef>
              <c:f>Hoja1!$A$11</c:f>
              <c:strCache>
                <c:ptCount val="1"/>
                <c:pt idx="0">
                  <c:v>Smith &amp; Nephew</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Hoja1!$B$11</c:f>
              <c:numCache>
                <c:formatCode>0"%"</c:formatCode>
                <c:ptCount val="1"/>
                <c:pt idx="0">
                  <c:v>5.1</c:v>
                </c:pt>
              </c:numCache>
            </c:numRef>
          </c:xVal>
          <c:yVal>
            <c:numRef>
              <c:f>Hoja1!$C$11</c:f>
              <c:numCache>
                <c:formatCode>0.0"x"</c:formatCode>
                <c:ptCount val="1"/>
                <c:pt idx="0">
                  <c:v>8</c:v>
                </c:pt>
              </c:numCache>
            </c:numRef>
          </c:yVal>
          <c:smooth val="0"/>
        </c:ser>
        <c:axId val="10"/>
        <c:axId val="20"/>
      </c:scatterChart>
      <c:valAx>
        <c:axId val="10"/>
        <c:scaling>
          <c:orientation val="minMax"/>
          <c:max val="17"/>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Evident (negocio científico de Olympus)</c:v>
                </c:pt>
                <c:pt idx="1">
                  <c:v>Cantel Medical</c:v>
                </c:pt>
                <c:pt idx="2">
                  <c:v>Axonics</c:v>
                </c:pt>
                <c:pt idx="3">
                  <c:v>Shockwave Medical</c:v>
                </c:pt>
                <c:pt idx="4">
                  <c:v>Inari Medical</c:v>
                </c:pt>
                <c:pt idx="5">
                  <c:v>Hologic</c:v>
                </c:pt>
                <c:pt idx="6">
                  <c:v>BioProtect</c:v>
                </c:pt>
              </c:strCache>
            </c:strRef>
          </c:cat>
          <c:val>
            <c:numRef>
              <c:f>Hoja1!$B$2:$B$8</c:f>
              <c:numCache>
                <c:formatCode>0.0"x"</c:formatCode>
                <c:ptCount val="7"/>
                <c:pt idx="3">
                  <c:v>54</c:v>
                </c:pt>
                <c:pt idx="5">
                  <c:v>13.7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(JPY,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FY2027e</c:v>
                </c:pt>
                <c:pt idx="1">
                  <c:v>FY2028e</c:v>
                </c:pt>
                <c:pt idx="2">
                  <c:v>FY2029e</c:v>
                </c:pt>
                <c:pt idx="3">
                  <c:v>FY2030e</c:v>
                </c:pt>
                <c:pt idx="4">
                  <c:v>FY2031e</c:v>
                </c:pt>
                <c:pt idx="5">
                  <c:v>FY2032e</c:v>
                </c:pt>
                <c:pt idx="6">
                  <c:v>FY2033e</c:v>
                </c:pt>
                <c:pt idx="7">
                  <c:v>FY2034e</c:v>
                </c:pt>
                <c:pt idx="8">
                  <c:v>FY2035e</c:v>
                </c:pt>
                <c:pt idx="9">
                  <c:v>FY2036e</c:v>
                </c:pt>
              </c:strCache>
            </c:strRef>
          </c:cat>
          <c:val>
            <c:numRef>
              <c:f>Hoja1!$B$2:$B$11</c:f>
              <c:numCache>
                <c:formatCode>#,##0</c:formatCode>
                <c:ptCount val="10"/>
                <c:pt idx="0">
                  <c:v>69524</c:v>
                </c:pt>
                <c:pt idx="1">
                  <c:v>83227</c:v>
                </c:pt>
                <c:pt idx="2">
                  <c:v>94132</c:v>
                </c:pt>
                <c:pt idx="3">
                  <c:v>101678</c:v>
                </c:pt>
                <c:pt idx="4">
                  <c:v>110313</c:v>
                </c:pt>
                <c:pt idx="5">
                  <c:v>119289</c:v>
                </c:pt>
                <c:pt idx="6">
                  <c:v>127780</c:v>
                </c:pt>
                <c:pt idx="7">
                  <c:v>136032</c:v>
                </c:pt>
                <c:pt idx="8">
                  <c:v>142267</c:v>
                </c:pt>
                <c:pt idx="9">
                  <c:v>148978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(JPY,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773001</c:v>
                </c:pt>
                <c:pt idx="1">
                  <c:v>1521084</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(JPY) · precio actual 2.000,00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1183.91</c:v>
                </c:pt>
                <c:pt idx="1">
                  <c:v>1905.08</c:v>
                </c:pt>
                <c:pt idx="2">
                  <c:v>2357.32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(JPY) · precio actual 2.000,00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(1.302,50 – 2.210,50)</c:v>
                </c:pt>
                <c:pt idx="1">
                  <c:v>Precio objetivo de los analistas (1.800,00 – 3.300,00)</c:v>
                </c:pt>
                <c:pt idx="2">
                  <c:v>Comparables: EV/EBITDA NTM (1.902,48 – 2.729,99)</c:v>
                </c:pt>
                <c:pt idx="3">
                  <c:v>Comparables: PER NTM (1.755,40 – 2.680,98)</c:v>
                </c:pt>
                <c:pt idx="4">
                  <c:v>DCF (WACC y g ± 0,5) (1.600,10 – 2.353,52)</c:v>
                </c:pt>
                <c:pt idx="5">
                  <c:v>Escenarios (bajista – alcista) (1.183,91 – 2.357,32)</c:v>
                </c:pt>
                <c:pt idx="6">
                  <c:v>DCF con la prima implícita del mercado (4,2 %)</c:v>
                </c:pt>
                <c:pt idx="7">
                  <c:v>Precio actual (2.000,00)</c:v>
                </c:pt>
              </c:strCache>
            </c:strRef>
          </c:cat>
          <c:val>
            <c:numRef>
              <c:f>Hoja1!$B$2:$B$9</c:f>
              <c:numCache>
                <c:formatCode>#,##0</c:formatCode>
                <c:ptCount val="8"/>
                <c:pt idx="0">
                  <c:v>1302.5</c:v>
                </c:pt>
                <c:pt idx="1">
                  <c:v>1800</c:v>
                </c:pt>
                <c:pt idx="2">
                  <c:v>1902.48</c:v>
                </c:pt>
                <c:pt idx="3">
                  <c:v>1755.4</c:v>
                </c:pt>
                <c:pt idx="4">
                  <c:v>1600.1</c:v>
                </c:pt>
                <c:pt idx="5">
                  <c:v>1183.91</c:v>
                </c:pt>
                <c:pt idx="6">
                  <c:v>1715.95</c:v>
                </c:pt>
                <c:pt idx="7">
                  <c:v>1990</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(1.302,50 – 2.210,50)</c:v>
                </c:pt>
                <c:pt idx="1">
                  <c:v>Precio objetivo de los analistas (1.800,00 – 3.300,00)</c:v>
                </c:pt>
                <c:pt idx="2">
                  <c:v>Comparables: EV/EBITDA NTM (1.902,48 – 2.729,99)</c:v>
                </c:pt>
                <c:pt idx="3">
                  <c:v>Comparables: PER NTM (1.755,40 – 2.680,98)</c:v>
                </c:pt>
                <c:pt idx="4">
                  <c:v>DCF (WACC y g ± 0,5) (1.600,10 – 2.353,52)</c:v>
                </c:pt>
                <c:pt idx="5">
                  <c:v>Escenarios (bajista – alcista) (1.183,91 – 2.357,32)</c:v>
                </c:pt>
                <c:pt idx="6">
                  <c:v>DCF con la prima implícita del mercado (4,2 %)</c:v>
                </c:pt>
                <c:pt idx="7">
                  <c:v>Precio actual (2.000,00)</c:v>
                </c:pt>
              </c:strCache>
            </c:strRef>
          </c:cat>
          <c:val>
            <c:numRef>
              <c:f>Hoja1!$C$2:$C$9</c:f>
              <c:numCache>
                <c:formatCode>#,##0</c:formatCode>
                <c:ptCount val="8"/>
                <c:pt idx="0">
                  <c:v>908</c:v>
                </c:pt>
                <c:pt idx="1">
                  <c:v>1500</c:v>
                </c:pt>
                <c:pt idx="2">
                  <c:v>827.5099999999998</c:v>
                </c:pt>
                <c:pt idx="3">
                  <c:v>925.5799999999999</c:v>
                </c:pt>
                <c:pt idx="4">
                  <c:v>753.4200000000001</c:v>
                </c:pt>
                <c:pt idx="5">
                  <c:v>1173.41</c:v>
                </c:pt>
                <c:pt idx="6">
                  <c:v>443.9399999999998</c:v>
                </c:pt>
                <c:pt idx="7">
                  <c:v>20</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