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Salesforce, Inc.</w:t>
      </w:r>
    </w:p>
    <w:p>
      <w:pPr>
        <w:spacing w:after="60"/>
        <w:rPr>
          <w:color w:val="52514E"/>
          <w:sz w:val="22"/>
          <w:szCs w:val="22"/>
        </w:rPr>
      </w:pPr>
      <w:r>
        <w:rPr>
          <w:color w:val="52514E"/>
          <w:sz w:val="22"/>
          <w:szCs w:val="22"/>
        </w:rPr>
        <w:t xml:space="preserve">CRM · New York Stock Exchange (NYSE) · ISIN US79466L3024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229,13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312,21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+37,0 % (base +33,0 %)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208,20 USD · mercado 250,17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181.013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Salesforce,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CRM / US79466L3024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83.334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https://www.salesforce.com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229,13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146,32 – 269,11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181.013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205.207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2.859 M USD/día (13,2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312,21 USD</w:t>
      </w:r>
      <w:r>
        <w:t xml:space="preserve"> frente a 229,13 · Rentabilidad a 12 meses </w:t>
      </w:r>
      <w:r>
        <w:rPr>
          <w:b/>
          <w:bCs/>
        </w:rPr>
        <w:t xml:space="preserve">+37,0 % (base +33,0 %)</w:t>
      </w:r>
      <w:r>
        <w:t xml:space="preserve"> · Valor intrínseco 208,20 USD · con la prima implícita del mercado: 250,17 (+9,2 %) · Alcista / bajista +20,1 % / -43,7 %</w:t>
      </w:r>
    </w:p>
    <w:p>
      <w:pPr>
        <w:spacing w:after="100"/>
      </w:pPr>
      <w:r>
        <w:rPr>
          <w:b/>
        </w:rPr>
        <w:t xml:space="preserve">La recomendación y por qué.</w:t>
      </w:r>
      <w:r>
        <w:t xml:space="preserve"> Mantener, con convicción baja. El valor objetivo es de 208,20 USD frente a un precio de 229,13 USD (cierre del 9-oct-2026): un potencial del −9,1 % y una rentabilidad total esperada del −8,4 % con el dividendo del 0,7 %. La asimetría es desfavorable (alcista +20,1 %, bajista −43,7 %: 0,46 veces). El precio ya paga la reaceleración prometida, sin margen para que los agentes de IA encojan el cobro por asiento. La convicción es baja porque las dos reglas discrepan: con nuestro WACC del 10,94 % saldría Vender; con la prima implícita del mercado, el valor objetivo sería de 250,17 USD y la rentabilidad total del 9,9 %, un Mantener. La diferencia es de tasa, no de cifras: nuestra proyección está a menos de un 2 % del consenso de FY2028e-FY2029e [60]. La subiría un cRPO que crezca por encima del 15 % en el 3T27 (2-dic-2026) con bajas estables.</w:t>
      </w:r>
    </w:p>
    <w:p>
      <w:pPr>
        <w:spacing w:after="100"/>
      </w:pPr>
      <w:r>
        <w:rPr>
          <w:b/>
        </w:rPr>
        <w:t xml:space="preserve">El negocio.</w:t>
      </w:r>
      <w:r>
        <w:t xml:space="preserve"> Salesforce es el n.º 1 mundial en CRM con el 20,0 % del mercado según IDC [14], con una tasa de bajas estable en ≈8 % [2] y un margen EBITDA GAAP que ha pasado del 12,4 % de FY2023 al 27,0 % de FY2026. Pero el ROIC (10,8 %) apenas iguala al WACC, porque el capital es casi todo fondo de comercio de Slack, Tableau, MuleSoft e Informatica. La calidad de la empresa sostiene el crecimiento proyectado solo en parte: los costes de cambio y el circulante negativo lo financian, pero el orgánico ha caído al ≈7 % y su vuelta al 8-9 % depende de Agentforce, cuyo ARR (más de 1.500 M) cambió de definición en el 2T27 [7].</w:t>
      </w:r>
    </w:p>
    <w:p>
      <w:pPr>
        <w:spacing w:after="100"/>
      </w:pPr>
      <w:r>
        <w:rPr>
          <w:b/>
        </w:rPr>
        <w:t xml:space="preserve">Finanzas.</w:t>
      </w:r>
      <w:r>
        <w:t xml:space="preserve"> Medimos todo en base GAAP: la remuneración en acciones (8,5 % de las ventas) es un coste, y con ella el EBITDA de los próximos 12 meses cotiza a 14,6x, no a las ≈10x que sugiere el EBITDA ajustado del consenso. La recompra acelerada de 25.000 M, financiada con bonos en marzo de 2026, llevó la deuda neta ajustada a 35.518 M (3,0 veces el EBITDA) [2]. El beneficio GAAP del 1S27 lleva 3.171 M de plusvalías de inversiones, sobre todo Anthropic, que no repetirán [2].</w:t>
      </w:r>
    </w:p>
    <w:p>
      <w:pPr>
        <w:spacing w:after="100"/>
      </w:pPr>
      <w:r>
        <w:rPr>
          <w:b/>
        </w:rPr>
        <w:t xml:space="preserve">Equipo y gobierno.</w:t>
      </w:r>
      <w:r>
        <w:t xml:space="preserve"> Resta algo: Benioff es presidente y primer ejecutivo (con consejero coordinador), los accionistas rechazaron la remuneración en 2024 (53,9 % en contra) y el auditor lleva 24 años [35, 38]. Suma que la dirección ha batido su guía de margen y de BPA cada año desde FY2022 [8, 9, 49, 50, 51, 52].</w:t>
      </w:r>
    </w:p>
    <w:p>
      <w:pPr>
        <w:spacing w:after="100"/>
      </w:pPr>
      <w:r>
        <w:rPr>
          <w:b/>
        </w:rPr>
        <w:t xml:space="preserve">Valoración.</w:t>
      </w:r>
      <w:r>
        <w:t xml:space="preserve"> El DCF da 206,30 USD (valor terminal del 51 %); los comparables, 232,82 USD en la mediana de EV/EBITDA y PER; los escenarios ponderados, 200,37 USD. El precio descuenta un crecimiento del 7,4 % anual en FY2028e-FY2036e frente al 6,2 % de nuestro caso base, o una rentabilidad del 10,2 % frente a nuestro WACC del 10,94 %. Discrepamos del mercado en la tasa y en la probabilidad del bajista (30 %), no en el año próximo.</w:t>
      </w:r>
    </w:p>
    <w:p>
      <w:pPr>
        <w:spacing w:after="100"/>
      </w:pPr>
      <w:r>
        <w:rPr>
          <w:b/>
        </w:rPr>
        <w:t xml:space="preserve">Riesgos y catalizadores.</w:t>
      </w:r>
      <w:r>
        <w:t xml:space="preserve"> El riesgo mayor es la compresión de asientos por los agentes (bajista: 129,09 USD, −37 % frente al caso base); después, los modelos de lenguaje en la capa de aplicación (−17 % con dos puntos menos de crecimiento). Los foros están divididos: tras el 2T27 dominan los alcistas, pero las encuestas a socios dicen que Agentforce aún no mueve sus ingresos [80]. Catalizadores: la liquidación de la recompra en octubre, el 3T27 el 2-dic-2026 y la guía de FY2028 a finales de febrero de 2027.</w:t>
      </w:r>
    </w:p>
    <w:p>
      <w:pPr>
        <w:spacing w:after="100"/>
      </w:pPr>
      <w:r>
        <w:rPr>
          <w:b/>
        </w:rPr>
        <w:t xml:space="preserve">Qué cambiaría la decisión.</w:t>
      </w:r>
      <w:r>
        <w:t xml:space="preserve"> Compraríamos por debajo de 199,87 USD y venderíamos por encima de 280,03 USD. Pasaríamos a Vender si el cRPO crece menos del 10 % o las bajas superan el 9 %, y a Comprar si la guía de FY2028 da un orgánico de al menos el 9 % con margen operativo GAAP por encima del 22 %.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312,21 USD</w:t>
      </w:r>
      <w:r>
        <w:t xml:space="preserve"> (rentabilidad +37,0 % (base +33,0 %)) · Valor intrínseco: 208,20 USD (-9,1 % sobre 229,13) · con la prima implícita del mercado: 250,17 (+9,2 %)</w:t>
      </w:r>
    </w:p>
    <w:p>
      <w:pPr>
        <w:spacing w:after="100"/>
      </w:pPr>
      <w:r>
        <w:t xml:space="preserve">Salesforce es el mayor proveedor mundial de software de gestión de clientes, con el 20,0 % del mercado [14], 41.525 M USD de ingresos en FY2026 y un margen EBITDA GAAP del 27,0 % que ha doblado en tres años. Cobra por adelantado, por asiento y con contratos plurianuales: la tasa de bajas es de ≈8 % y el circulante negativo (−41,9 % de las ventas) financia el crecimiento [1, 2].</w:t>
      </w:r>
    </w:p>
    <w:p>
      <w:pPr>
        <w:spacing w:after="100"/>
      </w:pPr>
      <w:r>
        <w:t xml:space="preserve">A 229,13 USD, el precio descuenta un crecimiento anual del 7,4 % en FY2028e-FY2036e y una rentabilidad del 10,2 %, por debajo de nuestro WACC del 10,94 %. Los múltiplos están en línea con los comparables en base GAAP (14,6x el EBITDA de los próximos 12 meses frente a 15,3x) y un 60 % por debajo de su historia, porque el crecimiento cayó del 24 % al ≈7 % orgánico.</w:t>
      </w:r>
    </w:p>
    <w:p>
      <w:pPr>
        <w:spacing w:after="100"/>
      </w:pPr>
      <w:r>
        <w:t xml:space="preserve">Para invertir hay que creer que Agentforce y Data 360 (ARR de ≈3.900 M) [7] convierten la amenaza de los agentes en consumo nuevo antes de que los clientes recorten asientos, y que la dirección no vuelve a comprar caro: el ROIC (10,8 %) ya iguala al WACC. El mercado acierta al no pagar más; nuestro valor (208,20 USD) queda un 9,1 % por debajo, sobre todo por la tasa.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(ene-2029), ponderado 30/45/25)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8,86 = 192,26 · 27,2x × 11,14 = 303,01 · 36,7x × 12,88 = 472,70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 / 33,0 %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283,36 (nuestro base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 / -43,7 %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frente a 10,9 %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208,20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208,20 y 348,80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348,80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cRPO del 3T27 o del 4T27 crece menos del 10 % a tipo constante, pasaríamos a Vender.</w:t>
      </w:r>
    </w:p>
    <w:p>
      <w:pPr>
        <w:pStyle w:val="ListParagraph"/>
        <w:numPr>
          <w:ilvl w:val="0"/>
          <w:numId w:val="2"/>
        </w:numPr>
        <w:spacing w:after="60"/>
      </w:pPr>
      <w:r>
        <w:t xml:space="preserve">Si la tasa de bajas supera el 9 %, pasaríamos a Vender.</w:t>
      </w:r>
    </w:p>
    <w:p>
      <w:pPr>
        <w:pStyle w:val="ListParagraph"/>
        <w:numPr>
          <w:ilvl w:val="0"/>
          <w:numId w:val="2"/>
        </w:numPr>
        <w:spacing w:after="60"/>
      </w:pPr>
      <w:r>
        <w:t xml:space="preserve">Si la guía de FY2028 da un crecimiento orgánico de al menos el 9 % con margen operativo GAAP por encima del 22 %, pasaríamos a Comprar.</w:t>
      </w:r>
    </w:p>
    <w:p>
      <w:pPr>
        <w:pStyle w:val="ListParagraph"/>
        <w:numPr>
          <w:ilvl w:val="0"/>
          <w:numId w:val="2"/>
        </w:numPr>
        <w:spacing w:after="60"/>
      </w:pPr>
      <w:r>
        <w:t xml:space="preserve">Si la acción baja de 199,87 USD sin cambio en las cifras, pasaríamos a Comprar; por encima de 280,03 USD, a Vender.</w:t>
      </w:r>
    </w:p>
    <w:p>
      <w:pPr>
        <w:pStyle w:val="ListParagraph"/>
        <w:numPr>
          <w:ilvl w:val="0"/>
          <w:numId w:val="2"/>
        </w:numPr>
        <w:spacing w:after="60"/>
      </w:pPr>
      <w:r>
        <w:t xml:space="preserve">Si se anuncia una compra de más de 10.000 M, revisaríamos a la baja el valor (≈12,7 USD por acción por cada 10.000 M sin rendimiento).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orgánico vuelve al 8-9 % y el margen sigue subiendo: el precio pide un 7,4 % de crecimiento anual hasta FY2036e y un margen final del 34 %, y el consenso espera un 9,7 % en FY2028e-FY2029e [60]. El rebote de junio a septiembre (de 146,32 a 229,13 USD) refleja que el temor a la IA se ha moderado tras el 2T27 [57, 77].</w:t>
      </w:r>
    </w:p>
    <w:p>
      <w:pPr>
        <w:keepNext/>
        <w:spacing w:after="100"/>
      </w:pPr>
      <w:r>
        <w:rPr>
          <w:b/>
          <w:bCs/>
        </w:rPr>
        <w:t xml:space="preserve">Lo que creemos nosotros.</w:t>
      </w:r>
    </w:p>
    <w:p>
      <w:pPr>
        <w:spacing w:after="100"/>
      </w:pPr>
      <w:r>
        <w:t xml:space="preserve">Coincidimos en el año próximo, pero damos un 30 % a que los agentes encojan los asientos más deprisa de lo que crece el consumo, y medimos la remuneración en acciones como gasto. Con un WACC del 10,94 % el valor es de 206,30 USD en el DCF.</w:t>
      </w:r>
    </w:p>
    <w:p>
      <w:pPr>
        <w:keepNext/>
        <w:spacing w:after="100"/>
      </w:pPr>
      <w:r>
        <w:rPr>
          <w:b/>
          <w:bCs/>
        </w:rPr>
        <w:t xml:space="preserve">Por qué podemos tener razón.</w:t>
      </w:r>
    </w:p>
    <w:p>
      <w:pPr>
        <w:spacing w:after="100"/>
      </w:pPr>
      <w:r>
        <w:t xml:space="preserve">La única métrica que la empresa no da es la que decide: el número de asientos en las renovaciones. Lo que sí da apunta en las dos direcciones: cRPO +14 % y bajas estables, pero un ARR de Agentforce redefinido y socios que no ven ingresos [7, 80]. Sin visión distinta del año próximo, la nuestra es de tasa y de riesgo.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y retención</w:t>
      </w:r>
      <w:r>
        <w:t xml:space="preserve">: n.º 1 en CRM con el 20,0 % del mercado y bajas estables en ≈8 % [2, 14].</w:t>
      </w:r>
    </w:p>
    <w:p>
      <w:pPr>
        <w:pStyle w:val="ListParagraph"/>
        <w:numPr>
          <w:ilvl w:val="0"/>
          <w:numId w:val="2"/>
        </w:numPr>
        <w:spacing w:after="60"/>
      </w:pPr>
      <w:r>
        <w:rPr>
          <w:b/>
        </w:rPr>
        <w:t xml:space="preserve">Margen en ascenso</w:t>
      </w:r>
      <w:r>
        <w:t xml:space="preserve">: EBITDA GAAP del 12,4 % en FY2023 al 27,0 % en FY2026, con guía de margen operativo GAAP del 20,1 % en FY2027 [7].</w:t>
      </w:r>
    </w:p>
    <w:p>
      <w:pPr>
        <w:pStyle w:val="ListParagraph"/>
        <w:numPr>
          <w:ilvl w:val="0"/>
          <w:numId w:val="2"/>
        </w:numPr>
        <w:spacing w:after="60"/>
      </w:pPr>
      <w:r>
        <w:rPr>
          <w:b/>
        </w:rPr>
        <w:t xml:space="preserve">Cartera contratada</w:t>
      </w:r>
      <w:r>
        <w:t xml:space="preserve">: cRPO de 33.500 M, +14 % interanual en el 2T27 [7].</w:t>
      </w:r>
    </w:p>
    <w:p>
      <w:pPr>
        <w:pStyle w:val="ListParagraph"/>
        <w:numPr>
          <w:ilvl w:val="0"/>
          <w:numId w:val="2"/>
        </w:numPr>
        <w:spacing w:after="60"/>
      </w:pPr>
      <w:r>
        <w:rPr>
          <w:b/>
        </w:rPr>
        <w:t xml:space="preserve">Retorno al accionista</w:t>
      </w:r>
      <w:r>
        <w:t xml:space="preserve">: recompra acelerada de 25.000 M a un precio medio esperado de 182 USD, por debajo del precio actual [10].</w:t>
      </w:r>
    </w:p>
    <w:p>
      <w:pPr>
        <w:pStyle w:val="ListParagraph"/>
        <w:numPr>
          <w:ilvl w:val="0"/>
          <w:numId w:val="2"/>
        </w:numPr>
        <w:spacing w:after="60"/>
      </w:pPr>
      <w:r>
        <w:rPr>
          <w:b/>
        </w:rPr>
        <w:t xml:space="preserve">Opcionalidad en Anthropic</w:t>
      </w:r>
      <w:r>
        <w:t xml:space="preserve">: inversiones estratégicas de 11.324 M a valor contable, el 45 % en Anthropic [2].</w:t>
      </w:r>
    </w:p>
    <w:p>
      <w:pPr>
        <w:pStyle w:val="Heading2"/>
      </w:pPr>
      <w:r>
        <w:t xml:space="preserve">En contra</w:t>
      </w:r>
    </w:p>
    <w:p>
      <w:pPr>
        <w:pStyle w:val="ListParagraph"/>
        <w:numPr>
          <w:ilvl w:val="0"/>
          <w:numId w:val="2"/>
        </w:numPr>
        <w:spacing w:after="60"/>
      </w:pPr>
      <w:r>
        <w:rPr>
          <w:b/>
        </w:rPr>
        <w:t xml:space="preserve">Asientos en riesgo</w:t>
      </w:r>
      <w:r>
        <w:t xml:space="preserve">: el bajista (los agentes reducen las plantillas de los clientes) vale 129,09 USD, −43,7 % [22].</w:t>
      </w:r>
    </w:p>
    <w:p>
      <w:pPr>
        <w:pStyle w:val="ListParagraph"/>
        <w:numPr>
          <w:ilvl w:val="0"/>
          <w:numId w:val="2"/>
        </w:numPr>
        <w:spacing w:after="60"/>
      </w:pPr>
      <w:r>
        <w:rPr>
          <w:b/>
        </w:rPr>
        <w:t xml:space="preserve">ROIC igual al WACC</w:t>
      </w:r>
      <w:r>
        <w:t xml:space="preserve">: 10,8 % frente a 10,94 %, por 57.941 M de fondo de comercio [1].</w:t>
      </w:r>
    </w:p>
    <w:p>
      <w:pPr>
        <w:pStyle w:val="ListParagraph"/>
        <w:numPr>
          <w:ilvl w:val="0"/>
          <w:numId w:val="2"/>
        </w:numPr>
        <w:spacing w:after="60"/>
      </w:pPr>
      <w:r>
        <w:rPr>
          <w:b/>
        </w:rPr>
        <w:t xml:space="preserve">Orgánico lento</w:t>
      </w:r>
      <w:r>
        <w:t xml:space="preserve">: ≈7 % en FY2027e; el resto del +11,4 % son compras y divisa [7].</w:t>
      </w:r>
    </w:p>
    <w:p>
      <w:pPr>
        <w:pStyle w:val="ListParagraph"/>
        <w:numPr>
          <w:ilvl w:val="0"/>
          <w:numId w:val="2"/>
        </w:numPr>
        <w:spacing w:after="60"/>
      </w:pPr>
      <w:r>
        <w:rPr>
          <w:b/>
        </w:rPr>
        <w:t xml:space="preserve">Más deuda</w:t>
      </w:r>
      <w:r>
        <w:t xml:space="preserve">: deuda neta ajustada de 35.518 M (3,0 veces el EBITDA) tras la recompra [2].</w:t>
      </w:r>
    </w:p>
    <w:p>
      <w:pPr>
        <w:pStyle w:val="ListParagraph"/>
        <w:numPr>
          <w:ilvl w:val="0"/>
          <w:numId w:val="2"/>
        </w:numPr>
        <w:spacing w:after="60"/>
      </w:pPr>
      <w:r>
        <w:rPr>
          <w:b/>
        </w:rPr>
        <w:t xml:space="preserve">Remuneración en acciones</w:t>
      </w:r>
      <w:r>
        <w:t xml:space="preserve">: 3.509 M en FY2026 (8,5 % de las ventas), fuera del margen ajustado que guía la empresa [1].</w:t>
      </w:r>
    </w:p>
    <w:p>
      <w:pPr>
        <w:pStyle w:val="ListParagraph"/>
        <w:numPr>
          <w:ilvl w:val="0"/>
          <w:numId w:val="2"/>
        </w:numPr>
        <w:spacing w:after="60"/>
      </w:pPr>
      <w:r>
        <w:rPr>
          <w:b/>
        </w:rPr>
        <w:t xml:space="preserve">Gobierno</w:t>
      </w:r>
      <w:r>
        <w:t xml:space="preserve">: presidente ejecutivo y voto de remuneración rechazado en 2024 (53,9 % en contra) [38].</w:t>
      </w:r>
    </w:p>
    <w:p>
      <w:pPr>
        <w:pStyle w:val="Heading2"/>
      </w:pPr>
      <w:r>
        <w:t xml:space="preserve">Qué tiene que pasar para que la tesis funcione</w:t>
      </w:r>
    </w:p>
    <w:p>
      <w:pPr>
        <w:spacing w:after="100"/>
      </w:pPr>
      <w:r>
        <w:t xml:space="preserve">La tesis depende de que el crecimiento del consumo de agentes compense la caída de asientos. La señal temprana es el cRPO: si su crecimiento a tipo constante baja del 10 % dos trimestres seguidos mientras la empresa destaca el ARR de Agentforce y las unidades de trabajo agéntico, el bajista gana peso. La segunda es la tasa de bajas: por encima del 9 % indicaría que los clientes empiezan a sustituir aplicaciones.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cRPO (crecimiento interanual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12 meses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bajas (attrition)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cambio y la sustitución por agentes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(FY2027e)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en la guía de FY2028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pide 9,5 % en FY2028e.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 (2T27); guía FY2027 20,1 %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subida del margen EBITDA al 31 %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real que el margen ajustado excluye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 / 14,6x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 25,2x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(FY2020-FY2026)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Salesforce nació en marzo de 1999 en San Francisco, fundada por Marc Benioff, Parker Harris, Dave Moellenhoff y Frank Dominguez, con la idea de vender CRM como servicio en internet en lugar de licencias instaladas [1, 32]. Salió a bolsa en la NYSE en junio de 2004 con el símbolo CRM y captó 110 M USD [32]. Desde 2013 creció con compras grandes: ExactTarget (marketing), MuleSoft (integración), Tableau (analítica) y Slack (colaboración), esta última por 27.700 M USD [32]. En 2023, con Elliott como accionista activista y tras recortar un 10 % la plantilla, giró hacia los márgenes: el margen operativo no GAAP pasó del 22,5 % del FY2023 al 34,1 % del FY2026 [10, 32]. Desde 2024 paga dividendo [1], y en noviembre de 2025 cerró su mayor compra desde Slack, Informatica, por unos 9.600 M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(marzo) por Marc Benioff, Parker Harris, Dave Moellenhoff y Frank Dominguez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(junio), símbolo CRM, con 110 M USD captados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ExactTarget por 2.500 M USD, base de Marketing Cloud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MuleSoft por 6.500 M USD: integración y API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Tableau por 15.700 M USD: analítica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Dow Jones (anunciado en agosto de 2020)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en julio la compra de Slack por 27.700 M USD, anunciada en diciembre de 2020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Management anuncia una gran participación (enero) y la empresa recorta ≈ 10 % de la plantilla, unos 8.000 puestos [32]; empieza el giro a márgenes: margen no GAAP del 22,5 % en el FY2023 y del 30,5 % en el FY2024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trimestral (FY2025) [1] y compra de Own Company por 1.900 M USD (septiembre)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Agentforce por consumo con créditos Flex (mayo) [20]; cierre de la compra de Informatica (noviembre), por unos 9.600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(16-sep): objetivo de más de 63.000 M USD de ingresos en el FY2030 y recompra acelerada de 25.000 M USD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Salesforce vende software de gestión de relaciones con clientes (CRM) en la nube, por suscripción, a empresas de todos los tamaños e industrias, de forma directa y a través de socios [1]. Desde el 1T27 agrupa sus ingresos de suscripción en dos bloques: Agentforce Apps (Sales, Service, Marketing, Commerce, créditos Flex de las aplicaciones y Slack) y Data 360, Headless Platform y otros (Data 360, integración con MuleSoft, Tableau e Informatica) [2, 7]. Agentforce es la capa de agentes de IA autónomos que trabaja sobre los datos de Data 360, las reglas guardadas en los metadatos de Salesforce y las API de MuleSoft [1]. Para pymes vende Starter Suite, un paquete de ventas, servicio, marketing y comercio [1]. Informatica, comprada en noviembre de 2025 por unos 9.600 M USD, aportó unos 400 M USD de ingresos en el FY2026 [1]. La plantilla era de 83.334 empleados a 31 de enero de 2026 [1].</w:t>
      </w:r>
    </w:p>
    <w:p>
      <w:pPr>
        <w:pStyle w:val="Heading2"/>
      </w:pPr>
      <w:r>
        <w:t xml:space="preserve">Cómo gana dinero</w:t>
      </w:r>
    </w:p>
    <w:p>
      <w:pPr>
        <w:spacing w:after="100"/>
      </w:pPr>
      <w:r>
        <w:t xml:space="preserve">El grueso de los ingresos son suscripciones con contratos de 12 a 36 meses que se reconocen de forma lineal durante el contrato, de modo que la mayor parte de lo que se reconoce en un trimestre procede de contratos firmados en trimestres anteriores [1]. El cobro tradicional es por usuario y mes; Agentforce y Data 360 se venden además por consumo: 2 USD por conversación al lanzarse y, desde mayo de 2025, créditos Flex a 500 USD por 100.000 créditos, con 20 créditos (0,10 USD) por acción de un agente [1, 20]. El 4T es el trimestre más fuerte en contratos nuevos y renovaciones, por lo que los ingresos diferidos y los cobros son muy estacionales [1]. El Investor Day fija un margen operativo no GAAP del 34,3 % para el FY2027, frente al 18,7 % del FY2022; el margen GAAP del FY2026 fue del 20,1 % (8.331 M USD sobre 41.525 M USD)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360 Platform, Slack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Marketing y Commerce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Integration y Analytics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360 Platform, Slack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Marketing y Commerce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Integration y Analytics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supuso el 10 % o más de los ingresos en el FY2026 ni en el FY2025 [1]. La tasa de bajas (pérdida del valor anualizado de los contratos, en doce meses móviles) era de aproximadamente el 8 % a 31 de enero de 2026, sin contar Slack autoservicio ni compras del año, y seguía en torno al 8 % a 31 de julio de 2026, ya sin Informatica; la empresa la describe como estable frente al año anterior [1, 2]. Los clientes no están obligados a renovar y pueden renovar con menos usuarios o pasar a ediciones más baratas; el 10-Q del 2T27 añade como riesgo la caída del número de usuarios en los clientes y el avance del cobro por consumo [2]. Señales de poder de precio y de venta cruzada: unas cinco nubes por cliente de media en el grupo de empresas de IA que destaca la compañía, +1,5 en dos años [10]; en el 2T27 la facturación de las ediciones premium Agentforce One y Agentforce for Apps se duplicó con creces frente al trimestre anterior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cRPO (obligaciones de desempeño a 12 meses), miles de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(ene-26); 33,5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en FY2026 (+13 % a tipo constante, 4 puntos de Informatica); +14 % interanual en jul-26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3T27: ≈+14 % interanual a tipo constante, sin Contentful ni Fin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total, miles de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(ene-26); 66,3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en FY2026; +11 % interanual en jul-26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≈2.200 M de Informatica a ene-26; baja estacional en el 1S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ARR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M (4T26, +169 %)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&gt;1.500 M (2T27, +240 %)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Definición ampliada desde el 2T27 (incluye Slackbot y Headless 360)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son homogéneas entre trimestres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 Data 360 ARR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&gt;2.900 M (4T26, con 1.100 M de Informatica Cloud)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 M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&gt;+210 % interanual (con Informatica)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muy apoyado en la compra de Informatica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bajas (attrition, anual móvil)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(ene-26)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Slack autoservicio, Informatica y compras del año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76.453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83.334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Informatica; 15.000 comerciales (AE) y 1.200 más previstos en FY2027 [1, 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Acuerdos de Agentforce desde el lanzamiento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&gt;29.000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trimestral en el 4T26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2T27 se sumaron 2.000 clientes de pago en producción, según la conferencia [8,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Informatica consolidados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M (FY2026, desde nov-25)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M (1S27); 456 M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FY2027: algo más de 3 puntos de crecimiento [1, 2,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aplicaciones CRM: automatización de ventas, marketing, atención al cliente y centros de contacto, y, según el perímetro, comercio digital y publicidad [14, 16]. Se usa como serie la de Apps Run The World (ARTW), que publica el tamaño de 2022 a 2024 y una previsión a 2029 [17]; Grand View Research da un orden de magnitud parecido para 2025 (79.600 M USD) [18], mientras que Fortune Business Insights usa un perímetro más amplio (112.910 M USD en 2025) [19]. El ranking de referencia que cita Salesforce es el de IDC (Worldwide Semiannual Software Tracker), que no publica el tamaño total [15]. Mercado más amplio: el Investor Day de septiembre de 2026, con datos de Gartner, sitúa el gasto mundial en software de IA, plataformas de IA y agentes de empresa creciendo un 35 % anual entre 2025 y 2030, frente al 3 % del software sin IA, de modo que en 2030 el 56 % del gasto en software estaría ligado a la IA (1,1 billones de USD de gasto incremental en IA entre 2025 y 2030)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80.007 M USD en 2024, +10,5 % interanual, según ARTW [17]; previsión de 106.100 M USD en 2029 (TCAC del 5,8 %) [17]. Grand View Research: 79.600 M USD en 2025 y 161.300 M USD en 2033 (TCAC 2026-2033 del 9,3 %)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ARTW; 2022-2024 publicados; 2025e-2028e interpolados por estimación propia con la TCAC del 5,8 % hasta el dato publicado de 2029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IA y agentes de empresa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citado por Salesforce: el gasto en software de IA y agentes crece un 35 % anual en 2025-2030 frente al 3 % del software sin IA [10]. El ARR de Agentforce y Data 360 llegó a casi 3.900 M USD en el 2T27 (+210 %) y el de Agentforce superó los 1.500 M USD (+240 %)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empleados por cliente (presión sobre el cobro por usuario)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redujo unos 4.000 puestos de su propio soporte al pasar trabajo a agentes de IA [22]. Su 10-Q cita como riesgo la caída del número de usuarios en los clientes y el avance del cobro por consumo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cobro por asiento al cobro por consumo o resultado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conversación (2 USD) y créditos Flex (0,10 USD por acción) desde mayo de 2025 [20]; Salesforce admite poca experiencia en fijar precios de consumo [1]. En el Investor Day presenta un escenario de cliente con agentes con «cierta optimización de asientos» y ARR de 1,5 a 2 veces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proveedores y venta multiproducto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cinco nubes por cliente de media en el grupo de clientes de IA que muestra Salesforce, +1,5 en dos años [10]; los diez primeros proveedores suman el 54,2 % del mercado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gasto en TI y presupuestos de empresa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creció un 11,8 % en 2023 y un 10,5 % en 2024 según ARTW [17]; Salesforce avisa de que las caídas económicas alargan los ciclos de venta y reducen renovaciones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define su mercado como muy competitivo, cambiante, fragmentado y con barreras de entrada bajas [1]. Los cinco primeros suman ≈ 35 % según IDC 2025 [16], y Microsoft, Oracle, SAP y Adobe están entre 3 % y 4 % cada uno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pesa un 10 % de los ingresos [1], pero los clientes pueden renovar con menos usuarios o pasar a ediciones más baratas [2]; la tasa de bajas se mantiene en ≈ 8 %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centros de datos y nubes de terceros (Hyperforce sobre nube pública) y de modelos de lenguaje de terceros para Agentforce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añade como competidores a empresas nativas de IA que usan modelos de lenguaje para «saltarse» los flujos de trabajo tradicionales [1]; Anthropic lanzó Claude Cowork el 12-ene-2026 y sus complementos el 30-ene-2026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que trabajan sin interfaz de usuario y desarrollos internos sobre plataformas de nube, que el propio 10-K cita como competencia [1]. El índice SEG SaaS cayó un 25,7 % en el 1T de 2026 por este temor, mezclado con la caída general del mercado [21].</w:t>
            </w:r>
          </w:p>
        </w:tc>
      </w:tr>
    </w:tbl>
    <w:p>
      <w:pPr>
        <w:spacing w:after="160" w:before="0"/>
      </w:pPr>
    </w:p>
    <w:p>
      <w:pPr>
        <w:pStyle w:val="Heading2"/>
      </w:pPr>
      <w:r>
        <w:t xml:space="preserve">Ciclo</w:t>
      </w:r>
    </w:p>
    <w:p>
      <w:pPr>
        <w:spacing w:after="100"/>
      </w:pPr>
      <w:r>
        <w:t xml:space="preserve">El crecimiento del mercado se ha moderado del 11,8 % de 2023 al 10,5 % de 2024 y la previsión de ARTW baja al 5,8 % anual hasta 2029 [17]. El gasto en software de IA crece al 35 % anual mientras el resto del software lo hace al 3 % [10]: el ciclo se desplaza hacia la IA. En 2026 la bolsa castigó el software de aplicaciones (índice SEG SaaS −25,7 % en el 1T, Salesforce −29,4 %, HubSpot −39,5 %) [21].</w:t>
      </w:r>
    </w:p>
    <w:p>
      <w:pPr>
        <w:pStyle w:val="Heading2"/>
      </w:pPr>
      <w:r>
        <w:t xml:space="preserve">Regulación</w:t>
      </w:r>
    </w:p>
    <w:p>
      <w:pPr>
        <w:spacing w:after="100"/>
      </w:pPr>
      <w:r>
        <w:t xml:space="preserve">La Ley de IA de la UE entró en vigor el 1-ago-2024; las prohibiciones se aplican desde el 2-feb-2025, las obligaciones de los modelos de uso general desde el 2-ago-2025 y la aplicación general y las obligaciones de transparencia desde el 2-ago-2026 [23]. El paquete Digital Omnibus, en vigor desde el 27-jul-2026, aplazó los sistemas de alto riesgo al 2-dic-2027 (anexo III) y al 2-ago-2028 (anexo I) [23]. El Reglamento de Datos de la UE se aplica desde el 12-sep-2025 e incluye reglas para facilitar el cambio de proveedor de nube [24]. Salesforce cita además el RGPD, la ley india de protección de datos de 2023, las leyes de IA de Colorado y de Utah, el proyecto de normas de la CCPA sobre decisiones automatizadas y los requisitos de soberanía y localización de datos [1].</w:t>
      </w:r>
    </w:p>
    <w:p>
      <w:pPr>
        <w:pStyle w:val="Heading2"/>
      </w:pPr>
      <w:r>
        <w:t xml:space="preserve">Tendencias y disrupción</w:t>
      </w:r>
    </w:p>
    <w:p>
      <w:pPr>
        <w:spacing w:after="100"/>
      </w:pPr>
      <w:r>
        <w:t xml:space="preserve">La tendencia dominante es el paso de aplicaciones usadas por personas a agentes de IA que ejecutan tareas. Salesforce lo mide en unidades de trabajo agéntico: 7.000 millones acumuladas, 3.200 millones en el 2T27 (+97 % trimestral) [7]. Los grandes laboratorios de IA entran en la capa de aplicación: Anthropic (Claude Cowork y complementos, enero de 2026) y OpenAI captaron 30.000 y 110.000 M USD en febrero de 2026 [21]. A la vez, Salesforce gana cuota en el mercado de creación y despliegue de agentes: del 6,9 % al 17,5 %, del 4.º al 2.º puesto en 2025 según IDC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aplicaciones CRM por ingresos según IDC, con el 20,0 % en 2025 (20,7 % en 2024), por delante de Oracle (4,1 %) y Microsoft (4,0 %) [14, 15, 16]; n.º 1 en ventas por 13.º año, en servicio al cliente por 12.º y en marketing por 6.º (datos de 2024) [14]. En creación y despliegue de agentes de IA es n.º 2 con el 17,5 % en 2025 [15]. En el perímetro de ARTW su cuota era del 26,1 % en 2024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(Dynamics 365)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Dynamics en el ejercicio a junio de 2026; el margen es el del grupo (155.237 M USD de resultado sobre 331.839 M USD), sin desglose para Dynamics [26]. Vende CRM y ERP integrados con Microsoft 365, Teams, Azure y Copilot.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de ingresos y 20.606 M USD de resultado de explotación del grupo [27]; CX Cloud y NetSuite en CRM, con crecimiento tirado por la infraestructura de nube.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ADBE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noviembre de 2025: 23.769 M USD y 8.706 M USD de resultado de explotación [28]. Compite con Marketing Cloud y Data 360 a través de Digital Experience (Experience Platform, Journey Optimizer).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 (Customer Experience)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 2025: 36.800 M EUR de ingresos (41.558 M USD al cambio medio que publica SAP) y 9.617 M EUR de resultado de explotación [29]; no desglosa Customer Experience. Vende CRM sobre todo a su base de clientes de ERP. Cuota IDC 2025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13.278 M USD y 1.824 M USD de resultado de explotación [30]. Entra en atención al cliente (Customer Service Management) y se presenta como capa de agentes sobre los sistemas de registro; décimo proveedor de CRM en 2024, con +34 %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HubSpot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3.131 M USD de ingresos (+19 %) y 7 M USD de resultado de explotación [25]. CRM para pymes y mercado medio con modelo freemium; tercer proveedor de CRM en 2024 según ARTW, con +21,2 % [17]. Su acción cayó un 39,5 % en el 1T de 2026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resultado de explotación [31]. No es rival directo en CRM: compite por el presupuesto de aplicaciones de empresa y de agentes (recursos humanos y finanzas).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Zoho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ni publica cuentas consolidadas; cuota inferior al 1 % según estimación de terceros [16]. Compite en precio en pymes con Zoho CRM y su suite.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AppExchange, mercado de aplicaciones de terceros que se venden sobre la plataforma, y una comunidad de «decenas de millones» de Trailblazers (desarrolladores, administradores y expertos) con miles de aplicaciones de socios [1]. Slack: el 100 % de las diez mayores empresas de IA de la lista de Forbes lo usa, según la compañía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bajas de ≈ 8 % estable [1, 2]; las comisiones activadas se amortizan en cuatro años, más que el contrato inicial, porque la empresa estima renovaciones [1]. Los datos, flujos y reglas de negocio de los clientes viven en los metadatos de la plataforma, que Agentforce reutiliza [1]. En contra: el Reglamento de Datos de la UE facilita cambiar de proveedor de nube desde el 12-sep-2025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CRM según IDC durante 12 años seguidos y cuota del 20,0 % en 2025, cinco veces la del segundo [5, 6, 7]. Trailhead, plataforma de formación gratuita, crea una base de profesionales certificados en Salesforce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GAAP del 20,1 % en el FY2026 [4], por debajo de Oracle (30,6 %), Adobe (36,6 %) o SAP (26,1 %) [18, 19, 20]; la ventaja no está en costes. El margen no GAAP subió del 18,7 % del FY2022 al 34,3 % previsto para el FY2027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41.525 M USD en el FY2026 [4], más de cuatro veces los de Dynamics (9.006 M USD) [17] y trece veces los de HubSpot [16]; más de 15.000 M USD invertidos en I+D desde el FY2024 [4].</w:t>
            </w:r>
          </w:p>
        </w:tc>
      </w:tr>
    </w:tbl>
    <w:p>
      <w:pPr>
        <w:spacing w:after="160" w:before="0"/>
      </w:pPr>
    </w:p>
    <w:p>
      <w:pPr>
        <w:pStyle w:val="Heading2"/>
      </w:pPr>
      <w:r>
        <w:t xml:space="preserve">Amenazas</w:t>
      </w:r>
    </w:p>
    <w:p>
      <w:pPr>
        <w:spacing w:after="100"/>
      </w:pPr>
      <w:r>
        <w:t xml:space="preserve">Primera: que los agentes reduzcan el número de usuarios que pagan licencia. Salesforce lo reconoce como riesgo (caída de usuarios en los clientes, más cobro por consumo) [2] y lo practica en casa: unos 4.000 puestos menos en su soporte [22]. Segunda: que los laboratorios de IA y Microsoft ocupen la capa de interfaz y relaciones con el cliente y dejen el CRM como base de datos. Anthropic lanzó Claude Cowork y sus complementos en enero de 2026 y el 3-feb-2026 el software perdió unos 285.000 M USD de capitalización [21]; el 10-K ya cita a empresas nativas de IA que pueden saltarse los flujos tradicionales [1]. Tercera: precio, por los competidores con oferta gratuita o en paquete (Microsoft, HubSpot, Zoho) [1]. Contrapeso: ARR de Agentforce por encima de 1.500 M USD (+240 %) [7] y bajas estables en ≈ 8 %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FY2020-FY2026: ingresos </w:t>
      </w:r>
      <w:r>
        <w:rPr>
          <w:b/>
          <w:bCs/>
        </w:rPr>
        <w:t xml:space="preserve">15,9 %</w:t>
      </w:r>
      <w:r>
        <w:t xml:space="preserve">, EBITDA </w:t>
      </w:r>
      <w:r>
        <w:rPr>
          <w:b/>
          <w:bCs/>
        </w:rPr>
        <w:t xml:space="preserve">39,2 %</w:t>
      </w:r>
      <w:r>
        <w:t xml:space="preserve">, BPA </w:t>
      </w:r>
      <w:r>
        <w:rPr>
          <w:b/>
          <w:bCs/>
        </w:rPr>
        <w:t xml:space="preserve">93,2 %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17.098 M en FY2020 a 41.525 M en FY2026, con fuerte peso inorgánico (Tableau en FY2020, Slack en FY2022, Informatica en FY2026) [1, 3, 5]. El crecimiento bajó del 24,3 % de FY2021 y el 24,7 % de FY2022 al 8,7 % de FY2025 y repuntó al 9,6 % en FY2026, del que ≈1,1 puntos son Informatica (399 M) [1]. El margen de explotación GAAP subió de 3,3 % en FY2023 a 20,1 % en FY2026 (+1.680 pb), por recortes de plantilla y contención de marketing y ventas, que bajaron del 43,1 % al 34,5 % de los ingresos [1, 4]. En el 1S27 los ingresos crecen el 12,0 % (≈7,5 % sin Informatica, estimación propia) y el margen GAAP baja al 20,8 % (21,3 % en el 1S26) por la amortización de intangibles de Informatica [2]. FY2022 y FY2026 no son comparables por las compras de Slack e Informatica.</w:t>
      </w:r>
    </w:p>
    <w:p>
      <w:pPr>
        <w:pStyle w:val="Heading2"/>
      </w:pPr>
      <w:r>
        <w:t xml:space="preserve">Ajustes y partidas no recurrentes</w:t>
      </w:r>
    </w:p>
    <w:p>
      <w:pPr>
        <w:spacing w:after="100"/>
      </w:pPr>
      <w:r>
        <w:t xml:space="preserve">Cifras GAAP reportadas. Sin partidas tratadas como no recurrentes dentro del EBITDA: la reestructuración (828, 988, 461 y 586 M en FY2023-FY2026; 174 M en el 1S27) se repite cada año [1, 2, 4]. El beneficio neto incluye plusvalías y minusvalías de inversiones estratégicas muy volátiles (+2.170 M en FY2021, −277 M en FY2024, +1.017 M en FY2026, +3.171 M en el 1S27) [1, 2, 3]. FY2021 incluye un ingreso fiscal de ≈2.000 M no recurrente [4]. El LTM es reportado, no pro forma: el 10-Q del 2T27 no publica pro forma de Informatica; el pro forma anual del 10-K da 42.853 M de ingresos en FY2026 [1]. El margen no GAAP de la empresa (34,1 % en FY2026) excluye remuneración en acciones (3.509 M), intangibles (1.687 M) y reestructuración [1, 8].</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1T27 (27-may-26) la dirección defendió la reaceleración del crecimiento orgánico en el segundo semestre, apoyada en que el valor anual de contratos nuevos (NNAOV) crece más que el total; Agentforce superó 1.000 M de ARR y el ARR de IA y datos llegó a 3.400 M; el margen no GAAP fue del 34,8 % y la guía de margen GAAP bajó a 20,6 % por más reestructuración; la ASR de 25.000 M recortó un 10 % las acciones diluidas [12]. En el 2T27 (26-ago-26) el discurso pasó de la promesa a los datos: cRPO +14 % a tipo constante, un punto por encima de la guía, NNAOV con el mayor crecimiento en cuatro años, Agentforce por encima de 1.500 M de ARR (con una definición más amplia) y subida de la guía de ingresos en 300 M a tipo constante, de los que solo 100 M son orgánicos y 200 M vienen de Contentful y Fin [7, 11]. Los analistas preguntaron sobre todo por la conversión de pilotos de Agentforce en clientes de pago, la monetización de Headless 360 y Claudeforce, el valor de contrato por cliente y la durabilidad de los ingresos frente a la IA [11, 12]. La dirección no dio el crecimiento orgánico sin Informatica, los ingresos (no ARR) de Agentforce, el reparto entre cobro por asiento, consumo y resultado, la compresión de asientos ni el margen de FY2028, que aplazó a Dreamforce [11, 12]. En el Investor Day (16-sep-26) reiteró el objetivo de más de 63.000 M de ingresos en FY2030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Slack, consolidada desde el 21-jul-21 (27.068 M de contraprestación): aportó ≈584 M de ingresos de suscripción en FY2022 [5].; FY2026: Informatica, consolidada desde noviembre de 2025 (9.636 M): entra entera en el balance de ene-26 y solo ≈2,5 meses en la cuenta (399 M de ingresos, 24 M de beneficio antes de impuestos) [1].; FY2027: Informatica consolidada el año entero (900 M de ingresos en el 1S27) y Qualified (abril de 2026, 1.200 M); Contentful y Fin pendientes de cierre en el 3T27 [2,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FY2026 el balance tenía caja neta: 9.565 M de caja e inversiones negociables frente a 14.439 M de deuda, más 7.591 M de inversiones estratégicas [1]. En marzo de 2026 emitió 25.000 M en bonos para la ASR y refinanció los 6.000 M de Informatica con un préstamo a 2031: a jul-26 la deuda bruta es de 39.500 M frente a 11.403 M de liquidez, y el patrimonio baja a 38.378 M [2]. Los bonos nuevos salieron con A2 de Moody's y A+ con perspectiva negativa de S&amp;P, que la revisó por el aumento previsto del apalancamiento [13]. El circulante es estructuralmente negativo por los pasivos de contrato (24.317 M a ene-26), que bajan a 18.787 M a jul-26 por estacionalidad; los clientes caen de 14.339 a 6.320 M en el mismo periodo [1, 2]. El gasto por intereses se multiplicó por seis en el 2T27 (473 M frente a 67 M)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FY2020-FY2026: FCF </w:t>
      </w:r>
      <w:r>
        <w:rPr>
          <w:b/>
          <w:bCs/>
        </w:rPr>
        <w:t xml:space="preserve">53.042</w:t>
      </w:r>
      <w:r>
        <w:t xml:space="preserve">, conversión </w:t>
      </w:r>
      <w:r>
        <w:rPr>
          <w:b/>
          <w:bCs/>
        </w:rPr>
        <w:t xml:space="preserve">224 %</w:t>
      </w:r>
      <w:r>
        <w:t xml:space="preserve"> del beneficio neto; adquisiciones 29.049, dividendos 3.124, recompras 32.045.</w:t>
      </w:r>
    </w:p>
    <w:p>
      <w:pPr>
        <w:spacing w:after="100"/>
      </w:pPr>
      <w:r>
        <w:t xml:space="preserve">El flujo operativo pasó de 4.331 M en FY2020 a 14.996 M en FY2026 y supera con holgura el beneficio neto (2,0 veces en FY2026), porque suma la remuneración en acciones (3.509 M) y las amortizaciones (3.631 M), y porque la facturación anticipada hace crecer los pasivos de contrato (+2.924 M en FY2026) [1]. El capex es pequeño y baja: 594 M en FY2026 (1,4 % de ventas), frente a 798 M en FY2023 [1, 3]. La inversión en comisiones activadas no está en el capex: su saldo neto subió 614 M en FY2026 [1]. Los años con grandes salidas por adquisiciones son FY2022 (Slack, 14.876 M) y FY2026 (Informatica, 9.268 M) [1, 5]. La empresa no separa capex de mantenimiento y de crecimiento. Para FY2027 guía un FCF +4-5 %, lastrado ≈5 puntos por los intereses de la deuda de la ASR [7, 12].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Salesforce desde 2002 y emitió opinión favorable sobre las cuentas y el control interno de FY2026; la materia clave fue la valoración de los intangibles de Informatica [1]. La remuneración en acciones es la partida más relevante para la calidad del beneficio: 3.509 M en FY2026, el 8,5 % de las ventas y el 47 % del beneficio neto, aunque baja desde el 10,5 % de FY2023 [1, 4]. Las comisiones comerciales se activan (5.060 M de saldo) y se amortizan a cuatro años en marketing y ventas [1]. La reestructuración se repite desde FY2023 [1, 4]. El beneficio neto incorpora revalorizaciones de inversiones privadas por transacciones observables (1.017 M en FY2026 y 3.171 M en el 1S27), que no son caja [1, 2]. No consta deterioro del fondo de comercio en FY2025-FY2026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3.509 M en FY2026 (8,5 % de ventas, 47 % del beneficio neto) y 1.763 M en el 1S27; el margen no GAAP la excluye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todos los años desde FY2023: 828, 988, 461 y 586 M; 174 M en el 1S27 [1,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inflado por inversiones estratégicas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Plusvalías de 1.017 M en FY2026 y 3.171 M en el 1S27 (2,87 USD de BPA), sobre todo revalorizaciones de privadas por transacciones observables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comisiones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Saldo de 5.060 M a ene-26; capitalización (2.811 M) por encima de la amortización (2.197 M) en 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y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57.941 M (52 % del activo) e intangibles de 6.815 M a ene-26; sin deterioro del fondo de comercio en FY2025-FY2026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interno sin Informatica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evaluación del control interno de FY2026 excluyó Informatica y Regrello (≈1 % del activo)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20,2 % · </w:t>
      </w:r>
      <w:r>
        <w:rPr>
          <w:b/>
          <w:bCs/>
        </w:rPr>
        <w:t xml:space="preserve">WACC</w:t>
      </w:r>
      <w:r>
        <w:t xml:space="preserve">: 10,9 %.</w:t>
      </w:r>
    </w:p>
    <w:p>
      <w:pPr>
        <w:spacing w:after="100"/>
      </w:pPr>
      <w:r>
        <w:t xml:space="preserve">El ROIC de FY2026 es del 10,8 %, prácticamente igual al WACC del 10,94 %: Salesforce apenas crea valor sobre todo su capital, porque el capital invertido (60.402 M) es casi entero fondo de comercio e intangibles de compras (64.756 M a enero de 2026, con Slack, Tableau, MuleSoft e Informatica) [1]. Sin ese fondo de comercio el negocio orgánico rinde varias veces su coste de capital: el circulante es negativo (−41,9 % de las ventas) y el capex no llega al 1,5 % de las ventas. El ROIC ha subido desde el 1,1 % de FY2023 al 10,8 % por el margen (EBIT del 3,3 % al 20,1 %), no por la rotación (0,32 a 0,39 veces). El ROIC incremental histórico es del 20,2 %: el crecimiento reciente rinde por encima del WACC porque llegó con margen, no con compras. Frente a los comparables, la mediana de ROIC es del 20,3 %; Adobe (61,6 %) y Autodesk (58,5 %) compraron mucho menos [67]. Cada compra grande (Informatica, 9.636 M) rebaja el ROIC del grupo: es la prueba de la asignación de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31-jul-26: caja y equivalentes 8.310 M + inversiones negociables 3.093 M (11.403 M) + línea de crédito revolving no dispuesta de 5.000 M (vence oct-2029) [2]. A 31-ene-26: 9.565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(perspectiva estable) y S&amp;P A+ (perspectiva negativa), según la hoja de términos de la emisión de 25.000 M del 11-mar-26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operativos de 2.737 M a ene-26 (fuera de la deuda en US GAAP) y compromisos de arrendamiento, incluidos los no iniciados, de 4.400 M [1]. Compromisos con proveedores de infraestructura en la nube no recogidos en el balance [1]. La ASR de 25.000 M tiene pendiente la entrega final de acciones (≈20 % restante) en el 3T27, registrada como contrato a plazo en el patrimonio [2]. Contentful y Fin están pendientes de cierre en el 3T27 [7]. Cumple todos los covenants [1, 2]. Otros pasivos no corrientes: 3.417 M a ene-26 y 3.694 M a jul-26 [1, 2].</w:t>
      </w:r>
    </w:p>
    <w:p>
      <w:pPr>
        <w:pStyle w:val="Heading1"/>
      </w:pPr>
      <w:r>
        <w:t xml:space="preserve">12. Asignación de capital</w:t>
      </w:r>
    </w:p>
    <w:p>
      <w:pPr>
        <w:pStyle w:val="Confianza"/>
        <w:spacing w:after="100"/>
      </w:pPr>
      <w:r>
        <w:t xml:space="preserve">Confianza: Media</w:t>
      </w:r>
    </w:p>
    <w:p>
      <w:pPr>
        <w:spacing w:after="100"/>
      </w:pPr>
      <w:r>
        <w:t xml:space="preserve">Dividendo trimestral desde FY2025: 0,40 USD, 0,416 USD en FY2026 y 0,44 USD en FY2027 (+5,8 %) [1, 8]. Programa de recompra desde agosto de 2022; en febrero de 2026 el consejo autorizó 50.000 M, de los que 25.000 M se ejecutan con una ASR financiada con bonos (103 M de acciones recibidas al inicio a 198,34 USD) y quedan 22.900 M a jul-26 [2]. La empresa espera reducir el número de acciones al menos un 14 % [10, 11]. Las prioridades declaradas en el Investor Day son innovación, M&amp;A «responsable» (con preferencia por pago no dilutivo) y retorno al accionista, con expansión continua del FCF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Tableau Software (analítica)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Agentforce Integration y Analytics (MuleSoft y Tableau), 6.232 M de ingresos en FY2026, +7,9 %; Tableau citada con debilidad en el 1T27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Vlocity (software sectorial)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las soluciones sectoriales; el negocio sectorial cerró FY2026 con 6.600 M de ARR, +20 %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Slack Technologies (comunicación)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15.799 M en caja y 11.064 M en acciones; deuda de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21.161 M; sin deterioro. La dirección dice que los ingresos de Slack se han multiplicado por ≈2,5 desde la compra y que el NNAOV de Slack del 2T27 fue el más alto desde entonces [5, 10,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Own Company (copias de seguridad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1.812 M; sin datos de ingresos separados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Spiff y Zoomin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323 M y 284 M; sin datos de ingresos separados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Regrello (automatización de procesos con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704 M; sin datos de ingresos separados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Informatica (gestión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6.000 M de créditos (refinanciados en marzo de 2026 con un préstamo a plazo a 2031)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399 M de ingresos en FY2026 y 900 M en el 1S27; la dirección dice que pasó de crecer a un dígito a dos dígitos; ≈1,1 puntos del crecimiento de FY2026 y algo más de 3 puntos en la guía de FY2027 [1, 2, 7,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Qualified.com (marketing con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954 M e intangibles de ≈290 M; consolidada desde abril de 2026 [2].</w:t>
            </w:r>
          </w:p>
        </w:tc>
      </w:tr>
    </w:tbl>
    <w:p>
      <w:pPr>
        <w:spacing w:after="160" w:before="0"/>
      </w:pPr>
    </w:p>
    <w:p>
      <w:pPr>
        <w:spacing w:after="100"/>
      </w:pPr>
      <w:r>
        <w:t xml:space="preserve">Entre FY2020 y FY2026 Salesforce destinó 29.049 M a adquisiciones netas de caja (además de acciones en Tableau y Slack), 32.045 M a recompras y 3.124 M a dividendos, frente a 55.709 M de FCF acumulado (estimación propia sobre el estado de flujos) [1, 3]. El fondo de comercio pasó de 25.134 M a 57.941 M en ese periodo [1, 3]. Desde FY2023 las recompras más que compensan la emisión por remuneración en acciones: las acciones diluidas medias bajaron de 997 M a 956 M entre FY2023 y FY2026, y a 821 M en el 2T27 [1, 2]. En FY2027 el giro es mayor: 25.000 M de recompra con deuda, a 198,34 USD de precio inicial, que eleva la deuda bruta a 39.500 M y lleva a S&amp;P a una perspectiva negativa [2,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delegado y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Salesforce en 1999 y preside el consejo desde entonces; la última vez que compartió la primera ejecutiva fue con Bret Taylor, co-CEO de noviembre de 2021 a enero de 2023 [35]. Con él al frente los ingresos pasaron de 17.100 M USD en FY2020 a 41.500 M en FY2026 y el margen operativo no-GAAP del 18,7 % (FY2022) al 34,1 % (FY2026) [8, 48]. Posee 22,8 millones de acciones (2,8 %), 10 millones a través de Marc Benioff Fund LLC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Washington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operaciones y financiera (COFO); también responsable contable principal desde marzo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Salesforce desde 2013 y consejera coordinadora independiente desde 2022, pasó a COFO el 21 de marzo de 2025 sustituyendo a Amy Weaver (CFO) y a Brian Millham (COO), que se jubiló [40]. Antes fue CFO de Gilead Sciences (2008-2019) y de Hyperion Solutions [35, 40]. Firma el 8-K del Investor Day de septiembre de 2026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 Harris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director de tecnología (CTO) de Slack;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Salesforce, consejero desde 2018 y hoy CTO de Slack [35]. Tiene 2,33 millones de acciones incluidas las de fideicomisos familiares y sociedades [35]. Vendió 134.662 acciones (31,6 M USD) el 2-dic-2025 bajo un plan 10b5-1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Miguel Milano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comercial (Chief Revenue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incorporó en agosto de 2023 y en FY2026 asumió la dirección de las unidades operativas globales, con traslado a EE. UU. y una ayuda de reubicación de 1 M USD en dos plazos [35]. Posee 35.010 acciones incluidas opciones ejercitables (menos del 0,01 %)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Sabastian Niles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jurídico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como President and Chief Legal Officer los 8-K de la compañía desde al menos julio de 2024 (votaciones de la junta de 2024) hasta septiembre de 2026 [38,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Guy Wanger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contable (Chief Accounting Officer) y responsable contable principal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el 27-may-2026 con efecto 15-jun-2026; 38 años en EY, donde fue socio auditor responsable del encargo de Salesforce entre 2016 y 2021; antes de llegar, director administrativo de C3 AI [43]. Salario de 700.000 USD, prima de entrada de 2 M USD y RSU por 9 M USD a cuatro años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Feb-2020: ingresos 21.000-21.100 M USD; BPA no-GAAP 3,16-3,18 USD; flujo operativo +20 %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21.250 M USD (+24 %); BPA no-GAAP 4,92 USD (1,82 USD por plusvalías de inversiones a valor razonable); flujo operativo 4.800 M USD (+11 %)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ingresos 25.650-25.750 M USD (con Slack); margen operativo no-GAAP 17,7 %; BPA no-GAAP 3,39-3,41 USD; flujo operativo +10-11 %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26.490 M USD (+25 %); margen no-GAAP 18,7 %; BPA no-GAAP 4,78 USD (0,98 USD por inversiones); flujo operativo 6.000 M USD (+25 %)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ingresos 32.000-32.100 M USD; margen no-GAAP 20 %; BPA no-GAAP 4,62-4,64 USD; flujo operativo +21-22 %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31.350 M USD (+18 %, +22 % a tipo constante); margen no-GAAP 22,5 %; BPA no-GAAP 5,24 USD; flujo operativo 7.100 M USD (+19 %)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ingresos 34.500-34.700 M USD; margen no-GAAP 27,0 %; BPA no-GAAP 7,12-7,14 USD; flujo operativo +15-16 %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34.860 M USD (+11 %); margen no-GAAP 30,5 %; BPA no-GAAP 8,22 USD; flujo operativo 10.230 M USD (+44 %)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ingresos 37.700-38.000 M USD; margen no-GAAP 32,5 %; BPA no-GAAP 9,68-9,76 USD; flujo operativo +21-24 %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37.900 M USD (+9 %); margen no-GAAP 33,0 %; BPA no-GAAP 10,20 USD; flujo operativo 13.100 M USD (+28 %)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ingresos 40.500-40.900 M USD; margen no-GAAP 34,0 %; BPA no-GAAP 11,09-11,17 USD; flujo operativo +10-11 %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41.500 M USD (+10 %, de ellos 399 M de Informatica); margen no-GAAP 34,1 %; BPA no-GAAP 12,52 USD (0,83 USD por plusvalías de inversiones); flujo operativo 15.000 M USD (+15 %)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Feb-2026: ingresos 45.800-46.200 M USD (unos 3 puntos de Informatica); margen no-GAAP 34,3 %; BPA no-GAAP 13,11-13,19 USD; flujo operativo +9-10 %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vigente (ago-2026): ingresos 46.100-46.400 M USD; margen no-GAAP 34,3 %; BPA no-GAAP 16,67-16,71 USD (con la recompra acelerada de 25.000 M USD); flujo operativo y FCF +4-5 %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FY2026 (Investor Day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Sep-2022: ingresos de 50.000 M USD en FY2026 (TCAC ~17 %) y margen operativo no-GAAP de 25 % o más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ingresos 41.500 M USD; margen no-GAAP 34,1 %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Benioff preside y dirige desde 1999; no hay sucesor designado y la última etapa de co-CEO, con Bret Taylor, terminó en enero de 2023 [35]. Desde FY2022 la guía anual de margen y BPA no-GAAP se ha superado todos los años, mientras que la de ingresos se incumplió en FY2023 por divisa y el objetivo de 50.000 M USD para FY2026 del Investor Day de 2022 se quedó en 41.500 M [8, 51, 53]. La guía de flujo operativo de FY2027 bajó del 9-10 % al 4-5 % [7, 8]. Rotación alta en la cúpula financiera y técnica: CFO y COO sustituidos por una consejera independiente en marzo de 2025 [40], tres responsables contables en 2026 [42, 43] y salida del presidente de ingeniería en agosto de 2026 [44]. Nuevo objetivo: más de 63.000 M USD de ingresos en FY2030 [8, 10].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delegado y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Alber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(CEO de Williams-Sonoma)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Chang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(ex-CEO de Accompany)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Conway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(ex-CEO de PeopleSoft)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Transformación del Negocio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Arnold Donald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(ex-CEO de Carnival)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Parker Harris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CTO de Slack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B. Kirk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científico jefe de NVIDIA)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Ciberseguridad y Privacidad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Neelie Kroes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vicepresidenta de la Comisión Europea)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Ciberseguridad y Privacidad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Sachin Mehra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(CFO de Mastercard), experto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Mason Morfit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(co-CEO y CIO de ValueAct Capital; nombrado por acuerdo con ValueAct de enero de 2023)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Transformación del Negocio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Munoz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CEO de United Airlines)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Transformación del Negocio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V. Roos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embajador de EE. UU. en Japón)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operaciones y financiera (COFO)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Transformación del Negocio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27,52 / ventas 42,26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Tabla del proxy, con datos de su 13G/A del 13-feb-2024 (83,6 millones de acciones) [35]. Tras reorganizarse en enero de 2026 declara el 0 % [47]; su filial Vanguard Capital Management declara el 7,42 % (68,6 millones) a 31-mar-2026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72,9 millones de acciones según su 13G/A del 26-ene-2024, sin presentación posterior en la tabla del proxy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 millones de acciones según su 13G del 16-oct-2024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Benioff (presidente y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22,8 millones de acciones a 25-mar-2026; vendió 33.872 acciones en plan 10b5-1 entre el 13-oct y el 3-nov-2025 y no ha vuelto a vender [35,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ValueAct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(consejero Mason Morfit)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 millones de acciones a 25-mar-2026 [35]; compra de 96.000 acciones (25,0 M USD) el 5-dic-2025 declarada por Morfit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28,5 millones de acciones a 25-mar-2026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Benioff (presidente y CEO): ventas diarias de 2.250 acciones del 13-oct al 3-nov-2025,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Parker Harris (cofundador, consejero): plan 10b5-1, 232,5-236,2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Mason Morfit (consejero, ValueAct), a 260,58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B. Kirk (consejero), a 258,64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Neelie Kroes (consejera), a 238,70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B. Kirk (consejero), a 194,62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Laura Alber (consejera), a 194,54-194,59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Conway (consejero), a 260,50-260,66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B. Kirk (consejero), a 239,33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Benioff cobró 49,4 M USD en FY2026 (55,1 M en FY2025): 1,55 M de salario, 3,6 M de bonus, 38,0 M en acciones y opciones y 6,2 M en otros conceptos, sobre todo seguridad y avión; ratio de 296 veces con el empleado mediano [35]. El bonus pondera al 50 % ingresos de suscripción y beneficio operativo no-GAAP, con un multiplicador estratégico de ±25 % y tope del 150 % [35]. El largo plazo del CEO es un 67 % PRSU, mitad TSR relativo a tres años frente al Nasdaq-100 y mitad «Margin &amp; Growth», y un 33 % opciones ligadas al ARR de Agentforce y Data 360 [35]. Hay clawback desde 2023 [35]. Say-on-pay: 53,9 % en contra en 2024, 23,0 % en 2025 y 19,2 % en 2026 [36, 37, 38].</w:t>
      </w:r>
    </w:p>
    <w:p>
      <w:pPr>
        <w:pStyle w:val="Heading2"/>
      </w:pPr>
      <w:r>
        <w:t xml:space="preserve">Operaciones vinculadas, estructura de control y defensas</w:t>
      </w:r>
    </w:p>
    <w:p>
      <w:pPr>
        <w:spacing w:after="100"/>
      </w:pPr>
      <w:r>
        <w:t xml:space="preserve">No hay accionista de control: los mayores son gestoras indexadas (Vanguard, BlackRock y State Street) y los consejeros y directivos suman el 3,5 %, con Benioff en el 2,8 % [35]. Una sola clase de acciones, consejo elegido cada año y derecho a convocar junta extraordinaria con el 15 % [35]. Benioff es a la vez presidente y CEO; el contrapeso es un consejero coordinador independiente (Arnold Donald desde marzo de 2025) [35]. La propuesta de presidente independiente de 2024 obtuvo un 21,3 % a favor [38]. Operaciones vinculadas pequeñas: unos 450.000 USD de TIME (propiedad de Benioff) por servicios, 1,1 M USD por el uso de su avión privado y familiares de tres consejeros empleados en la compañía [35]. El acuerdo con ValueAct de 2023 le prohíbe superar el 3,5 % del capital [54].</w:t>
      </w:r>
    </w:p>
    <w:p>
      <w:pPr>
        <w:pStyle w:val="Heading2"/>
      </w:pPr>
      <w:r>
        <w:t xml:space="preserve">Señales de alerta</w:t>
      </w:r>
    </w:p>
    <w:p>
      <w:pPr>
        <w:pStyle w:val="ListParagraph"/>
        <w:numPr>
          <w:ilvl w:val="0"/>
          <w:numId w:val="2"/>
        </w:numPr>
        <w:spacing w:after="60"/>
      </w:pPr>
      <w:r>
        <w:t xml:space="preserve">Say-on-pay rechazado en 2024: 53,9 % en contra sobre los votos emitidos; aún 23,0 % en contra en 2025 y 19,2 % en 2026 [36, 37, 38].</w:t>
      </w:r>
    </w:p>
    <w:p>
      <w:pPr>
        <w:pStyle w:val="ListParagraph"/>
        <w:numPr>
          <w:ilvl w:val="0"/>
          <w:numId w:val="2"/>
        </w:numPr>
        <w:spacing w:after="60"/>
      </w:pPr>
      <w:r>
        <w:t xml:space="preserve">La ampliación del plan de acciones de 2026 (34 millones de acciones más) recibió un 24,2 % de votos en contra [36].</w:t>
      </w:r>
    </w:p>
    <w:p>
      <w:pPr>
        <w:pStyle w:val="ListParagraph"/>
        <w:numPr>
          <w:ilvl w:val="0"/>
          <w:numId w:val="2"/>
        </w:numPr>
        <w:spacing w:after="60"/>
      </w:pPr>
      <w:r>
        <w:t xml:space="preserve">Rotación en finanzas: la consejera coordinadora independiente pasó a COFO en marzo de 2025 [40]; en 2026 el puesto de responsable contable principal pasó de Sundeep Reddy a Washington y después a Guy Wanger [42, 43].</w:t>
      </w:r>
    </w:p>
    <w:p>
      <w:pPr>
        <w:pStyle w:val="ListParagraph"/>
        <w:numPr>
          <w:ilvl w:val="0"/>
          <w:numId w:val="2"/>
        </w:numPr>
        <w:spacing w:after="60"/>
      </w:pPr>
      <w:r>
        <w:t xml:space="preserve">El nuevo director contable, Guy Wanger, fue socio auditor de EY responsable de Salesforce entre 2016 y 2021, y EY sigue siendo el auditor [36, 43].</w:t>
      </w:r>
    </w:p>
    <w:p>
      <w:pPr>
        <w:pStyle w:val="ListParagraph"/>
        <w:numPr>
          <w:ilvl w:val="0"/>
          <w:numId w:val="2"/>
        </w:numPr>
        <w:spacing w:after="60"/>
      </w:pPr>
      <w:r>
        <w:t xml:space="preserve">Salida en agosto de 2026 de Srini Tallapragada, presidente de ingeniería y éxito del cliente [44].</w:t>
      </w:r>
    </w:p>
    <w:p>
      <w:pPr>
        <w:pStyle w:val="ListParagraph"/>
        <w:numPr>
          <w:ilvl w:val="0"/>
          <w:numId w:val="2"/>
        </w:numPr>
        <w:spacing w:after="60"/>
      </w:pPr>
      <w:r>
        <w:t xml:space="preserve">Litigios abiertos: demanda colectiva por la salida a bolsa de Slack (2019) y demandas en EE. UU. por la relación comercial con Backpage; la dirección no espera un impacto material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26-ago-2026, con el 2T27, Salesforce subió la guía de ingresos de FY2027 a 46.100-46.400 M USD (+11-12 %; algo más de 3 puntos de Informatica), con margen operativo GAAP del 20,1 % y no-GAAP del 34,3 % (mantenido), BPA GAAP de 10,21-10,25 USD y no-GAAP de 16,67-16,71 USD, y crecimiento del flujo de explotación y del flujo libre del 4-5 % [7]. Para el 3T27 espera 11.420-11.500 M USD de ingresos y un cRPO +14 % [7]. La guía incluye Contentful e Intercom (Fin), cerradas en septiembre [7, 65, 66]. En el Investor Day del 16-sep-2026 reiteró el objetivo de más de 63.000 M USD de ingresos en FY2030 (fijado en mayo de 2026), el marco de crecimiento rentable de 50, devolver el 190 % del flujo libre en FY2027 y reducir al menos un 14 % el número de acciones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12-oct-2026, 56 analistas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12-oct-2026, 56 analistas [60]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12-oct-2026, 56 analistas [60]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15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475,00</w:t>
            </w:r>
          </w:p>
        </w:tc>
      </w:tr>
    </w:tbl>
    <w:p>
      <w:pPr>
        <w:spacing w:after="160" w:before="0"/>
      </w:pPr>
    </w:p>
    <w:p>
      <w:pPr>
        <w:pStyle w:val="Heading2"/>
      </w:pPr>
      <w:r>
        <w:t xml:space="preserve">Revisiones de estimaciones</w:t>
      </w:r>
    </w:p>
    <w:p>
      <w:pPr>
        <w:spacing w:after="100"/>
      </w:pPr>
      <w:r>
        <w:t xml:space="preserve">El BPA no-GAAP de FY2027e ha pasado de 14,13 USD hace 90 días a 16,75 USD (+18,5 %) y el de FY2028e de 15,51 a 16,02 USD (+3,3 %) [63]. La subida de FY2027 se debe sobre todo a las plusvalías de inversiones estratégicas del 2T27 (2.613 M USD; 2,53 USD por acción en el BPA no-GAAP), con la participación en Anthropic en unos 5.100 M a valor contable [2, 7]; por eso el consenso prevé que el BPA baje en FY2028. En los últimos 30 días, 48 analistas subieron el BPA de FY2027 y ninguno lo bajó [63]. Las recomendaciones se han enfriado: 43 de compra de 56 en mayo frente a 39 de 56 en octubre, y los de mantener pasan de 11 a 15 [62]. El consenso de ingresos (46.297 M en FY2027e) está en la parte central de la guía [7, 60]. Solo hay una fuente gratuita con EBITDA y BPA a tres años (MarketScreener); Stock Analysis y Yahoo coinciden en ingresos (46.300 y 50.790 M USD) y en el precio objetivo [62, 63].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bl>
    <w:p>
      <w:pPr>
        <w:spacing w:after="160" w:before="0"/>
      </w:pPr>
    </w:p>
    <w:p>
      <w:pPr>
        <w:spacing w:after="100"/>
      </w:pPr>
      <w:r>
        <w:t xml:space="preserve">Rentabilidades totales con dividendos frente al S&amp;P 500 (SPY) y al software de EE. UU. (IGV) [57]. Salesforce pierde un 12,9 % en 2026 frente al +15,1 % del índice y el +6,6 % del software, y un 3,5 % anual en cinco años frente al +13,9 % del índice [57]. La caída máxima de cinco años (−58,7 %) va del 4-dic-2024 al 22-jun-2026 (146,32 USD); desde ese mínimo sube un 57 % [57]. Las mayores caídas diarias de los últimos 12 meses fueron el 23-abr-2026 (−8,7 %), el 13-ene-2026 (−7,1 %) y el 3-feb-2026 (−6,8 %) [57]. Volatilidad diaria anualizada de un año del 46,7 % [57]. Posiciones cortas: 32,9 M de acciones, el 4,0 % de las acciones en circulación y 2,5 días de volumen, frente a 29,2 M el mes anterior [64].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17,2x el EBITDA de los últimos 12 meses, Salesforce cotiza un 60 % por debajo de su mediana de los siete últimos ejercicios (mínimo de 18,6x). La comparación exagera el descuento: hasta FY2023 el margen EBITDA GAAP estaba en el 9-12 % y el múltiplo se pagaba sobre un beneficio deprimido por el gasto comercial; desde FY2024 el margen es del 23-27 %. El cambio estructural es doble: el crecimiento cayó del 24 % al 9-10 % y el mercado descuenta ahora que la IA presione el cobro por asiento. Con el tipo a 10 años en el 5,24 % [58], tampoco volverán los múltiplos de 2020-2021.</w:t>
      </w:r>
    </w:p>
    <w:p>
      <w:pPr>
        <w:pStyle w:val="Heading1"/>
      </w:pPr>
      <w:r>
        <w:t xml:space="preserve">18. Comparables cotizados</w:t>
      </w:r>
    </w:p>
    <w:p>
      <w:pPr>
        <w:pStyle w:val="Confianza"/>
        <w:spacing w:after="100"/>
      </w:pPr>
      <w:r>
        <w:t xml:space="preserve">Confianza: Media</w:t>
      </w:r>
    </w:p>
    <w:p>
      <w:pPr>
        <w:spacing w:after="100"/>
      </w:pPr>
      <w:r>
        <w:t xml:space="preserve">Ocho editores de software empresarial por suscripción que compiten con Salesforce o venden al mismo cliente: Microsoft (Dynamics, Copilot), Oracle y SAP (aplicaciones de gestión y datos), ServiceNow (flujos de trabajo y servicio), Adobe (marketing y experiencia de cliente), Workday (recursos humanos y finanzas), Intuit (pymes) y Autodesk (software profesional por suscripción). HubSpot no entra porque no estaba en las tablas a 9-oct-2026 que se reutilizan y no se ha podido poner en la misma base de EBITDA; Zoho y Pipedrive no cotizan. Todas las cifras, al cierre del 9-oct-2026 [67,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15,3x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19,3x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24,6x / 27,0x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5,9x / 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16,5 + 0,00 × crecimiento; R² = 0,00. El crecimiento explica poco los múltiplos de estos comparables (R² &lt; 0,3): la regresión no se usa en la valoración.</w:t>
      </w:r>
    </w:p>
    <w:p>
      <w:pPr>
        <w:spacing w:after="100"/>
      </w:pPr>
      <w:r>
        <w:t xml:space="preserve">Salesforce cotiza a 14,6x el EBITDA GAAP de los próximos 12 meses frente a la mediana de 15,3x, y a 25,2x el PER frente a 24,7x: en línea con el grupo pese a crecer algo menos (10,3 % frente a 12,0 %) y con un ROIC menor (10,8 % frente a 20,3 %). La mediana de EV/EBITDA da 241,15 USD por acción; el PER, 224,48. El descuento frente a Microsoft (15,4x, ROIC del 30,8 %) y SAP (15,1x) se justifica por el menor crecimiento orgánico y por el riesgo del cobro por asiento; la prima frente a Adobe (8,5x) e Intuit (9,9x), por su menor margen y mayor deuda, no. Todas las cifras van en base GAAP, con la remuneración en acciones como gasto (lección Uber): con el EBITDA ajustado de MarketScreener, Salesforce parecería cotizar a unas 10x [60, 67]. El PER usa un BPA GAAP de FY2027e sin las plusvalías de inversiones del primer semestre (estimación propia: 10,45 − 2,87 = 7,58 USD) [60]. Usaríamos el EV/EBITDA NTM.</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Slack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26,79 USD en efectivo más 0,0776 acciones de Salesforce por acción de Slack: valor empresa de unos 27.700 M USD con el cierre de Salesforce del 30-nov-2020 [70]. Múltiplo (estimación propia) sobre 833,9 M USD de ventas de los 12 meses a 31-oct-2020 (652,0 M de febrero a octubre de 2020 más 181,9 M de noviembre de 2019 a enero de 2020); resultado operativo negativo (−210 M en los nueve meses), sin múltiplo de EBITDA [71]. Se excluye por extremo.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en efectivo, unos 28.000 M USD de valor de las acciones; valor empresa estimado con 3.103 M de convertibles y 2.449 M de caja e inversiones a 31-jul-2023, sobre 3.843 M USD de ventas de 12 meses; EBITDA GAAP de solo 70 M, múltiplo no significativo (estimación del informe de Adobe con la nota conjunta y los datos XBRL de Splunk)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más 0,3450 acciones de Synopsys por acción, valor empresa de unos 35.000 M USD y prima del 29 % sobre el cierre del 21-dic-2023; múltiplos sobre ventas de 2.159 M USD y EBITDA GAAP de 681 M de los 12 meses a 30-sep-2023 (estimación del informe de Adobe con la nota de Synopsys y los datos XBRL de Ansys)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Smartsheet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56,50 USD por acción en efectivo, unos 8.400 M USD; prima del 41 % sobre la media ponderada de 90 sesiones hasta el 17-jul-2024; valor empresa estimado restando 706 M de caja e inversiones a 31-jul-2024, sobre 1.042 M USD de ventas de 12 meses; EBITDA GAAP negativo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USD por acción en efectivo, unos 8.000 M USD de valor de las acciones neto de la participación previa de Salesforce; valor empresa estimado con 1.805 M de deuda y 1.252 M de caja e inversiones a 31-mar-2025, sobre 1.655 M USD de ventas de 12 meses [67]. Cerrada en noviembre de 2025 por unos 9.600 M USD según el 10-K de FY2026, con 6.000 M de préstamos para pagar parte del precio y refinanciar la deuda de Informatica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349,10 – 505,95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 software de los últimos cinco años se pagaron a 5,2-16,2 veces las ventas (Informatica a 5,17x, Smartsheet a 7,38x, Splunk a 7,46x, Ansys a 16,21x) [1, 67]; casi ninguna publica un EBITDA con sentido, así que el método da 382,06 USD por acción en la mediana con un múltiplo de ventas que no compara con los márgenes de Salesforce. Con 181.013 M de capitalización y un fundador al frente con el 2,8 % [35], Salesforce es compradora, no objetivo: el método no pesa en la síntesis. Su lectura útil es la otra: Salesforce pagó Informatica a 5,17x las ventas, por encima de las 4,67x a las que hoy cotiza ella misma.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es fijo: dos trimestres publicados y guía de 46.100-46.400 M (+11-12 %), con algo más de 3 puntos de Informatica, unos 0,5 de Contentful y Fin y 0,5 de divisa: el orgánico ronda el 7 % [7]. FY2028e crece un 9,5 % (consenso 9,7 %) con el año completo de Contentful y Fin y la reaceleración orgánica que promete la dirección (cRPO +14 %) [7, 60]. Después baja del 8,5 % al 3,5 % en FY2036e. El crecimiento medio de FY2028e-FY2036e, 6,2 %, queda por debajo del objetivo del Investor Day (más de 63.000 M en FY2030, ≈11 % anual con compras) [10] y algo por encima del 5,8 % previsto para el CRM mundial [17]. Solo entran las compras ya pagadas o descontadas en el puente; no se proyectan compras nuevas, así que no hace falta capex de adquisiciones.</w:t>
      </w:r>
    </w:p>
    <w:p>
      <w:pPr>
        <w:keepNext/>
        <w:spacing w:after="100"/>
      </w:pPr>
      <w:r>
        <w:rPr>
          <w:b/>
          <w:bCs/>
        </w:rPr>
        <w:t xml:space="preserve">Márgenes.</w:t>
      </w:r>
    </w:p>
    <w:p>
      <w:pPr>
        <w:spacing w:after="100"/>
      </w:pPr>
      <w:r>
        <w:t xml:space="preserve">Margen EBITDA GAAP del 27,0 % en FY2027e (guía de margen operativo GAAP del 20,1 % más unos 7 puntos de amortizaciones) [7], que sube al 31,0 % en FY2033e. El margen ha pasado del 12,4 % de FY2023 al 27,0 % de FY2026 con recortes de plantilla; el consenso supone 28,3 % y 29,5 % en FY2028e-FY2029e en nuestra base (EBITDA ajustado menos el 11,8 % de las ventas) [60]. La remuneración en acciones (8,5 % de las ventas) queda como gasto. El 31 % final está por debajo de SAP (31,1 %) y de la mediana de comparables (30,9 %) en la misma base [67].</w:t>
      </w:r>
    </w:p>
    <w:p>
      <w:pPr>
        <w:keepNext/>
        <w:spacing w:after="100"/>
      </w:pPr>
      <w:r>
        <w:rPr>
          <w:b/>
          <w:bCs/>
        </w:rPr>
        <w:t xml:space="preserve">Inversión y circulante.</w:t>
      </w:r>
    </w:p>
    <w:p>
      <w:pPr>
        <w:spacing w:after="100"/>
      </w:pPr>
      <w:r>
        <w:t xml:space="preserve">Capex del 2,6 % de las ventas en FY2027e: el 1,5 % guiado por la empresa [7] más el aumento neto de las comisiones activadas, que no pasa por el EBITDA (saldo de ≈4.944 M, el 12 % de las ventas: crece con ellas, ≈1,1 puntos al 9 % de crecimiento) [2]; baja al 1,9 % al final con el crecimiento. La amortización (6,9 % en FY2027e, con 4,4 puntos de intangibles comprados) converge al capex. Circulante del −41 % de las ventas (−41,9 % en FY2026), con los pasivos de contrato dentro: la facturación anual por adelantado financia el crecimiento. Tipo impositivo del 22,3 % guiado para FY2027e y 21,5 % después [7].</w:t>
      </w:r>
    </w:p>
    <w:p>
      <w:pPr>
        <w:keepNext/>
        <w:spacing w:after="100"/>
      </w:pPr>
      <w:r>
        <w:rPr>
          <w:b/>
          <w:bCs/>
        </w:rPr>
        <w:t xml:space="preserve">Coste del capital.</w:t>
      </w:r>
    </w:p>
    <w:p>
      <w:pPr>
        <w:spacing w:after="100"/>
      </w:pPr>
      <w:r>
        <w:t xml:space="preserve">Tasa libre del 5,24 % (Tesoro a 10 años, 9-oct-2026) [58]. Beta de 1,30: la mensual de 5 años es 1,24, la semanal de 2 años 1,12 y la sectorial de Damodaran reapalancada con la deuda actual ≈1,47 [57, 73]; la deuda pasó de 14.439 a 39.288 M con la recompra acelerada y la beta histórica no lo recoge. Prima de mercado del 5,5 %, coste de la deuda del 5,5 % (bonos de 2026 al 4,50-6,70 %) [2] y peso de la deuda del 18 % a precios de mercado. WACC del 10,94 %; con la prima implícita del mercado (4,2 %) [59], del 9,56 %.</w:t>
      </w:r>
    </w:p>
    <w:p>
      <w:pPr>
        <w:keepNext/>
        <w:spacing w:after="100"/>
      </w:pPr>
      <w:r>
        <w:rPr>
          <w:b/>
          <w:bCs/>
        </w:rPr>
        <w:t xml:space="preserve">Valor terminal.</w:t>
      </w:r>
    </w:p>
    <w:p>
      <w:pPr>
        <w:spacing w:after="100"/>
      </w:pPr>
      <w:r>
        <w:t xml:space="preserve">Crecimiento a perpetuidad del 3,0 % en USD, entre la inflación esperada (≈2,5 %) y la tasa libre menos medio punto. El múltiplo de salida implícito en Gordon es de 10,1x el EBITDA, por debajo de la mediana actual de comparables (15,3x): con un WACC cerca del 11 %, el terminal equivale a ≈1/(WACC − g) veces el flujo, y por eso el valor terminal pesa solo el 51 %. Con un múltiplo de 14x el valor terminal subiría de 249.860 a 345.081 M; no lo usamos porque supondría que en FY2036e el mercado paga un múltiplo de crecimiento por una empresa que crece al 3,5 %.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-24.740 M (-19 % del NOPAT)</w:t>
            </w:r>
          </w:p>
        </w:tc>
      </w:tr>
    </w:tbl>
    <w:p>
      <w:pPr>
        <w:spacing w:after="160" w:before="0"/>
      </w:pPr>
    </w:p>
    <w:p>
      <w:pPr>
        <w:spacing w:after="100"/>
      </w:pPr>
      <w:r>
        <w:t xml:space="preserve">La proyección apenas necesita inversión neta de la amortización (reinversión acumulada de -24.740 M, con un capex bruto medio del 2,3 % de las ventas). En un negocio de activos ligeros, el crecimiento medio del 6,7 %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+11-12 %: algo más de 3 puntos de Informatica, ≈0,5 de Contentful y Fin y ≈0,5 de divisa [7]; el orgánico (≈7 %) sale de Agentforce y Data 360 (ARR de ≈3.900 M) y de nuevas ediciones premium [7]. Precio: subidas de lista de agosto de 2025 y ediciones Agentforce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completo de Contentful y Fin y último trimestre de Informatica (≈1,5 puntos); el orgánico se apoya en el cRPO, que crece un 14 % [7]. Precio: paso de asientos a créditos Flex y por conversación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orgánico: consumo de agentes (unidades de trabajo agéntico, 3.200 M en el 2T27, +97 % trimestral) que compense la menor venta de asientos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empresa: más de 63.000 M en FY2030 [10]; nuestra proyección se queda un 6 % por debajo.</w:t>
            </w:r>
          </w:p>
        </w:tc>
      </w:tr>
    </w:tbl>
    <w:p>
      <w:pPr>
        <w:spacing w:after="160" w:before="0"/>
      </w:pPr>
    </w:p>
    <w:p>
      <w:pPr>
        <w:spacing w:after="100"/>
      </w:pPr>
      <w:r>
        <w:t xml:space="preserve">El foso de costes de cambio es real: la tasa de bajas se mantiene en ≈8 % [2], el cRPO crece un 14 % y el margen GAAP ha subido 17 puntos en tres años. Pero el crecimiento orgánico ha caído del 24 % de FY2022 al ≈7 % de FY2027e y la proyección pide que vuelva al 8-9 % con un producto (Agentforce) cuyo ARR se redefinió en el 2T27 y que los socios aún no ven en sus ingresos [11, 80]. La cuota en CRM, del 20,0 % según IDC [14], solo se puede comparar con las líneas de ventas, servicio y marketing (24.274 M en FY2026, el 58 % de los ingresos): si crecen como el grupo, en FY2030 pasarían a ≈33 % del mercado de ARTW frente al 26,1 % de 2024 (estimación propia, 1,25 veces), dentro del límite. Al no necesitar capital, la prueba es el poder de precios: hay subidas de lista, pero el riesgo es que el cobro por asiento encoja con los agentes.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(base: 6,2 %)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 (base: 31,0 %)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(WACC: 10,9 %)</w:t>
            </w:r>
          </w:p>
        </w:tc>
      </w:tr>
    </w:tbl>
    <w:p>
      <w:pPr>
        <w:spacing w:after="160" w:before="0"/>
      </w:pPr>
    </w:p>
    <w:p>
      <w:pPr>
        <w:spacing w:after="100"/>
      </w:pPr>
      <w:r>
        <w:t xml:space="preserve">El DCF da 206,30 USD por acción, un 10,0 % por debajo del precio de 229,13 USD, con el valor terminal en el 51 % del valor empresa (187.173 M). El precio descuenta un crecimiento anual del 7,4 % en FY2028e-FY2036e frente al 6,2 % de nuestro caso base, con un margen final del 34 % frente al 31 %, o, dicho de otra forma, una rentabilidad anual del 10,2 % frente a nuestro WACC del 10,94 % y al 9,56 % que pide el mercado con su prima implícita. No es exigente: el consenso espera un 9,7 % en FY2028e y FY2029e y la empresa más de 63.000 M en FY2030 [10, 60]; lo que separa nuestro valor del precio es sobre todo la tasa (con la prima del mercado el DCF da 256,43 USD). La sensibilidad es alta: cada punto de margen vale ≈7,5 USD y cada medio punto de WACC, ≈14 USD. La lectura honesta es que el precio ya incluye la reaceleración que promete la dirección, pero no una prima por Agentforce.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reducen las plantillas de ventas y de atención al cliente de los clientes y con ellas los asientos (Salesforce ya sustituyó 4.000 puestos de su propio soporte por agentes) [22]; Agentforce cobra por consumo pero no compensa la caída, y el crecimiento baja al 2-4 % con el margen estancado, el temor que ya hundió un 25,7 % el índice de software en el primer trimestre de 2026 [21]. El precio cae a 129,09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reacelera del 7 % al 8-9 % en FY2028e con Agentforce, Data 360 y las compras ya hechas, y después converge al 3,5 %; el margen EBITDA GAAP sube del 27 % al 31 % con disciplina de plantilla. Valor de 206,30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Agentforce se convierte en la capa de agentes de las empresas: el consumo crece más rápido que la caída de asientos, la empresa cumple los 63.000 M de FY2030 [10] y el margen sube al 33 % por la escala. Valor de 275,24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200,37 USD (-12,6 %).</w:t>
      </w:r>
    </w:p>
    <w:p>
      <w:pPr>
        <w:spacing w:after="100"/>
      </w:pPr>
      <w:r>
        <w:t xml:space="preserve">La asimetría es desfavorable con nuestro WACC: el alcista gana un 20,1 % y el bajista pierde un 43,7 % (0,46 veces). El bajista no es cosmético: el software de aplicaciones ya cayó un 25,7 % en el primer trimestre de 2026 por ese mismo temor [21], y la acción cotizó a 146,32 USD en junio [57]. Con la prima implícita del mercado la asimetría pasa a 1,61 veces, porque el valor de todos los escenarios sube con una tasa más baja. Lo que inclina la balanza es la probabilidad del bajista (30 %): los datos del 2T27 (cRPO +14 %, bajas estables) no lo confirman, pero el ARR de Agentforce cambió de definición y los socios no ven aún ingresos [7, 80].</w:t>
      </w:r>
    </w:p>
    <w:p>
      <w:pPr>
        <w:pStyle w:val="Heading1"/>
      </w:pPr>
      <w:r>
        <w:t xml:space="preserve">22. Suma de partes</w:t>
      </w:r>
    </w:p>
    <w:p>
      <w:pPr>
        <w:pStyle w:val="Confianza"/>
        <w:spacing w:after="100"/>
      </w:pPr>
      <w:r>
        <w:t xml:space="preserve">Confianza: Media</w:t>
      </w:r>
    </w:p>
    <w:p>
      <w:pPr>
        <w:spacing w:after="100"/>
      </w:pPr>
      <w:r>
        <w:t xml:space="preserve">No aplica: Salesforce reporta un único segmento operativo y sus líneas de servicio (ventas, servicio, plataforma, marketing, integración y análisis) comparten clientes, contratos y fuerza comercial; no tienen márgenes separados ni comparables puros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29,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208,20 USD (-9,1 % sobre 229,13).</w:t>
      </w:r>
    </w:p>
    <w:p>
      <w:pPr>
        <w:spacing w:after="100"/>
      </w:pPr>
      <w:r>
        <w:t xml:space="preserve">El DCF pesa el 50 % porque es el único método que recoge lo particular de Salesforce: la remuneración en acciones como gasto, el circulante negativo y las comisiones activadas. Los escenarios pesan el 35 % porque el riesgo de la IA sobre el cobro por asiento es binario y no se reparte bien en un caso central. Los comparables, el 15 %: están en la misma base GAAP, pero Oracle y ServiceNow son muy distintos. Las transacciones no pesan (Salesforce no es objetivo y los múltiplos de ventas no comparan márgenes). La dispersión es grande: de 129,09 USD en el bajista a 382,06 USD en transacciones; el DCF con nuestro WACC (206,30) y el de la prima del mercado (256,43) acotan el precio. El puente resta 28.518 M de deuda neta, suma 11.324 M de inversiones estratégicas a valor contable (el 45 % en Anthropic, probablemente por debajo de mercado) y resta 7.000 M: 5.100 M de Contentful y Fin, pagadas en septiembre, y ≈1.900 M de caja estacional del primer semestre (cobro de la facturación anual) que revierte antes de enero [2, 65, 66].</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(24.7x) × 1.1 (tope: la mediana de 5 años, 44x,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+107,0 %</w:t>
            </w:r>
          </w:p>
        </w:tc>
      </w:tr>
    </w:tbl>
    <w:p>
      <w:pPr>
        <w:spacing w:after="160" w:before="0"/>
      </w:pPr>
    </w:p>
    <w:p>
      <w:pPr>
        <w:spacing w:after="100"/>
      </w:pPr>
      <w:r>
        <w:rPr>
          <w:b/>
          <w:bCs/>
        </w:rPr>
        <w:t xml:space="preserve">Objetivo a 12 meses (ponderado):</w:t>
      </w:r>
      <w:r>
        <w:t xml:space="preserve"> 312,21 USD · rentabilidad +37,0 % (base +33,0 %) · señal Mantener.</w:t>
      </w:r>
    </w:p>
    <w:p>
      <w:pPr>
        <w:spacing w:after="100"/>
      </w:pPr>
      <w:r>
        <w:t xml:space="preserve">Para comparar, con la regla v2 (historia al cierre, mismo precio): 21,0x / 24,7x / 27,2x, 17,4 % Mantener; con el tope anterior del base (×1,3, 14-oct mediodía): 61,6 % Mantener. Decide la regla vigente (v3 con tope ×1,1; METODO-VIGENTE.md).</w:t>
      </w:r>
    </w:p>
    <w:p>
      <w:pPr>
        <w:keepNext/>
        <w:spacing w:after="100"/>
      </w:pPr>
      <w:r>
        <w:rPr>
          <w:b/>
          <w:bCs/>
        </w:rPr>
        <w:t xml:space="preserve">Frente al consenso (solo contraste).</w:t>
      </w:r>
    </w:p>
    <w:p>
      <w:pPr>
        <w:spacing w:after="100"/>
      </w:pPr>
      <w:r>
        <w:t xml:space="preserve">Nuestro BPA base de FY2029e (ene-2029) (11,14) se separa un -7,4 % del consenso (12,03) y nuestro precio base (275,16) un -2,9 % del objetivo medio de los analistas (283,36).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208,20 (-9,1 %) frente al objetivo a 12 meses ponderado 267,23 (+17,3 % con dividendo; base +20,8 %).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final de la recompra acelerada de 25.000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de las ≈34 M de acciones restantes (precio medio esperado de 182 USD) [10]; confirma el número de acciones del informe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 (según Stock Analysis, sin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Contentful y Fin; prueba de la reaceleración orgánica de la segunda mitad y del cRPO (guía +14 %) [7, 64]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ingresos orgánicos y de margen fija el año que más pesa del DCF; consenso de ingresos de 50.795 M [60]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modelo de precios de Agentforce (créditos Flex, ediciones Agentforce One)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datos del peso del consumo frente al asiento; la dirección no lo ha cuantificado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anual: voto consultivo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se rechazó (53,9 % en contra); en 2026 bajó al 19,2 % en contra [36,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Rondas de financiación de Anthropic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Revalorizaciones de la participación (≈5.100 M a valor contable) pasan por el beneficio GAAP y el valor del puente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reducen los asientos de ventas y servicio de los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frente al caso base (escenario bajista: 129,09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Agentforce cobra por consumo (2 USD por conversación, créditos Flex) [20]; tasa de bajas estable en ≈8 %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cRPO por debajo del 10 % o bajas por encima del 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modelos de lenguaje (OpenAI, Anthropic, Microsoft Copilot) atacan la capa de aplicación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con 2 puntos menos de crecimiento anual (171,65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Anthropic y participación en ella [2]; datos del cliente en Data 360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grandes cuentas o rebajas de precio en las renovaciones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estancado en el 6-7 % y dependencia de 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con 1 punto menos de crecimiento (188,32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63.000 M en FY2030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con menos del 8 %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compras grandes que destruyan valor (ROIC del 10,8 %, igual al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10.000 M pagados sin rendimiento: −12,7 USD por acción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transformación del negocio y consejeros procedentes del activismo [54]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de más de 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remuneración en acciones y la inversión en IA frenan la mejora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con 2 puntos menos de margen (191,32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plantilla y apalancamiento operativo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39.288 M tras la recompra y rating con perspectiva negativa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−7 % (192,29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de ≈15.000 M al año [2]; vencimientos escalonados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S&amp;P o Moody's [13]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y caídas del servicio (brechas de Drift y Gainsight, caída global del 16-sep-2026)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plurianuales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Bajas de clientes regulados</w:t>
            </w:r>
          </w:p>
        </w:tc>
      </w:tr>
    </w:tbl>
    <w:p>
      <w:pPr>
        <w:spacing w:after="160" w:before="0"/>
      </w:pPr>
    </w:p>
    <w:p>
      <w:pPr>
        <w:pStyle w:val="Heading2"/>
      </w:pPr>
      <w:r>
        <w:t xml:space="preserve">Pre-mortem</w:t>
      </w:r>
    </w:p>
    <w:p>
      <w:pPr>
        <w:spacing w:after="100"/>
      </w:pPr>
      <w:r>
        <w:t xml:space="preserve">Es octubre de 2029 y la acción vale 135 USD. La cadena empezó en FY2028: los grandes clientes renovaron con un 15-20 % menos de asientos en Sales Cloud y Service Cloud porque sus agentes de IA (los de Salesforce y los de Microsoft y OpenAI) atendían a sus clientes con menos personas. Agentforce creció, pero cobra por conversación y su ARR, que ya se redefinió una vez, no compensó la caída. El crecimiento orgánico bajó al 3 %, y la dirección, para sostener el objetivo de 63.000 M de FY2030, compró otra empresa grande con deuda, sobre un balance que ya tenía 39.288 M tras la recompra acelerada. El margen se estancó en el 27 % porque la remuneración en acciones no bajó y el mercado pasó a pagar la acción como a Adobe: 8-9 veces el EBITDA. La señal que lo habría anticipado era el cRPO: su crecimiento cayó por debajo del 10 % dos trimestres seguidos mientras la empresa destacaba el ARR de Agentforce y las unidades de trabajo agéntico en vez de los asientos.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Confianza en datos e IA</w:t>
      </w:r>
      <w:r>
        <w:t xml:space="preserve">: Salesforce guarda y procesa datos de clientes de sus clientes, y Agentforce añade riesgos de uso indebido de agentes; tiene una Oficina de Uso Ético y Humano, políticas de uso aceptable de IA y logró la certificación ISO 42001 de gestión de la IA en el FY2026 [33]. </w:t>
      </w:r>
      <w:r>
        <w:rPr>
          <w:b/>
        </w:rPr>
        <w:t xml:space="preserve">Privacidad y ciberseguridad</w:t>
      </w:r>
      <w:r>
        <w:t xml:space="preserve">: el RGPD, la Ley de IA de la UE y las leyes estatales de EE. UU. imponen obligaciones y sanciones [1, 23], y las brechas vía aplicaciones de terceros de 2025 muestran el riesgo de reputación [34]. </w:t>
      </w:r>
      <w:r>
        <w:rPr>
          <w:b/>
        </w:rPr>
        <w:t xml:space="preserve">Clima y energía</w:t>
      </w:r>
      <w:r>
        <w:t xml:space="preserve">: el crecimiento de la IA eleva el consumo de energía de sus centros de datos [1]; en el FY2026 llevaba una reducción del 66 % de las emisiones de alcance 1 y 2 y del 67 % de la intensidad de alcance 3 frente al FY2019, con objetivos de base científica del 67 % y 68 % para el FY2031, y compró energía renovable equivalente al 100 % de su consumo por quinto año [33].</w:t>
      </w:r>
    </w:p>
    <w:p>
      <w:pPr>
        <w:pStyle w:val="Heading2"/>
      </w:pPr>
      <w:r>
        <w:t xml:space="preserve">Controversias</w:t>
      </w:r>
    </w:p>
    <w:p>
      <w:pPr>
        <w:spacing w:after="100"/>
      </w:pPr>
      <w:r>
        <w:t xml:space="preserve">En 2025, el robo de credenciales OAuth de la integración Drift (Salesloft) con Salesforce, tras un acceso iniciado en marzo a una cuenta de GitHub de Salesloft, expuso datos de clientes; en noviembre de 2025 una brecha similar a través de Gainsight afectó potencialmente a más de 200 instancias de Salesforce. La empresa sostiene que su plataforma no fue vulnerada y declaró que no negociará ni pagará ninguna extorsión [34]. Litigios: desde mayo de 2023 decenas de demandas en tribunales de EE. UU. (30 demandantes en el caso S.M.A. y 21 en A.S., en Texas, entre otros) la acusan de facilitar el negocio de Backpage, un antiguo cliente; y sigue abierta la demanda colectiva por la salida a bolsa de Slack de 2019, en la que el tribunal estatal levantó la suspensión el 7-nov-2025 [1]. El 10-K no recoge incidentes de seguridad con impacto financiero material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Asientos frente a consumo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suscripción de Sales y Service se cobra por asiento y cómo ha evolucionado el número de asientos en las renovaciones de los últimos cuatro trimestres?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del escenario bajista (−43,7 %) y la dirección no la ha cuantificado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orgánico del 1S27 sin Informatica, Qualified ni divisa, y cuál es la guía orgánica de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Nuestra proyección pide pasar del ≈7 % al 9,5 %.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era el ARR de Agentforce del 2T27 con la definición anterior y cuánto es de clientes en producción de pago?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definición cambió en el 2T27 (incluye Slackbot y Headless 360)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rendimiento sobre el capital se exige a Informatica, Contentful y Fin y cuándo se espera alcanzarlo?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(10,8 %) es igual al WACC; cada compra lo diluye.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objetivo de remuneración en acciones sobre ventas tiene la empresa para FY2030?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9,0 % de las ventas en la guía de FY2027 [7] y la diferencia principal entre el margen GAAP y el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acelerada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se entregarán en la liquidación final y a qué precio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estima 34 M; si fueran menos, el valor por acción bajaría.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estratégicas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valor razonable de la participación en Anthropic y hay restricciones a su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45 % de los 11.324 M del puente [2].</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y noticias del canal de CRM)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2T27 y el Investor Day predominan los análisis alcistas (la «SaaSpocalypse» sería ruido, Agentforce convertiría la amenaza de la IA en catalizador, la participación en Anthropic daría margen para devolver la deuda de la recompra), con tesis bajistas sobre el empeoramiento de la economía por unidad de trabajo de los agentes y la competencia de Meta; el 12-oct una mejora de recomendación de un banco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alcista: el acuerdo que hace de Claude el motor por defecto desactiva el miedo a que los modelos de lenguaje erosionen el foso, y la recompra hecha en mínimos queda reivindicada; reconocen que el cobro por asiento sigue siendo un lastre y que el beneficio del trimestre lo infla la revalorización de Anthropic [75, 76, 77, 78,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televisión)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opiniones pasan de la duda y el «no comprar» de abril-mayo (el mercado castiga todo el software) a compras y «top picks» en junio-agosto, apoyadas en la valoración barata y en que el resultado del 2T27 castigó a los bajistas; la condición repetida es pasar del cobro por asiento a cobro por agente o resultado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Hacker News (hilos sobre Salesforce)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desarrolladores domina la crítica al producto (complejo, caro por asiento, mala experiencia de uso) y la burla del marketing de IA; la caída global del servicio de inicio de sesión en plena Dreamforce concentró el debate, aunque varios defienden la fiabilidad histórica de la plataforma [81, 82,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Hacker News (comentarios sobre «SaaSpocalypse» y sustituir SaaS con 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 peso la idea de que replicar Salesforce con código generado por IA no es tan fácil: el valor está en el estándar, el ecosistema y la funcionalidad acumulada; persiste la minoría que espera que nuevas empresas lo desplacen [85].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canibalizan el cobro por asiento («SaaSpocalypse»)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bajista dominó el primer semestre y se ha relajado tras el 2T27, pero la propia dirección admite que sigue atrapada en parte en el cobro por usuario [75]. Contrastar con el crecimiento orgánico y la evolución del cRPO del 10-Q del 2T27 y con el modelo de precios presentado en el Investor Day, no con el entusiasmo de los artículos.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Agentforce: adopción real frente a marketing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Encuestas de dos bancos a socios y directores de sistemas citadas en prensa no ven aún Agentforce como motor de contratación y critican el producto [80, 82], frente al ARR de IA y datos que comunica la empresa. Es un riesgo que el análisis debe cuantificar con el ARR de Agentforce publicado y su peso en los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 con Anthropic y plusvalía de la participación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para usar Claude por defecto se lee como desactivación de la amenaza de los modelos de lenguaje [75]; varios comentarios advierten de que el beneficio por acción del 2T27 lo infla la revalorización de la participación en Anthropic [77, 78, 84]. El análisis debe separar esa ganancia no recurrente del beneficio operativo.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masiva financiada con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celebra que la recompra acelerada se hiciera cerca de mínimos [76, 78]; casi nadie discute el aumento del apalancamiento, que el informe debe medir con el balance y los vencimientos de la deuda emitida en 2026 [74].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Gestores y articulistas la presentaban como una de las grandes de software más baratas en la primera mitad del año [84]; tras el rebote de agosto y la corrección de septiembre el argumento pierde fuerza y debe comprobarse con los múltiplos históricos y el consenso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producto, fiabilidad y marketing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global durante Dreamforce y los cambios de nombre de la oferta de IA alimentan el escepticismo de los técnicos [81, 83], pero no se ve fuga de clientes en las cifras; es un riesgo de reputación más que de ingresos a corto plazo.</w:t>
            </w:r>
          </w:p>
        </w:tc>
      </w:tr>
    </w:tbl>
    <w:p>
      <w:pPr>
        <w:spacing w:after="160" w:before="0"/>
      </w:pPr>
    </w:p>
    <w:p>
      <w:pPr>
        <w:spacing w:after="100"/>
      </w:pPr>
      <w:r>
        <w:t xml:space="preserve">El sentimiento pasó de la capitulación en primavera (el software como perdedor de la IA) a un entusiasmo notable tras el 2T27, impulsado por la alianza con Anthropic y por la recompra hecha en mínimos; después de Dreamforce y el Investor Day el tono se enfría y la acción encadena sesiones a la baja. No es euforia: los inversores siguen divididos y los técnicos, críticos con el producto. El riesgo que el foro señala y conviene verificar es que Agentforce todavía no mueve la contratación de los socios y que parte del beneficio reciente es una plusvalía contable. Apenas se habla de la sucesión de Benioff, de activistas ni de la remuneración en acciones. El sentimiento de los particulares no contradice al de los analistas, que mejoran recomendaciones.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85 (46 primarias); citas distintas en el texto: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-41,0 % frente a -41,9 % real: genera una variación de circulante de -1.553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Oracle (38,8 % de crecimiento por la nube para IA y flujo libre negativo) y ServiceNow (54x) en la muestra, el crecimiento no explica los múltiplos; no se usa la regresión, solo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(54,0x → 34,8x), Workday (34,7x → 21,5x): el salto implica un crecimiento del EBITDA que no cuadra con el de las ventas. ¿EBITDA de proveedores distintos, o un cambio de perímetro? Explicación: ServiceNow y Workday: el EBITDA previsto de MarketScreener excluye la remuneración en acciones (restada) y además reestructuración y costes de compras que no se pueden restar con datos públicos; el salto no es crecimiento. Su peso en la mediana es bajo y el informe pondera los comparables al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181.013, publicada 192.100: revisa acciones y precio. Explicación: Stock Analysis multiplica 823 M de acciones por el precio en tiempo real del 12-oct; el informe usa el cierre del 9-oct y 790 M de acciones netas de las que aún debe entregar la recompra acelerada ya pagada [2, 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85 fuentes (46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8-K (no dan consenso); 2) transcripciones de Motley Fool del 1T27 y 2T27 (no citan el consenso previo); 3) resúmenes de prensa en la búsqueda (sin cifra de consenso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pro forma con Informatica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2T27 (sin pro forma); 2) 10-K FY2026 (pro forma solo anual FY2025-FY2026); 3) comunicado del 2T27 (solo aportación de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activos_contrato FY2020-FY2024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ene-26 y ene-25); 2) XBRL companyfacts (sin etiqueta); 3) 10-K FY2023 y FY2022 (no buscado el importe en la nota de ingresos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MuleSoft (FY2019): importe y 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FY2022 y FY2023 (fuera de su periodo); 2) XBRL (solo salida de caja agregada de 5.115 M en FY2019); 3) sin 10-K FY2019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las calificaciones MSCI, Sustainalytics y CDP de Salesforce: solo agregadores sin fecha; 2) ficha de Sustainalytics abierta con WebFetch y descargada: la página carga la puntuación por JavaScript y no la muestra; 3) FY26 Stakeholder Impact Report de Salesforce descargado y revisado: no publica calificaciones de terceros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a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Apps Run The World: publica solo 2022-2024; 2) Grand View Research y Fortune Business Insights: año base 2025, sin serie histórica abierta; 3) IDC vía Salesforce y CRM Switch: cuotas, no tamaño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Zoho: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cotiza ni deposita cuentas en un registro abierto consultado; 2) CRM Switch da solo una estimación de cuota inferior al 1 %; 3) sin fuente primaria de sus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propio de Dynamics 365 y de SAP Customer Experience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Microsoft FY2026: Dynamics solo con ingresos dentro del segmento Productivity and Business Processes; 2) 20-F de SAP 2025: un único segmento, sin margen de CX; 3) informes de las notas de los análisis de SAP y Microsoft del repo: mismo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(participación actual de Elliott, Starboard, Third Point e Inclusive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accionistas de más del 5 % del proxy 2026: no figuran; 2) Lista de presentaciones de EDGAR (13D/13G de 2024-2026): solo Vanguard, BlackRock y State Street; 3) Búsqueda en prensa: solo noticias de 2023 sin participaciones actuales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fecha de nombramiento y participación de Sabastian Niles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propiedad: no es NEO ni aparece); 2) 8-K 5.02 de 2024-2026: no hay nombramiento; 3) Firmas de 8-K: firma como President and Chief Legal Officer desde al menos julio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las revisiones son gráficos sin cifras; 2) Zacks (detailed-earning-estimates): bloqueo antibot; 3) Yahoo Finance (EPS Trend): solo hasta 90 días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Apps Run The World: mercado CRM 2029e de 106.100 M, pero cuota de Salesforce medida sobre su CRM, no sobre el total de ingresos [17]; 2) IDC: solo cuotas, sin tamaño [14]; 3) Investor Day: TAM sin cifra en el texto del 8-K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Inc. Form 10-K, ejercicio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https://www.sec.gov/Archives/edgar/data/1108524/000110852426000060/crm-20260131.htm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Inc. Form 10-Q, trimestre cerrado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https://www.sec.gov/Archives/edgar/data/1108524/000110852426000190/crm-20260731.htm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Salesforce (CIK 0001108524)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https://data.sec.gov/api/xbrl/companyfacts/CIK0001108524.json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https://www.sec.gov/Archives/edgar/data/1108524/000110852423000011/crm-20230131.htm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https://www.sec.gov/Archives/edgar/data/1108524/000110852422000013/crm-20220131.htm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Form 10-K, ejercicio cerrado el 31-ene-2025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https://www.sec.gov/Archives/edgar/data/1108524/000110852425000006/crm-20250131.htm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del ejercicio 2027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https://www.sec.gov/Archives/edgar/data/1108524/000110852426000187/crm-q2fy27xexhibit991.htm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https://www.sec.gov/Archives/edgar/data/1108524/000110852426000056/crm-q4fy26xexhibit991.htm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https://www.sec.gov/Archives/edgar/data/1108524/000110852425000002/crm-q4fy25xexhibit991.htm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2026, presentación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https://www.sec.gov/Archives/edgar/data/1108524/000110852426000210/investorday2026.htm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Q2 2027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https://www.fool.com/earnings/call-transcripts/2026/08/31/salesforce-crm-q2-2027-earnings-call-transcript/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Q1 2027 Earnings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https://www.fool.com/earnings/call-transcripts/2026/05/28/salesforce-crm-q1-2027-earnings-transcript/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Investors side-eye Salesforce US$25 billion issuance to fund equity purchase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 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https://www.fi-desk.com/investors-side-eye-salesforce-us25-billion-issuance-to-fund-equity-purchase/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named #1 CRM provider by IDC for the 12th consecutive year (IDC Worldwide Semiannual Software Tracker,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de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https://www.salesforce.com/news/stories/idc-crm-market-share-ranking-2025/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World's #1 CRM: IDC 2025 Revenue Market Share Worldwide (IDC Worldwide Semiannual Software Tracker, abril de 2026; IDC Semiannual Core AI Software Tracker,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(datos de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https://www.salesforce.com/crm/worlds-number-one-crm/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CRM Market Share (cuotas IDC 2021-2025 y estimaciones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CRM Switch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https://crmswitch.com/crm-industry/crm-market-share/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CRM Software Vendors, Market Size and Market Forecast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https://www.appsruntheworld.com/top-10-crm-software-vendors-and-market-forecast/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Customer Relationship Management Market Size, Share &amp; Trends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https://www.grandviewresearch.com/industry-analysis/customer-relationship-management-crm-market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Customer Relationship Management (CRM) Market Size, Share &amp; Industry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https://www.fortunebusinessinsights.com/customer-relationship-management-crm-market-103418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Announces New Flexible Agentforce Pricing (Flex Credits)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https://www.salesforce.com/news/press-releases/2025/05/15/agentforce-flexible-pricing-news/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vs. AI Q1 2026: SaaSpocalypse Examined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 Angle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https://www.longangle.com/alts-education/software-ai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CEO says it cut 4,000 support jobs - and replaced them with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https://techradar.com/pro/salesforce-says-it-cuts-4-000-support-jobs-and-replaced-them-with-ai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Act: regulatory framework for AI (calendario de aplicación y Digital Omnibus)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https://digital-strategy.ec.europa.eu/en/policies/regulatory-framework-ai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https://digital-strategy.ec.europa.eu/en/policies/data-act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HubSpot,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HubSpot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https://data.sec.gov/api/xbrl/companyconcept/CIK0001404655/us-gaap/OperatingIncomeLoss.json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Inc. Form 10-K del ejercicio a 28 de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https://www.sec.gov/Archives/edgar/data/796343/000079634326000003/adbe-20251128.htm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del ejercicio a 31 de enero de 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https://en.wikipedia.org/wiki/Salesforce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Stakeholder Impact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https://www.salesforce.com/en-us/wp-content/uploads/sites/4/documents/white-papers/salesforce-fy26-stakeholder-impact-report.pdf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ShinyHunters 'does not like Salesforce at all,' claims the crew accessed Gainsight 3 months 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https://www.theregister.com/2025/11/21/shinyhunters_salesforce_gainsight_breach/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https://www.sec.gov/Archives/edgar/data/1108524/000110852426000085/crm-20260416.htm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https://www.sec.gov/Archives/edgar/data/1108524/000110852426000131/crm-20260528.htm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https://www.sec.gov/Archives/edgar/data/1108524/000110852425000033/crm-20250605.htm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https://www.sec.gov/Archives/edgar/data/1108524/000110852424000014/crm-20240627.htm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consejeros y directivos de Salesforce presentados del 12-oct-2025 al 12-oct-2026 (117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https://www.sec.gov/cgi-bin/browse-edgar?action=getcompany&amp;CIK=0001108524&amp;type=4&amp;dateb=&amp;owner=include&amp;count=100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Robin Washington como COFO y salidas de Amy Weaver y Brian Millham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https://www.sec.gov/Archives/edgar/data/1108524/000119312525020881/d926032d8k.htm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Amy Chang y David Kirk como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https://www.sec.gov/Archives/edgar/data/1108524/000110852425000040/crm-20250709.htm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Robin Washington asume como responsable contable principal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https://www.sec.gov/Archives/edgar/data/1108524/000110852426000062/crm-20260306.htm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Guy Wanger como Chief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https://www.sec.gov/Archives/edgar/data/1108524/000110852426000138/crm-20260527.htm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Srini Tallapragada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https://www.sec.gov/Archives/edgar/data/1108524/000110852426000160/crm-20260805.htm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plan de remuneración diferida para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https://www.sec.gov/Archives/edgar/data/1108524/000110852426000197/crm-20260902.htm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LLC sobre Salesforce (hecho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https://www.sec.gov/Archives/edgar/data/1108524/000210011926001068/xslSCHEDULE_13G_X02/primary_doc.xml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Salesforce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https://www.sec.gov/Archives/edgar/data/1108524/000010290926002289/xslSCHEDULE_13G_X02/primary_doc.xml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FY2020 y guía FY2021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https://www.sec.gov/Archives/edgar/data/1108524/000110852420000008/crm-q4fy20xexhibit991.htm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FY2021 y guía FY2022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https://www.sec.gov/Archives/edgar/data/1108524/000110852421000007/crm-q4fy21xexhibit991.htm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FY2022 y guía FY2023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https://www.sec.gov/Archives/edgar/data/1108524/000110852422000010/crm-q4fy22xexhibit991.htm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FY2023 y guía FY2024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https://www.sec.gov/Archives/edgar/data/1108524/000110852423000007/crm-q4fy23xexhibit991.htm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FY2024 y guía FY2025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https://www.sec.gov/Archives/edgar/data/1108524/000110852424000002/crm-q4fy24xexhibit991.htm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Investor Day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https://www.sec.gov/Archives/edgar/data/1108524/000110852422000047/vfinal_investordayxfy23x.htm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nuevos consejeros y acuerdo de nombramiento y cooperación con ValueAct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https://www.sec.gov/Archives/edgar/data/1108524/000119312523017661/d103146d8k.htm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disbands mergers and acquisitions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https://fortune.com/2023/03/01/salesforce-disbands-mergers-acquisitions-committee-cost-cutting/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says Elliott will not nominate directors to board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Kitco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https://www.kitco.com/news/off-the-wire/2023-03-27/salesforce-says-elliott-will-not-nominate-directors-board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CRM, SPY e IGV (cierre ajustado),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https://finance.yahoo.com/quote/CRM/history/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9-oct-2026) y serie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estimaciones anuales (finanzas)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Analyst Estimates: EPS Trend y EPS Revisions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https://finance.yahoo.com/quote/CRM/analysis/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(CRM) Statistics &amp; Valuation (accionariado, flotante, posiciones cortas)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S-8 (planes de acciones asumidos de Contentful), con la fecha de cierre de la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https://www.sec.gov/Archives/edgar/data/1108524/000110852426000195/forms-8xcontentfulequitypl.htm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S-8 (plan de acciones asumido de Intercom/Fin), con la fecha de cierre de la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https://www.sec.gov/Archives/edgar/data/1108524/000110852426000204/forms-8xfinequityplan.htm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Adobe, análisis de inversión del 10-oct-2026: tabla de comparables a 9-oct-2026 (EBITDA GAAP de los últimos 12 meses de XBRL de la SEC y consenso de MarketScreener menos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adobe-2026-10-10)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informes/adobe-2026-10-10/datos.json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análisis de inversión del 11-oct-2026: múltiplos de SAP y tabla de comparables a 9-oct-2026 en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sap-2026-10-11)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informes/sap-2026-10-11/datos.json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EUR/USD (EXR.D.USD.EUR.SP00.A),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Signs Definitive Agreement to Acquire Slack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https://investor.salesforce.com/news/news-details/2020/Salesforce-Signs-Definitive-Agreement-to-Acquire-Slack/default.aspx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Slack Technologies: datos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https://data.sec.gov/api/xbrl/companyfacts/CIK0001764925.json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International, Form 8-K del acuerdo de fusión con Silver Lake (12-mar-2023)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Qualtrics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https://www.sec.gov/Archives/edgar/data/1747748/000162828023007614/xm-20230312.htm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Inc. (CRM) - News and Analysis (canal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https://seekingalpha.com/api/sa/combined/CRM.xml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Its Biggest AI Threat Just Became Its Partner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https://www.fool.com/investing/2026/09/02/salesforce-its-biggest-ai-threat-just-became-its-p/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Benioff's $25 Billion Bet Against the SaaSpocalypse Is Now Paying Off for Salesforce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https://www.fool.com/investing/2026/09/04/marc-benioffs-billion-bet-saaspocalypse-salesforce/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Salesforce Stock Skyrocketed 40% Last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https://www.fool.com/investing/2026/09/08/why-salesforce-stock-skyrocketed-40-last-month/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Spent a Record $27.1 Billion on Buybacks in One Quarter. Here Is Why That Signal Matters.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https://www.fool.com/investing/2026/09/13/salesforce-spent-a-record-271-billion-on-buybacks/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vs. Salesforce: Which Enterprise AI Stock Has More Room to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https://www.fool.com/investing/2026/09/28/oracle-vs-salesforce-which-enterprise-ai-stock-has/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partners not seeing meaningful revenue from Agentforce AI platform, report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https://www.theregister.com/saas/2026/08/21/salesforce-partners-not-seeing-meaningful-revenue-from-agentforce-ai-platform-report-says/5291167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Global Outage (hilo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https://news.ycombinator.com/item?id=49724488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Agentforce at total dud for partners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https://news.ycombinator.com/item?id=49393691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AIForce Is Officially SIForce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https://news.ycombinator.com/item?id=50027818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SalesForce.com Inc. (CRM) Buy, Sell or Hold: opiniones de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https://stockchase.com/CRM-N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Hacker News que mencionan Salesforce (julio-octubre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Hacker News (Algolia)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https://hn.algolia.com/api/v1/search_by_date?query=salesforce&amp;tags=comment&amp;numericFilters=created_at_i%3E1782864000&amp;hitsPerPage=100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Cotiza en NYSE (CRM) en USD y publica en USD con US GAAP: sin conversión de divisa. Ejercicio a 31 de enero, con la etiqueta de la empresa («FY2027» acaba el 31-ene-2027). La sesión del 12-oct-2026 no había cerrado a la hora del corte: precio de cierre del viernes 9-oct-2026 [57]. Acciones: 790 M, estimación propia que descuenta de las 824 M diluidas de la portada del 10-Q las ≈34 M que faltan por entregar de la recompra acelerada de 25.000 M ya pagada (precio medio esperado de 182 USD según el Investor Day) [2, 10]. Series de siete ejercicios (FY2020-FY2026) del XBRL de la SEC contrastadas con los 10-K [3]. Desde el 1T27 la empresa cambió el desglose de ingresos: la tabla de líneas de servicio solo llega a FY2026 [2]. El EBITDA es GAAP: lleva la remuneración en acciones como gasto (8,5 % de las ventas en FY2026) y excluye la amortización de los derechos de uso de arrendamientos operativos, cuyo alquiler queda dentro del EBITDA [1]. Los comparables están en la misma base [67].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Salesforce, Inc. (CRM)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229,13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Hoja1!$B$2:$B$10</c:f>
              <c:numCache>
                <c:formatCode>#,##0</c:formatCode>
                <c:ptCount val="9"/>
                <c:pt idx="0">
                  <c:v>146.32</c:v>
                </c:pt>
                <c:pt idx="1">
                  <c:v>160</c:v>
                </c:pt>
                <c:pt idx="2">
                  <c:v>148.48</c:v>
                </c:pt>
                <c:pt idx="3">
                  <c:v>162.1</c:v>
                </c:pt>
                <c:pt idx="4">
                  <c:v>349.1</c:v>
                </c:pt>
                <c:pt idx="5">
                  <c:v>185.72</c:v>
                </c:pt>
                <c:pt idx="6">
                  <c:v>129.09</c:v>
                </c:pt>
                <c:pt idx="7">
                  <c:v>236.05</c:v>
                </c:pt>
                <c:pt idx="8">
                  <c:v>227.98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Hoja1!$C$2:$C$10</c:f>
              <c:numCache>
                <c:formatCode>#,##0</c:formatCode>
                <c:ptCount val="9"/>
                <c:pt idx="0">
                  <c:v>122.79000000000002</c:v>
                </c:pt>
                <c:pt idx="1">
                  <c:v>315</c:v>
                </c:pt>
                <c:pt idx="2">
                  <c:v>138.56000000000003</c:v>
                </c:pt>
                <c:pt idx="3">
                  <c:v>83.78</c:v>
                </c:pt>
                <c:pt idx="4">
                  <c:v>156.84999999999997</c:v>
                </c:pt>
                <c:pt idx="5">
                  <c:v>46.84</c:v>
                </c:pt>
                <c:pt idx="6">
                  <c:v>146.15</c:v>
                </c:pt>
                <c:pt idx="7">
                  <c:v>44.14999999999998</c:v>
                </c:pt>
                <c:pt idx="8">
                  <c:v>2.3000000000000114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Agentforce Sales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7580</c:v>
                </c:pt>
                <c:pt idx="1">
                  <c:v>8322</c:v>
                </c:pt>
                <c:pt idx="2">
                  <c:v>9028</c:v>
                </c:pt>
              </c:numCache>
            </c:numRef>
          </c:val>
        </c:ser>
        <c:ser>
          <c:idx val="1"/>
          <c:order val="1"/>
          <c:tx>
            <c:strRef>
              <c:f>Hoja1!$C$1</c:f>
              <c:strCache>
                <c:ptCount val="1"/>
                <c:pt idx="0">
                  <c:v>Agentforce Service</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8245</c:v>
                </c:pt>
                <c:pt idx="1">
                  <c:v>9054</c:v>
                </c:pt>
                <c:pt idx="2">
                  <c:v>9818</c:v>
                </c:pt>
              </c:numCache>
            </c:numRef>
          </c:val>
        </c:ser>
        <c:ser>
          <c:idx val="2"/>
          <c:order val="2"/>
          <c:tx>
            <c:strRef>
              <c:f>Hoja1!$D$1</c:f>
              <c:strCache>
                <c:ptCount val="1"/>
                <c:pt idx="0">
                  <c:v>Agentforce 360 Platform, Slack y otros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6611</c:v>
                </c:pt>
                <c:pt idx="1">
                  <c:v>7247</c:v>
                </c:pt>
                <c:pt idx="2">
                  <c:v>8882</c:v>
                </c:pt>
              </c:numCache>
            </c:numRef>
          </c:val>
        </c:ser>
        <c:ser>
          <c:idx val="3"/>
          <c:order val="3"/>
          <c:tx>
            <c:strRef>
              <c:f>Hoja1!$E$1</c:f>
              <c:strCache>
                <c:ptCount val="1"/>
                <c:pt idx="0">
                  <c:v>Agentforce Marketing y Commerce</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4912</c:v>
                </c:pt>
                <c:pt idx="1">
                  <c:v>5281</c:v>
                </c:pt>
                <c:pt idx="2">
                  <c:v>5428</c:v>
                </c:pt>
              </c:numCache>
            </c:numRef>
          </c:val>
        </c:ser>
        <c:ser>
          <c:idx val="4"/>
          <c:order val="4"/>
          <c:tx>
            <c:strRef>
              <c:f>Hoja1!$F$1</c:f>
              <c:strCache>
                <c:ptCount val="1"/>
                <c:pt idx="0">
                  <c:v>Agentforce Integration y Analytics</c:v>
                </c:pt>
              </c:strCache>
            </c:strRef>
          </c:tx>
          <c:spPr>
            <a:solidFill>
              <a:srgbClr val="E87BA4"/>
            </a:solidFill>
            <a:ln w="12700">
              <a:solidFill>
                <a:srgbClr val="FFFFFF"/>
              </a:solidFill>
            </a:ln>
          </c:spPr>
          <c:invertIfNegative val="0"/>
          <c:cat>
            <c:strRef>
              <c:f>Hoja1!$A$2:$A$4</c:f>
              <c:strCache>
                <c:ptCount val="3"/>
                <c:pt idx="0">
                  <c:v>FY2024</c:v>
                </c:pt>
                <c:pt idx="1">
                  <c:v>FY2025</c:v>
                </c:pt>
                <c:pt idx="2">
                  <c:v>FY2026</c:v>
                </c:pt>
              </c:strCache>
            </c:strRef>
          </c:cat>
          <c:val>
            <c:numRef>
              <c:f>Hoja1!$F$2:$F$4</c:f>
              <c:numCache>
                <c:formatCode>#,##0</c:formatCode>
                <c:ptCount val="3"/>
                <c:pt idx="0">
                  <c:v>5189</c:v>
                </c:pt>
                <c:pt idx="1">
                  <c:v>5775</c:v>
                </c:pt>
                <c:pt idx="2">
                  <c:v>6232</c:v>
                </c:pt>
              </c:numCache>
            </c:numRef>
          </c:val>
        </c:ser>
        <c:ser>
          <c:idx val="5"/>
          <c:order val="5"/>
          <c:tx>
            <c:strRef>
              <c:f>Hoja1!$G$1</c:f>
              <c:strCache>
                <c:ptCount val="1"/>
                <c:pt idx="0">
                  <c:v>Servicios profesionales y otros</c:v>
                </c:pt>
              </c:strCache>
            </c:strRef>
          </c:tx>
          <c:spPr>
            <a:solidFill>
              <a:srgbClr val="008300"/>
            </a:solidFill>
            <a:ln w="12700">
              <a:solidFill>
                <a:srgbClr val="FFFFFF"/>
              </a:solidFill>
            </a:ln>
          </c:spPr>
          <c:invertIfNegative val="0"/>
          <c:cat>
            <c:strRef>
              <c:f>Hoja1!$A$2:$A$4</c:f>
              <c:strCache>
                <c:ptCount val="3"/>
                <c:pt idx="0">
                  <c:v>FY2024</c:v>
                </c:pt>
                <c:pt idx="1">
                  <c:v>FY2025</c:v>
                </c:pt>
                <c:pt idx="2">
                  <c:v>FY2026</c:v>
                </c:pt>
              </c:strCache>
            </c:strRef>
          </c:cat>
          <c:val>
            <c:numRef>
              <c:f>Hoja1!$G$2:$G$4</c:f>
              <c:numCache>
                <c:formatCode>#,##0</c:formatCode>
                <c:ptCount val="3"/>
                <c:pt idx="0">
                  <c:v>2320</c:v>
                </c:pt>
                <c:pt idx="1">
                  <c:v>2216</c:v>
                </c:pt>
                <c:pt idx="2">
                  <c:v>2137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Agentforce Sales</c:v>
                </c:pt>
                <c:pt idx="1">
                  <c:v>Agentforce Service</c:v>
                </c:pt>
                <c:pt idx="2">
                  <c:v>Agentforce 360 Platform, Slack y otros</c:v>
                </c:pt>
                <c:pt idx="3">
                  <c:v>Agentforce Marketing y Commerce</c:v>
                </c:pt>
                <c:pt idx="4">
                  <c:v>Agentforce Integration y Analytics</c:v>
                </c:pt>
                <c:pt idx="5">
                  <c:v>Servicios profesionales y otros</c:v>
                </c:pt>
              </c:strCache>
            </c:strRef>
          </c:cat>
          <c:val>
            <c:numRef>
              <c:f>Hoja1!$B$2:$B$7</c:f>
              <c:numCache>
                <c:formatCode>General</c:formatCode>
                <c:ptCount val="6"/>
                <c:pt idx="0">
                  <c:v>21.7</c:v>
                </c:pt>
                <c:pt idx="1">
                  <c:v>23.6</c:v>
                </c:pt>
                <c:pt idx="2">
                  <c:v>21.4</c:v>
                </c:pt>
                <c:pt idx="3">
                  <c:v>13.1</c:v>
                </c:pt>
                <c:pt idx="4">
                  <c:v>15</c:v>
                </c:pt>
                <c:pt idx="5">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Europa</c:v>
                </c:pt>
                <c:pt idx="2">
                  <c:v>Asia-Pacífico</c:v>
                </c:pt>
              </c:strCache>
            </c:strRef>
          </c:cat>
          <c:val>
            <c:numRef>
              <c:f>Hoja1!$B$2:$B$4</c:f>
              <c:numCache>
                <c:formatCode>0"%"</c:formatCode>
                <c:ptCount val="3"/>
                <c:pt idx="0">
                  <c:v>65.5</c:v>
                </c:pt>
                <c:pt idx="1">
                  <c:v>24.1</c:v>
                </c:pt>
                <c:pt idx="2">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(ARTW; 2022-2024 publicados; 2025e-2028e interpolados por estimación propia con la TCAC del 5,8 % hasta el dato publicado de 2029e))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2022</c:v>
                </c:pt>
                <c:pt idx="1">
                  <c:v>2023</c:v>
                </c:pt>
                <c:pt idx="2">
                  <c:v>2024</c:v>
                </c:pt>
                <c:pt idx="3">
                  <c:v>2025e</c:v>
                </c:pt>
                <c:pt idx="4">
                  <c:v>2026e</c:v>
                </c:pt>
                <c:pt idx="5">
                  <c:v>2027e</c:v>
                </c:pt>
                <c:pt idx="6">
                  <c:v>2028e</c:v>
                </c:pt>
                <c:pt idx="7">
                  <c:v>2029e</c:v>
                </c:pt>
              </c:strCache>
            </c:strRef>
          </c:cat>
          <c:val>
            <c:numRef>
              <c:f>Hoja1!$B$2:$B$9</c:f>
              <c:numCache>
                <c:formatCode>#,##0</c:formatCode>
                <c:ptCount val="8"/>
                <c:pt idx="0">
                  <c:v>64783</c:v>
                </c:pt>
                <c:pt idx="1">
                  <c:v>72404</c:v>
                </c:pt>
                <c:pt idx="2">
                  <c:v>80007</c:v>
                </c:pt>
                <c:pt idx="3">
                  <c:v>84653</c:v>
                </c:pt>
                <c:pt idx="4">
                  <c:v>89569</c:v>
                </c:pt>
                <c:pt idx="5">
                  <c:v>94770</c:v>
                </c:pt>
                <c:pt idx="6">
                  <c:v>100273</c:v>
                </c:pt>
                <c:pt idx="7">
                  <c:v>106100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Salesforce</c:v>
                </c:pt>
                <c:pt idx="1">
                  <c:v>Microsoft (Dynamics 365)</c:v>
                </c:pt>
                <c:pt idx="2">
                  <c:v>Oracle</c:v>
                </c:pt>
                <c:pt idx="3">
                  <c:v>Adobe</c:v>
                </c:pt>
                <c:pt idx="4">
                  <c:v>SAP (Customer Experience)</c:v>
                </c:pt>
                <c:pt idx="5">
                  <c:v>ServiceNow</c:v>
                </c:pt>
                <c:pt idx="6">
                  <c:v>HubSpot</c:v>
                </c:pt>
                <c:pt idx="7">
                  <c:v>Workday</c:v>
                </c:pt>
                <c:pt idx="8">
                  <c:v>Zoho</c:v>
                </c:pt>
              </c:strCache>
            </c:strRef>
          </c:cat>
          <c:val>
            <c:numRef>
              <c:f>Hoja1!$B$2:$B$10</c:f>
              <c:numCache>
                <c:formatCode>0.0"%"</c:formatCode>
                <c:ptCount val="9"/>
                <c:pt idx="0">
                  <c:v>20.1</c:v>
                </c:pt>
                <c:pt idx="1">
                  <c:v>46.8</c:v>
                </c:pt>
                <c:pt idx="2">
                  <c:v>30.6</c:v>
                </c:pt>
                <c:pt idx="3">
                  <c:v>36.6</c:v>
                </c:pt>
                <c:pt idx="4">
                  <c:v>26.1</c:v>
                </c:pt>
                <c:pt idx="5">
                  <c:v>13.7</c:v>
                </c:pt>
                <c:pt idx="6">
                  <c:v>0.2</c:v>
                </c:pt>
                <c:pt idx="7">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FY2020</c:v>
                </c:pt>
                <c:pt idx="1">
                  <c:v>FY2021</c:v>
                </c:pt>
                <c:pt idx="2">
                  <c:v>FY2022</c:v>
                </c:pt>
                <c:pt idx="3">
                  <c:v>FY2023</c:v>
                </c:pt>
                <c:pt idx="4">
                  <c:v>FY2024</c:v>
                </c:pt>
                <c:pt idx="5">
                  <c:v>FY2025</c:v>
                </c:pt>
                <c:pt idx="6">
                  <c:v>FY2026</c:v>
                </c:pt>
                <c:pt idx="7">
                  <c:v>FY2027e</c:v>
                </c:pt>
                <c:pt idx="8">
                  <c:v>FY2028e</c:v>
                </c:pt>
                <c:pt idx="9">
                  <c:v>FY2029e</c:v>
                </c:pt>
                <c:pt idx="10">
                  <c:v>FY2030e</c:v>
                </c:pt>
                <c:pt idx="11">
                  <c:v>FY2031e</c:v>
                </c:pt>
                <c:pt idx="12">
                  <c:v>FY2032e</c:v>
                </c:pt>
                <c:pt idx="13">
                  <c:v>FY2033e</c:v>
                </c:pt>
                <c:pt idx="14">
                  <c:v>FY2034e</c:v>
                </c:pt>
                <c:pt idx="15">
                  <c:v>FY2035e</c:v>
                </c:pt>
                <c:pt idx="16">
                  <c:v>FY2036e</c:v>
                </c:pt>
              </c:strCache>
            </c:strRef>
          </c:cat>
          <c:val>
            <c:numRef>
              <c:f>Hoja1!$B$2:$B$18</c:f>
              <c:numCache>
                <c:formatCode>#,##0</c:formatCode>
                <c:ptCount val="17"/>
                <c:pt idx="0">
                  <c:v>17098</c:v>
                </c:pt>
                <c:pt idx="1">
                  <c:v>21252</c:v>
                </c:pt>
                <c:pt idx="2">
                  <c:v>26492</c:v>
                </c:pt>
                <c:pt idx="3">
                  <c:v>31352</c:v>
                </c:pt>
                <c:pt idx="4">
                  <c:v>34857</c:v>
                </c:pt>
                <c:pt idx="5">
                  <c:v>37895</c:v>
                </c:pt>
                <c:pt idx="6">
                  <c:v>41525</c:v>
                </c:pt>
                <c:pt idx="7">
                  <c:v>46259</c:v>
                </c:pt>
                <c:pt idx="8">
                  <c:v>50653</c:v>
                </c:pt>
                <c:pt idx="9">
                  <c:v>54959</c:v>
                </c:pt>
                <c:pt idx="10">
                  <c:v>59356</c:v>
                </c:pt>
                <c:pt idx="11">
                  <c:v>63511</c:v>
                </c:pt>
                <c:pt idx="12">
                  <c:v>67321</c:v>
                </c:pt>
                <c:pt idx="13">
                  <c:v>70687</c:v>
                </c:pt>
                <c:pt idx="14">
                  <c:v>73868</c:v>
                </c:pt>
                <c:pt idx="15">
                  <c:v>76823</c:v>
                </c:pt>
                <c:pt idx="16">
                  <c:v>79512</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FY2020</c:v>
                </c:pt>
                <c:pt idx="1">
                  <c:v>FY2021</c:v>
                </c:pt>
                <c:pt idx="2">
                  <c:v>FY2022</c:v>
                </c:pt>
                <c:pt idx="3">
                  <c:v>FY2023</c:v>
                </c:pt>
                <c:pt idx="4">
                  <c:v>FY2024</c:v>
                </c:pt>
                <c:pt idx="5">
                  <c:v>FY2025</c:v>
                </c:pt>
                <c:pt idx="6">
                  <c:v>FY2026</c:v>
                </c:pt>
                <c:pt idx="7">
                  <c:v>FY2027e</c:v>
                </c:pt>
                <c:pt idx="8">
                  <c:v>FY2028e</c:v>
                </c:pt>
                <c:pt idx="9">
                  <c:v>FY2029e</c:v>
                </c:pt>
                <c:pt idx="10">
                  <c:v>FY2030e</c:v>
                </c:pt>
                <c:pt idx="11">
                  <c:v>FY2031e</c:v>
                </c:pt>
                <c:pt idx="12">
                  <c:v>FY2032e</c:v>
                </c:pt>
                <c:pt idx="13">
                  <c:v>FY2033e</c:v>
                </c:pt>
                <c:pt idx="14">
                  <c:v>FY2034e</c:v>
                </c:pt>
                <c:pt idx="15">
                  <c:v>FY2035e</c:v>
                </c:pt>
                <c:pt idx="16">
                  <c:v>FY2036e</c:v>
                </c:pt>
              </c:strCache>
            </c:strRef>
          </c:cat>
          <c:val>
            <c:numRef>
              <c:f>Hoja1!$C$2:$C$18</c:f>
              <c:numCache>
                <c:formatCode>#,##0</c:formatCode>
                <c:ptCount val="17"/>
                <c:pt idx="0">
                  <c:v>1544</c:v>
                </c:pt>
                <c:pt idx="1">
                  <c:v>2155</c:v>
                </c:pt>
                <c:pt idx="2">
                  <c:v>2850</c:v>
                </c:pt>
                <c:pt idx="3">
                  <c:v>3884</c:v>
                </c:pt>
                <c:pt idx="4">
                  <c:v>7980</c:v>
                </c:pt>
                <c:pt idx="5">
                  <c:v>9856</c:v>
                </c:pt>
                <c:pt idx="6">
                  <c:v>11218</c:v>
                </c:pt>
                <c:pt idx="7">
                  <c:v>12490</c:v>
                </c:pt>
                <c:pt idx="8">
                  <c:v>14183</c:v>
                </c:pt>
                <c:pt idx="9">
                  <c:v>15938</c:v>
                </c:pt>
                <c:pt idx="10">
                  <c:v>17510</c:v>
                </c:pt>
                <c:pt idx="11">
                  <c:v>19053</c:v>
                </c:pt>
                <c:pt idx="12">
                  <c:v>20533</c:v>
                </c:pt>
                <c:pt idx="13">
                  <c:v>21913</c:v>
                </c:pt>
                <c:pt idx="14">
                  <c:v>22899</c:v>
                </c:pt>
                <c:pt idx="15">
                  <c:v>23815</c:v>
                </c:pt>
                <c:pt idx="16">
                  <c:v>24649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75.2</c:v>
                </c:pt>
                <c:pt idx="1">
                  <c:v>74.4</c:v>
                </c:pt>
                <c:pt idx="2">
                  <c:v>73.5</c:v>
                </c:pt>
                <c:pt idx="3">
                  <c:v>73.3</c:v>
                </c:pt>
                <c:pt idx="4">
                  <c:v>75.5</c:v>
                </c:pt>
                <c:pt idx="5">
                  <c:v>77.2</c:v>
                </c:pt>
                <c:pt idx="6">
                  <c:v>77.7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9</c:v>
                </c:pt>
                <c:pt idx="1">
                  <c:v>10.1</c:v>
                </c:pt>
                <c:pt idx="2">
                  <c:v>10.8</c:v>
                </c:pt>
                <c:pt idx="3">
                  <c:v>12.4</c:v>
                </c:pt>
                <c:pt idx="4">
                  <c:v>22.9</c:v>
                </c:pt>
                <c:pt idx="5">
                  <c:v>26</c:v>
                </c:pt>
                <c:pt idx="6">
                  <c:v>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1.7</c:v>
                </c:pt>
                <c:pt idx="1">
                  <c:v>2.1</c:v>
                </c:pt>
                <c:pt idx="2">
                  <c:v>2.1</c:v>
                </c:pt>
                <c:pt idx="3">
                  <c:v>3.3</c:v>
                </c:pt>
                <c:pt idx="4">
                  <c:v>14.4</c:v>
                </c:pt>
                <c:pt idx="5">
                  <c:v>19</c:v>
                </c:pt>
                <c:pt idx="6">
                  <c:v>20.1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Hoja1!$E$2:$E$8</c:f>
              <c:numCache>
                <c:formatCode>0"%"</c:formatCode>
                <c:ptCount val="7"/>
                <c:pt idx="0">
                  <c:v>0.7</c:v>
                </c:pt>
                <c:pt idx="1">
                  <c:v>19.2</c:v>
                </c:pt>
                <c:pt idx="2">
                  <c:v>5.5</c:v>
                </c:pt>
                <c:pt idx="3">
                  <c:v>0.7</c:v>
                </c:pt>
                <c:pt idx="4">
                  <c:v>11.9</c:v>
                </c:pt>
                <c:pt idx="5">
                  <c:v>16.4</c:v>
                </c:pt>
                <c:pt idx="6">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3T25</c:v>
                </c:pt>
                <c:pt idx="1">
                  <c:v>4T25</c:v>
                </c:pt>
                <c:pt idx="2">
                  <c:v>1T26</c:v>
                </c:pt>
                <c:pt idx="3">
                  <c:v>2T26</c:v>
                </c:pt>
                <c:pt idx="4">
                  <c:v>3T26</c:v>
                </c:pt>
                <c:pt idx="5">
                  <c:v>4T26</c:v>
                </c:pt>
                <c:pt idx="6">
                  <c:v>1T27</c:v>
                </c:pt>
                <c:pt idx="7">
                  <c:v>2T27</c:v>
                </c:pt>
              </c:strCache>
            </c:strRef>
          </c:cat>
          <c:val>
            <c:numRef>
              <c:f>Hoja1!$B$2:$B$9</c:f>
              <c:numCache>
                <c:formatCode>0.0"%"</c:formatCode>
                <c:ptCount val="8"/>
                <c:pt idx="0">
                  <c:v>8.3</c:v>
                </c:pt>
                <c:pt idx="1">
                  <c:v>7.6</c:v>
                </c:pt>
                <c:pt idx="2">
                  <c:v>7.6</c:v>
                </c:pt>
                <c:pt idx="3">
                  <c:v>9.8</c:v>
                </c:pt>
                <c:pt idx="4">
                  <c:v>8.6</c:v>
                </c:pt>
                <c:pt idx="5">
                  <c:v>12.1</c:v>
                </c:pt>
                <c:pt idx="6">
                  <c:v>13.3</c:v>
                </c:pt>
                <c:pt idx="7">
                  <c:v>10.8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3T25</c:v>
                </c:pt>
                <c:pt idx="1">
                  <c:v>4T25</c:v>
                </c:pt>
                <c:pt idx="2">
                  <c:v>1T26</c:v>
                </c:pt>
                <c:pt idx="3">
                  <c:v>2T26</c:v>
                </c:pt>
                <c:pt idx="4">
                  <c:v>3T26</c:v>
                </c:pt>
                <c:pt idx="5">
                  <c:v>4T26</c:v>
                </c:pt>
                <c:pt idx="6">
                  <c:v>1T27</c:v>
                </c:pt>
                <c:pt idx="7">
                  <c:v>2T27</c:v>
                </c:pt>
              </c:strCache>
            </c:strRef>
          </c:cat>
          <c:val>
            <c:numRef>
              <c:f>Hoja1!$C$2:$C$9</c:f>
              <c:numCache>
                <c:formatCode>0.0"%"</c:formatCode>
                <c:ptCount val="8"/>
                <c:pt idx="5">
                  <c:v>8.1</c:v>
                </c:pt>
                <c:pt idx="6">
                  <c:v>8.7</c:v>
                </c:pt>
                <c:pt idx="7">
                  <c:v>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132</c:v>
                </c:pt>
                <c:pt idx="1">
                  <c:v>134</c:v>
                </c:pt>
                <c:pt idx="2">
                  <c:v>134</c:v>
                </c:pt>
                <c:pt idx="3">
                  <c:v>125</c:v>
                </c:pt>
                <c:pt idx="4">
                  <c:v>120</c:v>
                </c:pt>
                <c:pt idx="5">
                  <c:v>115</c:v>
                </c:pt>
                <c:pt idx="6">
                  <c:v>126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296</c:v>
                </c:pt>
                <c:pt idx="1">
                  <c:v>292</c:v>
                </c:pt>
                <c:pt idx="2">
                  <c:v>284</c:v>
                </c:pt>
                <c:pt idx="3">
                  <c:v>294</c:v>
                </c:pt>
                <c:pt idx="4">
                  <c:v>261</c:v>
                </c:pt>
                <c:pt idx="5">
                  <c:v>281</c:v>
                </c:pt>
                <c:pt idx="6">
                  <c:v>325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3515</c:v>
                </c:pt>
                <c:pt idx="1">
                  <c:v>3988</c:v>
                </c:pt>
                <c:pt idx="2">
                  <c:v>5127</c:v>
                </c:pt>
                <c:pt idx="3">
                  <c:v>5894</c:v>
                </c:pt>
                <c:pt idx="4">
                  <c:v>8869</c:v>
                </c:pt>
                <c:pt idx="5">
                  <c:v>11831</c:v>
                </c:pt>
                <c:pt idx="6">
                  <c:v>13818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126</c:v>
                </c:pt>
                <c:pt idx="1">
                  <c:v>4072</c:v>
                </c:pt>
                <c:pt idx="2">
                  <c:v>1444</c:v>
                </c:pt>
                <c:pt idx="3">
                  <c:v>208</c:v>
                </c:pt>
                <c:pt idx="4">
                  <c:v>4136</c:v>
                </c:pt>
                <c:pt idx="5">
                  <c:v>6197</c:v>
                </c:pt>
                <c:pt idx="6">
                  <c:v>7457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0.6</c:v>
                </c:pt>
                <c:pt idx="1">
                  <c:v>1.5</c:v>
                </c:pt>
                <c:pt idx="2">
                  <c:v>1.1</c:v>
                </c:pt>
                <c:pt idx="3">
                  <c:v>1.1</c:v>
                </c:pt>
                <c:pt idx="4">
                  <c:v>7.4</c:v>
                </c:pt>
                <c:pt idx="5">
                  <c:v>10.7</c:v>
                </c:pt>
                <c:pt idx="6">
                  <c:v>10.8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10.9</c:v>
                </c:pt>
                <c:pt idx="1">
                  <c:v>10.9</c:v>
                </c:pt>
                <c:pt idx="2">
                  <c:v>10.9</c:v>
                </c:pt>
                <c:pt idx="3">
                  <c:v>10.9</c:v>
                </c:pt>
                <c:pt idx="4">
                  <c:v>10.9</c:v>
                </c:pt>
                <c:pt idx="5">
                  <c:v>10.9</c:v>
                </c:pt>
                <c:pt idx="6">
                  <c:v>10.9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0.4</c:v>
                </c:pt>
                <c:pt idx="1">
                  <c:v>10.8</c:v>
                </c:pt>
                <c:pt idx="2">
                  <c:v>2.9</c:v>
                </c:pt>
                <c:pt idx="3">
                  <c:v>0.4</c:v>
                </c:pt>
                <c:pt idx="4">
                  <c:v>7</c:v>
                </c:pt>
                <c:pt idx="5">
                  <c:v>10.3</c:v>
                </c:pt>
                <c:pt idx="6">
                  <c:v>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0.0"x"</c:formatCode>
                <c:ptCount val="7"/>
                <c:pt idx="0">
                  <c:v>-3.16</c:v>
                </c:pt>
                <c:pt idx="1">
                  <c:v>-4.25</c:v>
                </c:pt>
                <c:pt idx="2">
                  <c:v>0.16</c:v>
                </c:pt>
                <c:pt idx="3">
                  <c:v>-0.29</c:v>
                </c:pt>
                <c:pt idx="4">
                  <c:v>-0.48</c:v>
                </c:pt>
                <c:pt idx="5">
                  <c:v>-0.5</c:v>
                </c:pt>
                <c:pt idx="6">
                  <c:v>0.48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0</c:v>
                </c:pt>
                <c:pt idx="1">
                  <c:v>0</c:v>
                </c:pt>
                <c:pt idx="2">
                  <c:v>6000</c:v>
                </c:pt>
                <c:pt idx="3">
                  <c:v>4250</c:v>
                </c:pt>
                <c:pt idx="4">
                  <c:v>0</c:v>
                </c:pt>
                <c:pt idx="5">
                  <c:v>29250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Hoja1!$B$2:$B$8</c:f>
              <c:numCache>
                <c:formatCode>#,##0</c:formatCode>
                <c:ptCount val="7"/>
                <c:pt idx="0">
                  <c:v>369</c:v>
                </c:pt>
                <c:pt idx="1">
                  <c:v>1281</c:v>
                </c:pt>
                <c:pt idx="2">
                  <c:v>14876</c:v>
                </c:pt>
                <c:pt idx="3">
                  <c:v>439</c:v>
                </c:pt>
                <c:pt idx="4">
                  <c:v>82</c:v>
                </c:pt>
                <c:pt idx="5">
                  <c:v>2734</c:v>
                </c:pt>
                <c:pt idx="6">
                  <c:v>9268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Hoja1!$C$2:$C$8</c:f>
              <c:numCache>
                <c:formatCode>#,##0</c:formatCode>
                <c:ptCount val="7"/>
                <c:pt idx="0">
                  <c:v>0</c:v>
                </c:pt>
                <c:pt idx="1">
                  <c:v>0</c:v>
                </c:pt>
                <c:pt idx="2">
                  <c:v>0</c:v>
                </c:pt>
                <c:pt idx="3">
                  <c:v>0</c:v>
                </c:pt>
                <c:pt idx="4">
                  <c:v>0</c:v>
                </c:pt>
                <c:pt idx="5">
                  <c:v>1537</c:v>
                </c:pt>
                <c:pt idx="6">
                  <c:v>1587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FY2020</c:v>
                </c:pt>
                <c:pt idx="1">
                  <c:v>FY2021</c:v>
                </c:pt>
                <c:pt idx="2">
                  <c:v>FY2022</c:v>
                </c:pt>
                <c:pt idx="3">
                  <c:v>FY2023</c:v>
                </c:pt>
                <c:pt idx="4">
                  <c:v>FY2024</c:v>
                </c:pt>
                <c:pt idx="5">
                  <c:v>FY2025</c:v>
                </c:pt>
                <c:pt idx="6">
                  <c:v>FY2026</c:v>
                </c:pt>
              </c:strCache>
            </c:strRef>
          </c:cat>
          <c:val>
            <c:numRef>
              <c:f>Hoja1!$D$2:$D$8</c:f>
              <c:numCache>
                <c:formatCode>#,##0</c:formatCode>
                <c:ptCount val="7"/>
                <c:pt idx="0">
                  <c:v>0</c:v>
                </c:pt>
                <c:pt idx="1">
                  <c:v>0</c:v>
                </c:pt>
                <c:pt idx="2">
                  <c:v>0</c:v>
                </c:pt>
                <c:pt idx="3">
                  <c:v>4000</c:v>
                </c:pt>
                <c:pt idx="4">
                  <c:v>7620</c:v>
                </c:pt>
                <c:pt idx="5">
                  <c:v>7829</c:v>
                </c:pt>
                <c:pt idx="6">
                  <c:v>12596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c:v>
                </c:pt>
                <c:pt idx="1">
                  <c:v>BlackRock, Inc.</c:v>
                </c:pt>
                <c:pt idx="2">
                  <c:v>State Street Corporation</c:v>
                </c:pt>
                <c:pt idx="3">
                  <c:v>Marc Benioff (presidente y CEO)</c:v>
                </c:pt>
                <c:pt idx="4">
                  <c:v>ValueAct Capital Master Fund</c:v>
                </c:pt>
                <c:pt idx="5">
                  <c:v>Consejeros y directivos en conjunto (17 personas)</c:v>
                </c:pt>
              </c:strCache>
            </c:strRef>
          </c:cat>
          <c:val>
            <c:numRef>
              <c:f>Hoja1!$B$2:$B$7</c:f>
              <c:numCache>
                <c:formatCode>0.0"%"</c:formatCode>
                <c:ptCount val="6"/>
                <c:pt idx="0">
                  <c:v>10.2</c:v>
                </c:pt>
                <c:pt idx="1">
                  <c:v>8.9</c:v>
                </c:pt>
                <c:pt idx="2">
                  <c:v>6</c:v>
                </c:pt>
                <c:pt idx="3">
                  <c:v>2.8</c:v>
                </c:pt>
                <c:pt idx="4">
                  <c:v>0.37</c:v>
                </c:pt>
                <c:pt idx="5">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c:v>
                </c:pt>
                <c:pt idx="1">
                  <c:v>49.3</c:v>
                </c:pt>
                <c:pt idx="2">
                  <c:v>34</c:v>
                </c:pt>
                <c:pt idx="3">
                  <c:v>18.7</c:v>
                </c:pt>
                <c:pt idx="4">
                  <c:v>36.8</c:v>
                </c:pt>
                <c:pt idx="5">
                  <c:v>14.2</c:v>
                </c:pt>
                <c:pt idx="6">
                  <c:v>-47.8</c:v>
                </c:pt>
                <c:pt idx="7">
                  <c:v>98.5</c:v>
                </c:pt>
                <c:pt idx="8">
                  <c:v>27.8</c:v>
                </c:pt>
                <c:pt idx="9">
                  <c:v>-20.2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3">
                  <c:v>97.2</c:v>
                </c:pt>
                <c:pt idx="4">
                  <c:v>93.1</c:v>
                </c:pt>
                <c:pt idx="5">
                  <c:v>79.7</c:v>
                </c:pt>
                <c:pt idx="6">
                  <c:v>42.8</c:v>
                </c:pt>
                <c:pt idx="7">
                  <c:v>34.2</c:v>
                </c:pt>
                <c:pt idx="8">
                  <c:v>33.3</c:v>
                </c:pt>
                <c:pt idx="9">
                  <c:v>18.6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42.8</c:v>
                </c:pt>
                <c:pt idx="1">
                  <c:v>42.8</c:v>
                </c:pt>
                <c:pt idx="2">
                  <c:v>42.8</c:v>
                </c:pt>
                <c:pt idx="3">
                  <c:v>42.8</c:v>
                </c:pt>
                <c:pt idx="4">
                  <c:v>42.8</c:v>
                </c:pt>
                <c:pt idx="5">
                  <c:v>42.8</c:v>
                </c:pt>
                <c:pt idx="6">
                  <c:v>42.8</c:v>
                </c:pt>
                <c:pt idx="7">
                  <c:v>42.8</c:v>
                </c:pt>
                <c:pt idx="8">
                  <c:v>42.8</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Salesforce</c:v>
                </c:pt>
                <c:pt idx="1">
                  <c:v>Microsoft</c:v>
                </c:pt>
                <c:pt idx="2">
                  <c:v>Oracle</c:v>
                </c:pt>
                <c:pt idx="3">
                  <c:v>SAP</c:v>
                </c:pt>
                <c:pt idx="4">
                  <c:v>ServiceNow</c:v>
                </c:pt>
                <c:pt idx="5">
                  <c:v>Adobe</c:v>
                </c:pt>
                <c:pt idx="6">
                  <c:v>Intuit</c:v>
                </c:pt>
                <c:pt idx="7">
                  <c:v>Autodesk</c:v>
                </c:pt>
                <c:pt idx="8">
                  <c:v>Workday</c:v>
                </c:pt>
              </c:strCache>
            </c:strRef>
          </c:cat>
          <c:val>
            <c:numRef>
              <c:f>Hoja1!$B$2:$B$10</c:f>
              <c:numCache>
                <c:formatCode>0.0"x"</c:formatCode>
                <c:ptCount val="9"/>
                <c:pt idx="0">
                  <c:v>14.6</c:v>
                </c:pt>
                <c:pt idx="1">
                  <c:v>15.4</c:v>
                </c:pt>
                <c:pt idx="2">
                  <c:v>10.1</c:v>
                </c:pt>
                <c:pt idx="3">
                  <c:v>15.1</c:v>
                </c:pt>
                <c:pt idx="4">
                  <c:v>34.8</c:v>
                </c:pt>
                <c:pt idx="5">
                  <c:v>8.5</c:v>
                </c:pt>
                <c:pt idx="6">
                  <c:v>9.9</c:v>
                </c:pt>
                <c:pt idx="7">
                  <c:v>16.6</c:v>
                </c:pt>
                <c:pt idx="8">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Salesforce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10.3</c:v>
                </c:pt>
              </c:numCache>
            </c:numRef>
          </c:xVal>
          <c:yVal>
            <c:numRef>
              <c:f>Hoja1!$C$2</c:f>
              <c:numCache>
                <c:formatCode>0.0"x"</c:formatCode>
                <c:ptCount val="1"/>
                <c:pt idx="0">
                  <c:v>14.6</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18.6</c:v>
                </c:pt>
              </c:numCache>
            </c:numRef>
          </c:xVal>
          <c:yVal>
            <c:numRef>
              <c:f>Hoja1!$C$3</c:f>
              <c:numCache>
                <c:formatCode>0.0"x"</c:formatCode>
                <c:ptCount val="1"/>
                <c:pt idx="0">
                  <c:v>15.4</c:v>
                </c:pt>
              </c:numCache>
            </c:numRef>
          </c:yVal>
          <c:smooth val="0"/>
        </c:ser>
        <c:ser>
          <c:idx val="2"/>
          <c:order val="2"/>
          <c:tx>
            <c:strRef>
              <c:f>Hoja1!$A$4</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38.8</c:v>
                </c:pt>
              </c:numCache>
            </c:numRef>
          </c:xVal>
          <c:yVal>
            <c:numRef>
              <c:f>Hoja1!$C$4</c:f>
              <c:numCache>
                <c:formatCode>0.0"x"</c:formatCode>
                <c:ptCount val="1"/>
                <c:pt idx="0">
                  <c:v>10.1</c:v>
                </c:pt>
              </c:numCache>
            </c:numRef>
          </c:yVal>
          <c:smooth val="0"/>
        </c:ser>
        <c:ser>
          <c:idx val="3"/>
          <c:order val="3"/>
          <c:tx>
            <c:strRef>
              <c:f>Hoja1!$A$5</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11.6</c:v>
                </c:pt>
              </c:numCache>
            </c:numRef>
          </c:xVal>
          <c:yVal>
            <c:numRef>
              <c:f>Hoja1!$C$5</c:f>
              <c:numCache>
                <c:formatCode>0.0"x"</c:formatCode>
                <c:ptCount val="1"/>
                <c:pt idx="0">
                  <c:v>15.1</c:v>
                </c:pt>
              </c:numCache>
            </c:numRef>
          </c:yVal>
          <c:smooth val="0"/>
        </c:ser>
        <c:ser>
          <c:idx val="4"/>
          <c:order val="4"/>
          <c:tx>
            <c:strRef>
              <c:f>Hoja1!$A$6</c:f>
              <c:strCache>
                <c:ptCount val="1"/>
                <c:pt idx="0">
                  <c:v>ServiceNow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19.9</c:v>
                </c:pt>
              </c:numCache>
            </c:numRef>
          </c:xVal>
          <c:yVal>
            <c:numRef>
              <c:f>Hoja1!$C$6</c:f>
              <c:numCache>
                <c:formatCode>0.0"x"</c:formatCode>
                <c:ptCount val="1"/>
                <c:pt idx="0">
                  <c:v>34.8</c:v>
                </c:pt>
              </c:numCache>
            </c:numRef>
          </c:yVal>
          <c:smooth val="0"/>
        </c:ser>
        <c:ser>
          <c:idx val="5"/>
          <c:order val="5"/>
          <c:tx>
            <c:strRef>
              <c:f>Hoja1!$A$7</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9.4</c:v>
                </c:pt>
              </c:numCache>
            </c:numRef>
          </c:xVal>
          <c:yVal>
            <c:numRef>
              <c:f>Hoja1!$C$7</c:f>
              <c:numCache>
                <c:formatCode>0.0"x"</c:formatCode>
                <c:ptCount val="1"/>
                <c:pt idx="0">
                  <c:v>8.5</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9.9</c:v>
                </c:pt>
              </c:numCache>
            </c:numRef>
          </c:yVal>
          <c:smooth val="0"/>
        </c:ser>
        <c:ser>
          <c:idx val="7"/>
          <c:order val="7"/>
          <c:tx>
            <c:strRef>
              <c:f>Hoja1!$A$9</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12.4</c:v>
                </c:pt>
              </c:numCache>
            </c:numRef>
          </c:xVal>
          <c:yVal>
            <c:numRef>
              <c:f>Hoja1!$C$9</c:f>
              <c:numCache>
                <c:formatCode>0.0"x"</c:formatCode>
                <c:ptCount val="1"/>
                <c:pt idx="0">
                  <c:v>16.6</c:v>
                </c:pt>
              </c:numCache>
            </c:numRef>
          </c:yVal>
          <c:smooth val="0"/>
        </c:ser>
        <c:ser>
          <c:idx val="8"/>
          <c:order val="8"/>
          <c:tx>
            <c:strRef>
              <c:f>Hoja1!$A$10</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10.5</c:v>
                </c:pt>
              </c:numCache>
            </c:numRef>
          </c:xVal>
          <c:yVal>
            <c:numRef>
              <c:f>Hoja1!$C$10</c:f>
              <c:numCache>
                <c:formatCode>0.0"x"</c:formatCode>
                <c:ptCount val="1"/>
                <c:pt idx="0">
                  <c:v>21.5</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Slack Technologies</c:v>
                </c:pt>
                <c:pt idx="1">
                  <c:v>Splunk</c:v>
                </c:pt>
                <c:pt idx="2">
                  <c:v>Ansys</c:v>
                </c:pt>
                <c:pt idx="3">
                  <c:v>Smartsheet</c:v>
                </c:pt>
                <c:pt idx="4">
                  <c:v>Informatica</c:v>
                </c:pt>
              </c:strCache>
            </c:strRef>
          </c:cat>
          <c:val>
            <c:numRef>
              <c:f>Hoja1!$B$2:$B$6</c:f>
              <c:numCache>
                <c:formatCode>0.0"x"</c:formatCode>
                <c:ptCount val="5"/>
                <c:pt idx="2">
                  <c:v>51.4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10767</c:v>
                </c:pt>
                <c:pt idx="1">
                  <c:v>12294</c:v>
                </c:pt>
                <c:pt idx="2">
                  <c:v>13553</c:v>
                </c:pt>
                <c:pt idx="3">
                  <c:v>14736</c:v>
                </c:pt>
                <c:pt idx="4">
                  <c:v>15759</c:v>
                </c:pt>
                <c:pt idx="5">
                  <c:v>16692</c:v>
                </c:pt>
                <c:pt idx="6">
                  <c:v>17523</c:v>
                </c:pt>
                <c:pt idx="7">
                  <c:v>18168</c:v>
                </c:pt>
                <c:pt idx="8">
                  <c:v>18700</c:v>
                </c:pt>
                <c:pt idx="9">
                  <c:v>19266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92077</c:v>
                </c:pt>
                <c:pt idx="1">
                  <c:v>95096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229,13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129.09</c:v>
                </c:pt>
                <c:pt idx="1">
                  <c:v>206.3</c:v>
                </c:pt>
                <c:pt idx="2">
                  <c:v>275.24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229,13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Hoja1!$B$2:$B$10</c:f>
              <c:numCache>
                <c:formatCode>#,##0</c:formatCode>
                <c:ptCount val="9"/>
                <c:pt idx="0">
                  <c:v>146.32</c:v>
                </c:pt>
                <c:pt idx="1">
                  <c:v>160</c:v>
                </c:pt>
                <c:pt idx="2">
                  <c:v>148.48</c:v>
                </c:pt>
                <c:pt idx="3">
                  <c:v>162.1</c:v>
                </c:pt>
                <c:pt idx="4">
                  <c:v>349.1</c:v>
                </c:pt>
                <c:pt idx="5">
                  <c:v>185.72</c:v>
                </c:pt>
                <c:pt idx="6">
                  <c:v>129.09</c:v>
                </c:pt>
                <c:pt idx="7">
                  <c:v>236.05</c:v>
                </c:pt>
                <c:pt idx="8">
                  <c:v>227.98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(146,32 – 269,11)</c:v>
                </c:pt>
                <c:pt idx="1">
                  <c:v>Precio objetivo de los analistas (160,00 – 475,00)</c:v>
                </c:pt>
                <c:pt idx="2">
                  <c:v>Comparables: EV/EBITDA NTM (148,48 – 287,04)</c:v>
                </c:pt>
                <c:pt idx="3">
                  <c:v>Comparables: PER NTM (162,10 – 245,88)</c:v>
                </c:pt>
                <c:pt idx="4">
                  <c:v>Transacciones precedentes (EV/ventas) (349,10 – 505,95)</c:v>
                </c:pt>
                <c:pt idx="5">
                  <c:v>DCF (WACC y g ± 0,5) (185,72 – 232,56)</c:v>
                </c:pt>
                <c:pt idx="6">
                  <c:v>Escenarios (bajista – alcista) (129,09 – 275,24)</c:v>
                </c:pt>
                <c:pt idx="7">
                  <c:v>DCF con la prima implícita del mercado (4,2 %)</c:v>
                </c:pt>
                <c:pt idx="8">
                  <c:v>Precio actual (229,13)</c:v>
                </c:pt>
              </c:strCache>
            </c:strRef>
          </c:cat>
          <c:val>
            <c:numRef>
              <c:f>Hoja1!$C$2:$C$10</c:f>
              <c:numCache>
                <c:formatCode>#,##0</c:formatCode>
                <c:ptCount val="9"/>
                <c:pt idx="0">
                  <c:v>122.79000000000002</c:v>
                </c:pt>
                <c:pt idx="1">
                  <c:v>315</c:v>
                </c:pt>
                <c:pt idx="2">
                  <c:v>138.56000000000003</c:v>
                </c:pt>
                <c:pt idx="3">
                  <c:v>83.78</c:v>
                </c:pt>
                <c:pt idx="4">
                  <c:v>156.84999999999997</c:v>
                </c:pt>
                <c:pt idx="5">
                  <c:v>46.84</c:v>
                </c:pt>
                <c:pt idx="6">
                  <c:v>146.15</c:v>
                </c:pt>
                <c:pt idx="7">
                  <c:v>44.14999999999998</c:v>
                </c:pt>
                <c:pt idx="8">
                  <c:v>2.3000000000000114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