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Synopsys, Inc.</w:t>
      </w:r>
    </w:p>
    <w:p>
      <w:pPr>
        <w:spacing w:after="60"/>
        <w:rPr>
          <w:color w:val="52514E"/>
          <w:sz w:val="22"/>
          <w:szCs w:val="22"/>
        </w:rPr>
      </w:pPr>
      <w:r>
        <w:rPr>
          <w:color w:val="52514E"/>
          <w:sz w:val="22"/>
          <w:szCs w:val="22"/>
        </w:rPr>
        <w:t xml:space="preserve">SNPS · Nasdaq Global Select Market · ISIN US8716071076 · Tecnología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447,62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604,92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+35,1 % (base +30,7 %)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329,23 USD · mercado 393,42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85.003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Synopsys,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SNPS / US8716071076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y Nasdaq-100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 Software de diseño electrónico (EDA) y simulación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Sunnyvale (California) · 1986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https://www.synopsys.com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447,62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362,55 – 539,48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85.003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92.032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896 M USD/día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604,92 USD</w:t>
      </w:r>
      <w:r>
        <w:t xml:space="preserve"> frente a 447,62 · Rentabilidad a 12 meses </w:t>
      </w:r>
      <w:r>
        <w:rPr>
          <w:b/>
          <w:bCs/>
        </w:rPr>
        <w:t xml:space="preserve">+35,1 % (base +30,7 %)</w:t>
      </w:r>
      <w:r>
        <w:t xml:space="preserve"> · Valor intrínseco 329,23 USD · con la prima implícita del mercado: 393,42 (-12,1 %) · Alcista / bajista -16,3 % / -56,8 %</w:t>
      </w:r>
    </w:p>
    <w:p>
      <w:pPr>
        <w:spacing w:after="100"/>
      </w:pPr>
      <w:r>
        <w:rPr>
          <w:b/>
        </w:rPr>
        <w:t xml:space="preserve">La recomendación y por qué.</w:t>
      </w:r>
      <w:r>
        <w:t xml:space="preserve"> Mantener, con convicción media. El objetivo a 12 meses es de 604,92 USD (nuestro BPA no GAAP de FY2028e × el PER de la regla común), un +35,1 % de rentabilidad ponderada y un +30,7 % en el caso base, frente a un precio de 447,62 USD (cierre del 20-oct-2026; 455,02 en la sesión del 21-oct a las 12:39 de Nueva York). Pasa las dos pruebas de rentabilidad, pero no la del valor: el valor intrínseco (329,23 USD) queda un 26,4 % bajo el precio. La razón principal: el mercado paga un BPA no GAAP que excluye ≈ 950 M al año de remuneración en acciones y la amortización de una compra de 34.900 M; con esos costes, el precio descuenta un 14 % de crecimiento anual durante nueve años. Además, la calidad no llega: el ROIC (5,1 % en FY2025, ≈ 7 % con un año de Ansys) está por debajo del WACC (10,7 %). La convicción es media porque las dos reglas (absoluta y relativa) coinciden y el precio está lejos de los umbrales de compra y venta, pero la regla a 12 meses da +35 %: subiría la convicción una caída del precio hacia 330 USD o pruebas de que Ansys lleva el ROIC por encima del WACC; la bajaría que la IA empiece a reducir las licencias en las renovaciones.</w:t>
      </w:r>
    </w:p>
    <w:p>
      <w:pPr>
        <w:spacing w:after="100"/>
      </w:pPr>
      <w:r>
        <w:rPr>
          <w:b/>
        </w:rPr>
        <w:t xml:space="preserve">El negocio.</w:t>
      </w:r>
      <w:r>
        <w:t xml:space="preserve"> Synopsys es el mayor proveedor de software de diseño de chips (≈ 42 % del mercado de la ESD Alliance; duopolio con Cadence) y de propiedad intelectual de interfaces, y desde julio de 2025 de simulación física con Ansys [1, 12]. Margen operativo no GAAP del 41,5 % guiado en FY2026 y circulante negativo. La sostenibilidad del crecimiento es «Sí»: proyectamos un 9,2 % anual tras el salto de Ansys, por debajo del 15 % que promete la empresa, sin necesidad de capital. La IP cayó un 8 % en FY2025 (China, Intel y errores propios) y vuelve a crecer en el 3T26 [1, 3].</w:t>
      </w:r>
    </w:p>
    <w:p>
      <w:pPr>
        <w:spacing w:after="100"/>
      </w:pPr>
      <w:r>
        <w:rPr>
          <w:b/>
        </w:rPr>
        <w:t xml:space="preserve">Finanzas.</w:t>
      </w:r>
      <w:r>
        <w:t xml:space="preserve"> El BPA no GAAP pasó de 6,84 USD en FY2021 a 12,91 en FY2025, con la dilución de Ansys; la guía es de 15,04-15,10 en FY2026 y 19,04-19,12 en FY2027 [3, 8]. El BPA GAAP es mucho menor (8,07 en FY2025; 8,16-8,61 guiado en FY2027) por la amortización de intangibles (≈ 1.600 M al año) y la remuneración en acciones (≈ 950 M) [1, 8]. Deuda financiera de 10.037 M USD y caja de 3.608 M a 31-jul-2026: deuda neta de 6.430 M, ≈ 1,6 veces el EBITDA no GAAP [2]. Flujo libre guiado de ≈ 2.600 M en FY2026 y ≈ 3.100 M en FY2027.</w:t>
      </w:r>
    </w:p>
    <w:p>
      <w:pPr>
        <w:spacing w:after="100"/>
      </w:pPr>
      <w:r>
        <w:rPr>
          <w:b/>
        </w:rPr>
        <w:t xml:space="preserve">Equipo y gobierno.</w:t>
      </w:r>
      <w:r>
        <w:t xml:space="preserve"> Sassine Ghazi, consejero delegado desde 2024, hizo la mayor compra del sector; el cofundador Aart de Geus preside como ejecutivo. Hasta FY2023 la empresa batía siempre su guía; en FY2025 falló por la IP y en FY2026 la ha subido dos veces [4, 8]. Elliott tiene un consejero desde junio de 2026 [21]. Debilidades: la remuneración no tiene ninguna métrica de rentabilidad del capital, y los directivos vendieron 61,5 M USD en 12 meses sin ninguna compra (el 89 % con planes 10b5-1) [19, 22].</w:t>
      </w:r>
    </w:p>
    <w:p>
      <w:pPr>
        <w:spacing w:after="100"/>
      </w:pPr>
      <w:r>
        <w:rPr>
          <w:b/>
        </w:rPr>
        <w:t xml:space="preserve">Valoración.</w:t>
      </w:r>
      <w:r>
        <w:t xml:space="preserve"> El DCF da 313,37 USD (−30 %) con un WACC del 10,68 %; con el plan de la empresa a 2030 sube a 384,57 y con la prima del mercado (4,2 %) a 391,22: ninguna versión llega al precio. Los comparables (PER del próximo ejercicio de 24,6 veces) dan 458,34 USD: el precio es justo frente al software de diseño, no frente a los flujos. La regla a 12 meses sube el PER de 23,6 a 26,0 veces (tope ×1,1) y da +35,1 % (v2 de control: +22,6 %).</w:t>
      </w:r>
    </w:p>
    <w:p>
      <w:pPr>
        <w:spacing w:after="100"/>
      </w:pPr>
      <w:r>
        <w:rPr>
          <w:b/>
        </w:rPr>
        <w:t xml:space="preserve">Riesgos y catalizadores.</w:t>
      </w:r>
      <w:r>
        <w:t xml:space="preserve"> El riesgo central es la IA: empuja la demanda (chips de IA, mercado al +12 %) pero puede automatizar el diseño y reducir las licencias por ingeniero; el mercado ya lo teme (caídas del 8-9 % en un día). Después, la IP, China (10 % de las ventas), la integración de Ansys y el fondo de comercio (≈ 23.000 M). Catalizador: resultados del 4T26 en diciembre. Sentimiento mixto: analistas casi unánimes en comprar, particulares escépticos.</w:t>
      </w:r>
    </w:p>
    <w:p>
      <w:pPr>
        <w:spacing w:after="100"/>
      </w:pPr>
      <w:r>
        <w:rPr>
          <w:b/>
        </w:rPr>
        <w:t xml:space="preserve">Qué cambiaría la decisión.</w:t>
      </w:r>
      <w:r>
        <w:t xml:space="preserve"> Comprar por debajo de 329,23 USD (ponderada ≥ 15 %, base ≥ 12 % y precio ≤ valor intrínseco); Mantener entre 329,23 y 672,13; vender por encima de 672,13. Aunque el precio bajara al límite, la calidad seguiría sin pasar (ROIC − WACC ≈ −4 puntos): haría falta además que Ansys y la reestructuración lleven el ROIC por encima del 15 % (margen no GAAP del 50 % y crecimiento sostenido).</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604,92 USD</w:t>
      </w:r>
      <w:r>
        <w:t xml:space="preserve"> (rentabilidad +35,1 % (base +30,7 %)) · Valor intrínseco: 329,23 USD (-26,4 % sobre 447,62) · con la prima implícita del mercado: 393,42 (-12,1 %)</w:t>
      </w:r>
    </w:p>
    <w:p>
      <w:pPr>
        <w:spacing w:after="100"/>
      </w:pPr>
      <w:r>
        <w:t xml:space="preserve">Synopsys es uno de los dos dueños del software sin el que no se diseña un chip: duopolio con Cadence, contratos de tres años, costes de cambio altísimos y un mercado que crece al 12 % con los chips de IA. A eso ha sumado la simulación física de Ansys y un plan creíble a 2030 (+15 % de ingresos al año y margen no GAAP del 50 %) [8, 12]. El negocio es excelente.</w:t>
      </w:r>
    </w:p>
    <w:p>
      <w:pPr>
        <w:spacing w:after="100"/>
      </w:pPr>
      <w:r>
        <w:t xml:space="preserve">La acción no está barata para un inversor value. El mercado la valora sobre el BPA no GAAP, que excluye ≈ 950 M al año de remuneración en acciones y la amortización de 34.900 M de compra; con esos costes, el DCF da 313 USD y el precio descuenta un 14 % de crecimiento anual durante nueve años. Y la compra de Ansys ha dejado el ROIC por debajo del coste de capital: hay que esperar a que la integración lo demuestre.</w:t>
      </w:r>
    </w:p>
    <w:p>
      <w:pPr>
        <w:spacing w:after="100"/>
      </w:pPr>
      <w:r>
        <w:t xml:space="preserve">La regla a 12 meses da +35 % porque el PER adelantado (23,6) está en mínimos de siete años; si la IA resulta ser un motor y no una amenaza, el múltiplo puede volver hacia 30. Por eso Mantener y no Vender.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 × 19,83 = 412,46 · 26,0x × 22,50 = 585,00 · 35,0x × 23,92 = 837,20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 / 30,7 %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586,95 (nuestro base -0,3 %)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329,23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 / -56,8 %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10,7 %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frente a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329,23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329,23 y 672,13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672,13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329,23 USD: las tres pruebas de la regla a 12 meses pasarían (Comprar), aunque la calidad (ROIC − WACC) seguiría fallando.</w:t>
      </w:r>
    </w:p>
    <w:p>
      <w:pPr>
        <w:pStyle w:val="ListParagraph"/>
        <w:numPr>
          <w:ilvl w:val="0"/>
          <w:numId w:val="2"/>
        </w:numPr>
        <w:spacing w:after="60"/>
      </w:pPr>
      <w:r>
        <w:t xml:space="preserve">Precio por encima de 672,13 USD: Vender.</w:t>
      </w:r>
    </w:p>
    <w:p>
      <w:pPr>
        <w:pStyle w:val="ListParagraph"/>
        <w:numPr>
          <w:ilvl w:val="0"/>
          <w:numId w:val="2"/>
        </w:numPr>
        <w:spacing w:after="60"/>
      </w:pPr>
      <w:r>
        <w:t xml:space="preserve">Margen no GAAP de FY2027 ≥ 44 % con la remuneración en acciones bajando del 8 % de las ventas: subir el valor intrínseco.</w:t>
      </w:r>
    </w:p>
    <w:p>
      <w:pPr>
        <w:pStyle w:val="ListParagraph"/>
        <w:numPr>
          <w:ilvl w:val="0"/>
          <w:numId w:val="2"/>
        </w:numPr>
        <w:spacing w:after="60"/>
      </w:pPr>
      <w:r>
        <w:t xml:space="preserve">Renovaciones con menos licencias por la IA o caída de la IP por debajo de 450 M en un trimestre: bajar el caso base.</w:t>
      </w:r>
    </w:p>
    <w:p>
      <w:pPr>
        <w:pStyle w:val="ListParagraph"/>
        <w:numPr>
          <w:ilvl w:val="0"/>
          <w:numId w:val="2"/>
        </w:numPr>
        <w:spacing w:after="60"/>
      </w:pPr>
      <w:r>
        <w:t xml:space="preserve">Nuevas restricciones de exportación a China: revisar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Synopsys cumple su plan a 2030 (ingresos +15 % anual, margen no GAAP del 50 %, BPA +25 % anual) y que la IA es un motor; los analistas esperan ≈ 587 USD (+31 %) [27].</w:t>
      </w:r>
    </w:p>
    <w:p>
      <w:pPr>
        <w:keepNext/>
        <w:spacing w:after="100"/>
      </w:pPr>
      <w:r>
        <w:rPr>
          <w:b/>
          <w:bCs/>
        </w:rPr>
        <w:t xml:space="preserve">Lo que creemos nosotros.</w:t>
      </w:r>
    </w:p>
    <w:p>
      <w:pPr>
        <w:spacing w:after="100"/>
      </w:pPr>
      <w:r>
        <w:t xml:space="preserve">Coincidimos en el BPA no GAAP a dos años (19,09 frente a 18,73 en FY2027) y en el objetivo a 12 meses (585 frente a 587), pero el valor a largo plazo, con la remuneración en acciones como coste, es de ≈ 330 USD. El riesgo de que la IA cambie el modelo de cobro no está en el consenso.</w:t>
      </w:r>
    </w:p>
    <w:p>
      <w:pPr>
        <w:keepNext/>
        <w:spacing w:after="100"/>
      </w:pPr>
      <w:r>
        <w:rPr>
          <w:b/>
          <w:bCs/>
        </w:rPr>
        <w:t xml:space="preserve">Por qué podemos tener razón.</w:t>
      </w:r>
    </w:p>
    <w:p>
      <w:pPr>
        <w:spacing w:after="100"/>
      </w:pPr>
      <w:r>
        <w:t xml:space="preserve">La remuneración en acciones (≈ 9 % de las ventas) es un coste real que diluye o se recompra con caja; el ROIC tras Ansys (≈ 7 %) no cubre el WACC, y la IA puede abaratar justo lo que Synopsys cobra por licencia.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47,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Duopolio con Cadence</w:t>
      </w:r>
      <w:r>
        <w:t xml:space="preserve">: ≈ 42 % del mercado de diseño electrónico, costes de cambio muy altos.</w:t>
      </w:r>
    </w:p>
    <w:p>
      <w:pPr>
        <w:pStyle w:val="ListParagraph"/>
        <w:numPr>
          <w:ilvl w:val="0"/>
          <w:numId w:val="2"/>
        </w:numPr>
        <w:spacing w:after="60"/>
      </w:pPr>
      <w:r>
        <w:rPr>
          <w:b/>
        </w:rPr>
        <w:t xml:space="preserve">Chips de IA</w:t>
      </w:r>
      <w:r>
        <w:t xml:space="preserve">: el mercado crece al 12 % en 2026; acuerdo de IP de más de 1.000 M con AWS.</w:t>
      </w:r>
    </w:p>
    <w:p>
      <w:pPr>
        <w:pStyle w:val="ListParagraph"/>
        <w:numPr>
          <w:ilvl w:val="0"/>
          <w:numId w:val="2"/>
        </w:numPr>
        <w:spacing w:after="60"/>
      </w:pPr>
      <w:r>
        <w:rPr>
          <w:b/>
        </w:rPr>
        <w:t xml:space="preserve">Guía al alza</w:t>
      </w:r>
      <w:r>
        <w:t xml:space="preserve">: BPA no GAAP de 19,04-19,12 USD en FY2027 (+26 %); margen no GAAP del 50 % en FY2030.</w:t>
      </w:r>
    </w:p>
    <w:p>
      <w:pPr>
        <w:pStyle w:val="ListParagraph"/>
        <w:numPr>
          <w:ilvl w:val="0"/>
          <w:numId w:val="2"/>
        </w:numPr>
        <w:spacing w:after="60"/>
      </w:pPr>
      <w:r>
        <w:rPr>
          <w:b/>
        </w:rPr>
        <w:t xml:space="preserve">PER en mínimos</w:t>
      </w:r>
      <w:r>
        <w:t xml:space="preserve">: 23,6 veces el BPA adelantado, frente a una mediana de cinco años de 35,6.</w:t>
      </w:r>
    </w:p>
    <w:p>
      <w:pPr>
        <w:pStyle w:val="ListParagraph"/>
        <w:numPr>
          <w:ilvl w:val="0"/>
          <w:numId w:val="2"/>
        </w:numPr>
        <w:spacing w:after="60"/>
      </w:pPr>
      <w:r>
        <w:rPr>
          <w:b/>
        </w:rPr>
        <w:t xml:space="preserve">Caja</w:t>
      </w:r>
      <w:r>
        <w:t xml:space="preserve">: flujo libre de ≈ 3.100 M en FY2027 y deuda a la baja (préstamo de Ansys ya devuelto).</w:t>
      </w:r>
    </w:p>
    <w:p>
      <w:pPr>
        <w:pStyle w:val="Heading2"/>
      </w:pPr>
      <w:r>
        <w:t xml:space="preserve">En contra</w:t>
      </w:r>
    </w:p>
    <w:p>
      <w:pPr>
        <w:pStyle w:val="ListParagraph"/>
        <w:numPr>
          <w:ilvl w:val="0"/>
          <w:numId w:val="2"/>
        </w:numPr>
        <w:spacing w:after="60"/>
      </w:pPr>
      <w:r>
        <w:rPr>
          <w:b/>
        </w:rPr>
        <w:t xml:space="preserve">Valor intrínseco de 329 USD</w:t>
      </w:r>
      <w:r>
        <w:t xml:space="preserve">: el precio descuenta un 14 % de crecimiento anual durante nueve años.</w:t>
      </w:r>
    </w:p>
    <w:p>
      <w:pPr>
        <w:pStyle w:val="ListParagraph"/>
        <w:numPr>
          <w:ilvl w:val="0"/>
          <w:numId w:val="2"/>
        </w:numPr>
        <w:spacing w:after="60"/>
      </w:pPr>
      <w:r>
        <w:rPr>
          <w:b/>
        </w:rPr>
        <w:t xml:space="preserve">ROIC bajo el WACC</w:t>
      </w:r>
      <w:r>
        <w:t xml:space="preserve">: ≈ 5-7 % tras Ansys frente a un 10,7 %.</w:t>
      </w:r>
    </w:p>
    <w:p>
      <w:pPr>
        <w:pStyle w:val="ListParagraph"/>
        <w:numPr>
          <w:ilvl w:val="0"/>
          <w:numId w:val="2"/>
        </w:numPr>
        <w:spacing w:after="60"/>
      </w:pPr>
      <w:r>
        <w:rPr>
          <w:b/>
        </w:rPr>
        <w:t xml:space="preserve">IA como amenaza</w:t>
      </w:r>
      <w:r>
        <w:t xml:space="preserve">: puede automatizar el diseño y reducir licencias; caídas del 8-9 % en un día.</w:t>
      </w:r>
    </w:p>
    <w:p>
      <w:pPr>
        <w:pStyle w:val="ListParagraph"/>
        <w:numPr>
          <w:ilvl w:val="0"/>
          <w:numId w:val="2"/>
        </w:numPr>
        <w:spacing w:after="60"/>
      </w:pPr>
      <w:r>
        <w:rPr>
          <w:b/>
        </w:rPr>
        <w:t xml:space="preserve">IP y China</w:t>
      </w:r>
      <w:r>
        <w:t xml:space="preserve">: la IP cayó un 8 % en FY2025; China es el 10 % de las ventas con riesgo regulatorio.</w:t>
      </w:r>
    </w:p>
    <w:p>
      <w:pPr>
        <w:pStyle w:val="ListParagraph"/>
        <w:numPr>
          <w:ilvl w:val="0"/>
          <w:numId w:val="2"/>
        </w:numPr>
        <w:spacing w:after="60"/>
      </w:pPr>
      <w:r>
        <w:rPr>
          <w:b/>
        </w:rPr>
        <w:t xml:space="preserve">Remuneración en acciones</w:t>
      </w:r>
      <w:r>
        <w:t xml:space="preserve">: ≈ 950 M al año fuera del BPA que sigue el mercado; directivos vendedores.</w:t>
      </w:r>
    </w:p>
    <w:p>
      <w:pPr>
        <w:pStyle w:val="Heading2"/>
      </w:pPr>
      <w:r>
        <w:t xml:space="preserve">Qué tiene que pasar para que la tesis funcione</w:t>
      </w:r>
    </w:p>
    <w:p>
      <w:pPr>
        <w:spacing w:after="100"/>
      </w:pPr>
      <w:r>
        <w:t xml:space="preserve">La tesis depende de que los chips de IA sigan empujando el EDA y la simulación mientras la IA no reduce las licencias por cliente, y de que Ansys y la reestructuración suban el margen no GAAP hacia el 50 %. La señal en contra sería una guía de FY2028 por debajo del +15 %, una IP que vuelva a caer o renovaciones con menos licencias.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no GAAP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19,04-19,12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18,50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41,5 %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reestructuración y las sinergias de Ansys.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Design IP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M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que falló en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9,8 %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real fuera del BPA no GAAP.</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10.900 M USD (jul-2026)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señal de renovaciones más pequeñas.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79,1x / 24,0x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Synopsys nace en 1986 en Carolina del Norte (como Optimal Solutions) de un equipo de General Electric dirigido por Aart de Geus, con la síntesis lógica: el programa que traduce la descripción de un circuito a puertas lógicas (Design Compiler). Sale a bolsa en 1992 y, con compras como Avant! (2002) y Magma (2012), completa el flujo de diseño de chips y se convierte en el mayor proveedor de EDA junto a Cadence. Desde 2000 construye el mayor catálogo de propiedad intelectual de interfaces y entre 2014 y 2024 tuvo un negocio de seguridad de software (Software Integrity) que vendió en 2024 [1]. En 2024 Sassine Ghazi sustituyó a De Geus como consejero delegado y en julio de 2025 cerró la compra de Ansys por 34.900 M USD, la mayor del sector, para sumar la simulación física al diseño electrónico [1]. El mismo año la IP sufrió por China e Intel y la acción cayó un 36 % en un día; en 2026 entraron Elliott y NVIDIA en el capital [4,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(Optimal Solutions) por Aart de Geus y un equipo de General Electric; síntesis lógica (Design Compiler).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Avant!: flujo completo de diseño físico.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Magma Design Automation.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Sassine Ghazi consejero delegado; venta de Software Integrity por ≈ 2.100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Ansys (34.900 M USD, 17-jul-2025); venta de la división de óptica a Keysight; caída del 36 % el 10-sep por la IP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invierte 2.000 M; Elliott entra en el consejo; venta de Processor IP a GlobalFoundries; día del inversor con objetivos a 2030 [2, 8, 11,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Synopsys vende el software con el que se diseñan y verifican los chips (EDA), los bloques de propiedad intelectual que los fabricantes integran en ellos (IP) y, desde julio de 2025 con Ansys, software de simulación física para productos de todo tipo (coches, aviones, móviles) [1]. En los nueve meses de FY2026, el EDA fue el 49,5 % de las ventas, Ansys el 31,4 %, la IP el 18,6 % y otros el 0,5 % [2]. Tiene ≈ 28.000 empleados y sede en Sunnyvale (California) [1].</w:t>
      </w:r>
    </w:p>
    <w:p>
      <w:pPr>
        <w:pStyle w:val="Heading2"/>
      </w:pPr>
      <w:r>
        <w:t xml:space="preserve">Cómo gana dinero</w:t>
      </w:r>
    </w:p>
    <w:p>
      <w:pPr>
        <w:spacing w:after="100"/>
      </w:pPr>
      <w:r>
        <w:t xml:space="preserve">Cobra licencias de software por tiempo (normalmente tres años, renovables) que se reconocen a lo largo del contrato, vende hardware de emulación y prototipado, y cobra la IP por licencia y regalías [1]. El margen operativo no GAAP es alto (≈ 41,5 % guiado en FY2026, 44 % en FY2027) porque el coste es sobre todo I+D e ingeniería, que se reparte entre miles de clientes [8]. El margen GAAP es mucho menor (≈ 10 % en FY2026) por la amortización de intangibles de Ansys, la remuneración en acciones (≈ 10 % de las ventas) y la reestructuración. El circulante es negativo: los clientes pagan por adelantado.</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 Automation (EDA y, desde julio de 2025, simulación y análisis de Ansys)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Design IP</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 ajustado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 Automation (EDA y, desde julio de 2025, simulación y análisis de Ansys)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Design IP</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cliente (nueve meses de FY2026)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fabricantes y diseñadores de chips (Intel, Samsung, TSMC, NVIDIA, AMD, Qualcomm, Apple), hiperescaladores que diseñan sus propios chips (AWS, Google, Microsoft) y, con Ansys, la industria (automóvil, aeroespacial, energía). Un cliente fue el 12,6 % de las ventas en FY2024 y el 13,5 % en FY2023 (por la descripción de la fundición, Intel); en FY2025 ninguno pasó del 10 % [1]. Licencias plurianuales (normalmente tres años) que se reconocen a lo largo del contrato; el hardware y parte de la IP se reconocen al entregar. Poder de precios alto en diseño de chips: duopolio con Cadence y costes de cambio muy altos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no GAAP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frente a FY2024, con la dilución de Ansys; guía FY2026 15,04-15,10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Design IP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38 % al 24 %; China, Intel y errores de hoja de ruta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Ansys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(3,5 meses de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2.980 (guía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17-jul-2025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FY2025 frente a 31-jul-2026; 49 % a 12 meses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37 %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41,5 % (guía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 44 % en FY2027 y 50 % en FY2030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a China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Restricciones de exportación de mayo-julio de 2025 y competencia local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diseño de sistemas electrónicos tal como lo mide la ESD Alliance de SEMI, que suma los ingresos declarados por las empresas en herramientas de diseño de chips (EDA: diseño, verificación, fabricación), propiedad intelectual de semiconductores, ingeniería asistida (CAE, donde entra la simulación de Ansys), diseño de placas y servicios [12, 13, 14]. Es el perímetro donde compiten Synopsys, Cadence y Siemens EDA, y cubre ≈ 99 % de las ventas de Synopsys. La simulación mecánica general de Ansys (estructuras, fluidos) entra solo en parte en la categoría CAE; ahí compite también con Dassault (SIMULIA), Siemens-Altair, Autodesk y Hexagon-Cadence.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22.490 M USD en los 12 meses a junio de 2026 (suma propia de los cuatro últimos trimestres de la ESD Alliance) [12, 13,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ESD Alliance; 2026e-2028e previsión propia al 9 % anu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para IA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transistores, encapsulado 3D y chiplets multiplican el trabajo de diseño y verificación; el mercado creció un 12,7 % y un 12,2 % en el 1T y 2T de 2026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Hiperescaladores que diseñan su propio chip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AWS firmó con Synopsys un acuerdo de IP de más de 1.000 M USD (día del inversor)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Simulación de sistemas (gemelo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 compró Ansys (34.900 M), Siemens a Altair (≈ 10.000 M) y Cadence a BETA CAE y Hexagon D&amp;E [1, 15,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que automatiza el diseño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incumbentes venden agentes de IA (Synopsys.ai, AgentEngineer), pero una demostración china de diseño con IA de código abierto tumbó a Cadence un 9 % en un día [8,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mayo-julio de 2025 EE. UU. exigió licencias para vender EDA a China; las ventas de Synopsys en China bajaron un 22 % sin Ansys en FY2025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Cadence en el flujo completo de diseño, más Siemens EDA en verificación física; compiten en funcionalidad, no en precio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grandes y concentrados (fundiciones, NVIDIA, hiperescaladores) que negocian contratos plurianuales; un cliente llegó al 13,5 %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talento de ingeniería; no hay proveedores críticos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I+D y certificación con las fundiciones para cada nodo; los rivales chinos (Empyrean) entran por su mercado protegido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puede abaratar partes del flujo y los grandes clientes pueden hacer su propia IP; hoy los incumbentes la integran y cobran por ella [8, 18].</w:t>
            </w:r>
          </w:p>
        </w:tc>
      </w:tr>
    </w:tbl>
    <w:p>
      <w:pPr>
        <w:spacing w:after="160" w:before="0"/>
      </w:pPr>
    </w:p>
    <w:p>
      <w:pPr>
        <w:pStyle w:val="Heading2"/>
      </w:pPr>
      <w:r>
        <w:t xml:space="preserve">Ciclo</w:t>
      </w:r>
    </w:p>
    <w:p>
      <w:pPr>
        <w:spacing w:after="100"/>
      </w:pPr>
      <w:r>
        <w:t xml:space="preserve">El EDA es poco cíclico: licencias de tres años que se renuevan y presupuestos de I+D que no se recortan en las caídas de los semiconductores (el mercado creció en 2020 y 2022-2023 mientras los chips corregían) [15]. Lo cíclico es el hardware de emulación, la IP (ligada a nuevos diseños y a clientes concretos, como mostró la caída de 2025) y la parte de China. Hoy el mercado crece al 12 % con la inversión en chips de IA [12, 13].</w:t>
      </w:r>
    </w:p>
    <w:p>
      <w:pPr>
        <w:pStyle w:val="Heading2"/>
      </w:pPr>
      <w:r>
        <w:t xml:space="preserve">Regulación</w:t>
      </w:r>
    </w:p>
    <w:p>
      <w:pPr>
        <w:spacing w:after="100"/>
      </w:pPr>
      <w:r>
        <w:t xml:space="preserve">Lo que más pesa son los controles de exportación de EE. UU. a China: en mayo de 2025 el Departamento de Comercio (BIS) exigió licencias para vender software de diseño a clientes chinos y las levantó en julio; la incertidumbre interrumpió nuevos diseños y Synopsys vio caer su IP y sus ventas en China [1]. Las autoridades de competencia exigieron vender OSG y PowerArtist para aprobar Ansys, y China la aprobó con condiciones [1]. No hay regulación de precios. Riesgo abierto: nuevas restricciones o represalias chinas (investigaciones antimonopolio, preferencia por EDA local).</w:t>
      </w:r>
    </w:p>
    <w:p>
      <w:pPr>
        <w:pStyle w:val="Heading2"/>
      </w:pPr>
      <w:r>
        <w:t xml:space="preserve">Tendencias y disrupción</w:t>
      </w:r>
    </w:p>
    <w:p>
      <w:pPr>
        <w:spacing w:after="100"/>
      </w:pPr>
      <w:r>
        <w:t xml:space="preserve">Tres tendencias: los chips para IA (chiplets, encapsulado 3D, fotónica) aumentan el trabajo de diseño y de simulación física; los proveedores incorporan agentes de IA que hacen tareas de ingenieros y pueden cambiar cómo se cobra (por uso, por resultado) [8]; y el diseño electrónico converge con la simulación de sistemas (térmica, mecánica, electromagnética), por eso Synopsys compró Ansys y Cadence y Siemens compraron simulación [1, 17]. El riesgo nuevo es que la IA abarate el diseño hasta el punto de reducir licencias o permitir alternativas de código abierto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proveedor mundial de diseño de sistemas electrónicos: ≈ 42 % del mercado de la ESD Alliance en los 12 meses a junio de 2026 (estimación propia: 9.417 M sobre ≈ 22.490 M; Cadence ≈ 25 %) y líder en IP de interfaz [12, 13,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del duopolio; crece ≈ 13.5 % en 2027 según el consenso; compró BETA CAE y Hexagon D&amp;E para competir en simulación [15,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EDA (Siemens AG)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Mentor Graphics (comprada en 2016 por 4.500 M USD); fuerte en verificación física y placas; con Altair (2025) suma simulación. No publica cifras separadas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 (SIMULIA)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Ansys en simulación estructural y de fluidos; crece ≈ 6 %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IP de procesadores (Synopsys vendió la suya, ARC, en 2026); no compite en interfaces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Empresas chinas de EDA (Empyrean, Primarius y otras)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 cuota en su mercado con apoyo público y por los controles de exportación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fundiciones certifican cada nodo con las herramientas de Synopsys y Cadence; los ingenieros se forman en ellas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de diseño de años, equipos formados y contratos de tres años; cartera de 10.900 M USD [10,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I+D (≈ 35 % de las ventas en FY2025) y el mayor catálogo de IP de interfaz certificada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precio; la escala reparte la I+D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 22.500 M repartido entre tres; un cuarto no tendría escala [1, 5].</w:t>
            </w:r>
          </w:p>
        </w:tc>
      </w:tr>
    </w:tbl>
    <w:p>
      <w:pPr>
        <w:spacing w:after="160" w:before="0"/>
      </w:pPr>
    </w:p>
    <w:p>
      <w:pPr>
        <w:pStyle w:val="Heading2"/>
      </w:pPr>
      <w:r>
        <w:t xml:space="preserve">Amenazas</w:t>
      </w:r>
    </w:p>
    <w:p>
      <w:pPr>
        <w:spacing w:after="100"/>
      </w:pPr>
      <w:r>
        <w:t xml:space="preserve">Cuatro amenazas. La IA: puede aumentar el uso de las herramientas (más diseños, más simulación) o abaratar el trabajo hasta reducir licencias y abrir la puerta a alternativas de código abierto; el mercado ya lo teme (caídas del 8-9 % en un día en 2026) [18]. China: sustitución por EDA local en un mercado que fue el 16 % de las ventas en FY2024 y hoy es el 10 % [1, 2]. La IP: los grandes clientes pueden hacerse su propia IP y Synopsys perdió terreno en 2025 por errores propios [1]. Y Cadence y Siemens han comprado simulación para no dejar a Synopsys-Ansys el paquete integrado. Probabilidad de erosión del foso del EDA en cinco años: baja; de presión en la IP y en China: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Crecimiento anual compuesto FY2021-FY2025: ingresos </w:t>
      </w:r>
      <w:r>
        <w:rPr>
          <w:b/>
          <w:bCs/>
        </w:rPr>
        <w:t xml:space="preserve">13,8 %</w:t>
      </w:r>
      <w:r>
        <w:t xml:space="preserve">, EBITDA </w:t>
      </w:r>
      <w:r>
        <w:rPr>
          <w:b/>
          <w:bCs/>
        </w:rPr>
        <w:t xml:space="preserve">17,1 %</w:t>
      </w:r>
      <w:r>
        <w:t xml:space="preserve">, BPA </w:t>
      </w:r>
      <w:r>
        <w:rPr>
          <w:b/>
          <w:bCs/>
        </w:rPr>
        <w:t xml:space="preserve">13,8 %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operaciones continuadas pasaron de 4.615,7 M USD en FY2022 a 7.054,2 M en FY2025 (TCAC del 15,2 %) y a 9.416,8 M en los 12 meses a julio de 2026, ya con Ansys [1, 2, 7]. Sin Ansys (755 M, el 10,7 % de las ventas de FY2025), los ingresos crecieron solo un 2,8 %: el diseño de chips (Design Automation, 5.302 M con Ansys; ≈ +8 % sin ella; margen ajustado del 42 %) subió con el hardware de verificación, pero la propiedad intelectual (Design IP) cayó un 8 % (1.752 M frente a 1.906) y su margen ajustado se hundió del 38 % al 24 % por las restricciones de exportación a China del 3T FY2025, la menor demanda de un gran cliente de fundición (Intel) y «decisiones de hoja de ruta y recursos que no dieron el resultado previsto» [1, 4]. En FY2026 la IP sigue débil (−6 % en el 2T26, 474 M en el 3T26 frente a 428 un año antes) y Synopsys vendió Processor IP (ARC) a GlobalFoundries el 1-jun-2026 [2, 3, 6]. El EBIT GAAP de FY2025 (914,9 M, 13 %) está deprimido por la amortización de intangibles de Ansys (504 M), los costes de la compra (255 M) y la remuneración en acciones (893 M) [1].</w:t>
      </w:r>
    </w:p>
    <w:p>
      <w:pPr>
        <w:pStyle w:val="Heading2"/>
      </w:pPr>
      <w:r>
        <w:t xml:space="preserve">Ajustes y partidas no recurrentes</w:t>
      </w:r>
    </w:p>
    <w:p>
      <w:pPr>
        <w:spacing w:after="100"/>
      </w:pPr>
      <w:r>
        <w:t xml:space="preserve">El BPA no GAAP excluye la amortización de intangibles comprados, la remuneración en acciones, los costes de compras y de reestructuración, plusvalías y minusvalías de ventas de negocios y sus efectos fiscales [3, 4]. En FY2025 el BPA GAAP de operaciones continuadas fue de 8,07 USD y el no GAAP de 12,91: la diferencia (4,84 USD) es sobre todo remuneración en acciones (893 M, ≈ 5,4 USD antes de impuestos) y amortización de intangibles (504 M, ≈ 3,0 USD), compensadas en parte por la plusvalía de la venta de la división de óptica (OSG) a Keysight (≈ 508 M en otros ingresos) [1, 4]. En los nueve meses de FY2026: GAAP 3,27 USD frente a no GAAP 11,02, con 1.210 M de amortización de intangibles, 713 M de remuneración en acciones, 236 M de reestructuración y una plusvalía de 425 M por Processor IP [2, 3]. La guía de FY2026 lo resume: margen operativo GAAP ≈ 10,4 % frente a no GAAP ≈ 41,5 % [3]. Nuestro DCF trata la remuneración en acciones como coste (≈ 9,8 % de las ventas en FY2026); el BPA no GAAP se usa solo en la regla a 12 meses porque es la base en la que cotiza la acción.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fiscales (el 3T26 es may-jul 2026); el crecimiento interanual de FY2026 lleva Ansys, que no estaba un año antes. EBITDA ajustado = resultado operativo ajustado de los segmentos + depreciación (estimación propia) y BPA no GAAP de la empresa [3, 6]. En el 3T26 (26-ago-2026) los ingresos fueron de 2.476,8 M USD y el BPA no GAAP de 3,91, por encima de la guía y del consenso; Design Automation 2.003 M y Design IP 474 M (+11 % interanual tras tres trimestres de caídas) [3]. La empresa subió la guía de FY2026: ingresos de 9.690-9.740 M (Ansys ≈ 2.980 M), margen operativo no GAAP ≈ 41,5 %, BPA no GAAP de 15,04-15,10 USD (GAAP 3,53-3,84 con la plusvalía de Processor IP), flujo operativo ≈ 2.800 M y libre ≈ 2.600 M; 4T26: ingresos de 2.530-2.580 M y BPA no GAAP de 4,10-4,16 [3]. En el día del inversor (30-sep-2026) dio la guía de FY2027: ingresos de 11.100-11.200 M (+15 %), margen no GAAP ≈ 44 %, BPA no GAAP de 19,04-19,12 USD (GAAP 8,16-8,61), flujo libre ≈ 3.100 M e inversión ≈ 500 M; y para FY2026-FY2030, ingresos +15 % anual, margen no GAAP del 50 % en FY2030 y BPA y flujo libre creciendo «a mitad de los veinte» [8]. La cartera de pedidos era de 10.900 M USD a 31-jul-2026 (49 % a 12 meses)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Ansys consolidada desde el 17-jul-2025 (3,5 meses: 667,7 M USD de ingresos en el 4T25); entra entera en el balance (fondo de comercio de 26.899 M e intangibles de 12.680 M) y solo en parte en la cuenta [1, 4].; FY2024: Software Integrity (SIG) vendida el 30-sep-2024 por ≈ 2.100 M USD y presentada como operación discontinuada; FY2022-FY2023 reexpresados sin ella [5, 7].; FY2022: Primer año reexpresado sin SIG (4.615,7 M de ingresos frente a 5.081,5 publicados entonces); FY2021 sigue con SIG (≈ 400-450 M de ingresos): el crecimiento de FY2022 sale bajo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compra de Ansys (34.900 M USD: 17.600 M en caja y 17.100 M en 29,955 M de acciones) cambió el balance: el fondo de comercio pasó de 3.449 M en FY2024 a 26.899 M en FY2025 y los intangibles de 195 a 12.680 M; juntos son el 82 % del activo [1]. La deuda financiera, nula en FY2024, llegó a 13.485 M en FY2025 (bonos y préstamo a plazo) y bajó a 10.037 M a 31-jul-2026 tras devolver el préstamo con caja, la venta de Processor IP y los 2.000 M de NVIDIA [2, 11]. Deuda neta de 6.430 M, ≈ 1,6 veces el EBITDA no GAAP de los últimos 12 meses (≈ 3.900 M) y ≈ 2,5 veces el EBITDA GAAP [2, 3]. El circulante comercial es negativo por los ingresos diferidos (los clientes pagan las licencias por adelantado).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7.131</w:t>
      </w:r>
      <w:r>
        <w:t xml:space="preserve">, conversión </w:t>
      </w:r>
      <w:r>
        <w:rPr>
          <w:b/>
          <w:bCs/>
        </w:rPr>
        <w:t xml:space="preserve">124 %</w:t>
      </w:r>
      <w:r>
        <w:t xml:space="preserve"> del beneficio neto; adquisiciones 17.854, dividendos 0, recompras 3.014.</w:t>
      </w:r>
    </w:p>
    <w:p>
      <w:pPr>
        <w:spacing w:after="100"/>
      </w:pPr>
      <w:r>
        <w:t xml:space="preserve">El flujo operativo fue de 1.493-1.739 M USD en FY2021-FY2023, bajó a 1.407 M en FY2024 por los impuestos de la venta de SIG y fue de 1.519 M en FY2025 con los costes de la compra de Ansys [1]. En los nueve meses de FY2026 sumó 2.299 M, con 156 M de inversión [2]; la guía es de ≈ 2.800 M de flujo operativo y ≈ 2.600 M de flujo libre en FY2026 y ≈ 3.100 M de libre en FY2027 (con ≈ 500 M de inversión) [3, 8]. La inversión en inmovilizado es baja (1,9-3,6 % de las ventas). La caja se ha ido a Ansys (16.681 M netos en FY2025), a devolver deuda (3.464 M en 2026) y a recompras (753-1.161 M al año en FY2021-FY2023, ninguna en FY2024-FY2025, 300 M en 2026 hasta julio y 1.000 M en octubre) [1, 2, 10]. Sin dividendo. Los pagos de impuestos por las acciones entregadas a empleados (305 M en FY2025) son el coste en caja de la remuneración en acciones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y auditadas por KPMG desde 1992, pero la cifra que sigue el mercado (BPA no GAAP) excluye costes que se repiten: la remuneración en acciones (893 M USD en FY2025, el 12,7 % de las ventas; ≈ 950 M guiados en FY2026) y la reestructuración (380-410 M en FY2026, tras otras en FY2021-FY2023) [1, 3]. Además, FY2025 y FY2026 llevan plusvalías de ventas de negocios (OSG ≈ 508 M y Processor IP 425 M) que inflan el BPA GAAP de esos años [1, 2]. El fondo de comercio (26.835 M) y los intangibles (11.459 M) son el 80 % del activo: un deterioro de Ansys o de la IP restaría patrimonio sin salida de caja. Los indicadores del motor (Altman, Beneish) se leen con cuidado en el año de la compra.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no GAAP frente a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12,91 USD frente a 8,07; 9M FY2026: 11,02 frente a 3,27. Guía FY2027: 19,04-19,12 no GAAP frente a 8,16-8,61 GAAP [3, 4,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fuera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893 M USD en FY2025 (12,7 % de las ventas) y ≈ 950-980 M en FY2026-FY2027; nuestro DCF la resta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noviembre de 2025 de 425-500 M (antes 300-350); cargos también en FY2021-FY2023 [7,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Ansys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23.000 M USD de fondo de comercio nuevo; prueba de deterioro anual sin pérdidas hasta ahora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en otros ingresos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OSG (≈ 508 M en FY2025) y Processor IP (425 M en el 3T26) suben el BPA GAAP, no el no GAAP [1,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26.899 M en FY2025 (el 69 % del capital invertido medio); ha subido más de un 5 % en 2 de 4 años: compra única grande. ROIC publicado 5,1 %; sin fondo de comercio, 16,4 %.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2,2 % · </w:t>
      </w:r>
      <w:r>
        <w:rPr>
          <w:b/>
          <w:bCs/>
        </w:rPr>
        <w:t xml:space="preserve">WACC</w:t>
      </w:r>
      <w:r>
        <w:t xml:space="preserve">: 10,7 %.</w:t>
      </w:r>
    </w:p>
    <w:p>
      <w:pPr>
        <w:spacing w:after="100"/>
      </w:pPr>
      <w:r>
        <w:t xml:space="preserve">Antes de Ansys, Synopsys era un negocio de rentabilidad excelente: ROIC del 25-28 % en FY2022-FY2024 con un capital invertido de ≈ 4.000-5.000 M USD, casi todo fondo de comercio de compras pequeñas [1]. La compra de Ansys multiplicó el capital por ocho (≈ 38.000 M) y el ROIC cayó al 5,1 % en FY2025 (con 3,5 meses de Ansys) y a ≈ 6,6 % con un año entero en FY2026e (con la remuneración en acciones como coste; ≈ 8,7 % en base no GAAP), frente a un WACC del 10,7 %: ROIC − WACC ≈ −4 puntos. Sin el fondo de comercio el ROIC es del 16 % [1, 2]. El ROE cae del 19-21 % al 7 % por el mismo motivo. La pregunta de la inversión es si Ansys llegará a rendir su coste de capital: con la guía de margen del 50 % en FY2030 (≈ 7.500 M de resultado operativo no GAAP, ≈ 6.000 M con la remuneración en acciones) el ROIC se acercaría al 13-16 % hacia 2030 [8].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3.607,7 M USD a 31-jul-2026 (3.606,3 de caja y equivalentes y 1,4 de inversiones a corto) y una línea de crédito revolvente de 850 M no dispuesta hasta diciembre de 2027 [2]. El préstamo a plazo de la compra de Ansys está devuelto entero (3.463,7 M amortizados en nueve meses) [2]. Después del balance, 1.000 M de caja salieron en octubre para la recompra acelerada con JPMorgan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(calificaciones de S&amp;P y Moody's sin comprobar en fuente primaria)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Bonos sénior de 10.000 M USD emitidos en marzo de 2025 para Ansys: 1.000 M al 4,55 % (2027), 1.000 M al 4,65 % (2028), 2.000 M al 4,85 % (2030), 1.500 M al 5,00 % (2032), 2.400 M al 5,15 % (2035) y 2.100 M al 5,70 % (2055), más 99,5 M de coberturas de tipos diferidas y 10,9 M de otros [2]. Ingresos diferidos de 2.715 M (2.331 a corto y 384 a largo) [2]. Pasivos por arrendamiento operativo ≈ 800 M (fuera del puente por US GAAP) [1]. Plan de reestructuración de noviembre de 2025 (≈ 10 % de la plantilla) con un coste total elevado a 425-500 M USD en agosto de 2026 [9].</w:t>
      </w:r>
    </w:p>
    <w:p>
      <w:pPr>
        <w:pStyle w:val="Heading1"/>
      </w:pPr>
      <w:r>
        <w:t xml:space="preserve">12. Asignación de capital</w:t>
      </w:r>
    </w:p>
    <w:p>
      <w:pPr>
        <w:pStyle w:val="Confianza"/>
        <w:spacing w:after="100"/>
      </w:pPr>
      <w:r>
        <w:t xml:space="preserve">Confianza: Alta</w:t>
      </w:r>
    </w:p>
    <w:p>
      <w:pPr>
        <w:spacing w:after="100"/>
      </w:pPr>
      <w:r>
        <w:t xml:space="preserve">Tras la compra de Ansys, prioridades: devolver deuda (préstamo a plazo devuelto en 2026), invertir en IA y simulación y devolver hasta el 50 % del flujo libre con recompras; sin dividendo [2, 8]. Recompras aceleradas de 250 M USD (marzo de 2026) y de 1.000 M (octubre de 2026, liquidación hasta enero de 2027) [10]. En diciembre de 2025 NVIDIA compró 2.000 M USD en acciones nuevas a 414,79 USD (≈ 4,8 M de acciones) dentro de una alianza tecnológica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 (simulación y análisis multifísico)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17.600 M en caja (bonos de 10.000 M y préstamo a plazo) y 17.100 M en acciones (29,955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2.980 M USD de ingresos guiados en FY2026; condiciones de competencia: venta de OSG y de PowerArtist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Software Integrity (SIG) a Clearlake y Francisco Partners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discontinuada; plusvalía en FY2024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Optical Solutions Group a Keysight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 de competencia por Ansys; plusvalía ≈ 508 M USD en otros ingresos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Processor IP Solutions (ARC) a GlobalFoundries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de 425,4 M USD; ≈ 40 M menos de ingresos en FY2026 [2].</w:t>
            </w:r>
          </w:p>
        </w:tc>
      </w:tr>
    </w:tbl>
    <w:p>
      <w:pPr>
        <w:spacing w:after="160" w:before="0"/>
      </w:pPr>
    </w:p>
    <w:p>
      <w:pPr>
        <w:spacing w:after="100"/>
      </w:pPr>
      <w:r>
        <w:t xml:space="preserve">Synopsys ha pasado de un negocio de diseño de chips sin deuda que recompraba ≈ 1.000 M USD al año a un grupo de diseño y simulación con 10.000 M de deuda: la compra de Ansys (≈ 15 veces sus ventas) es la mayor de la historia del sector y su rentabilidad depende de las sinergias de ingresos que la dirección promete en el día del inversor (simulación de sistemas con IA) [1, 8]. Las acciones diluidas subieron de ≈ 156 M en FY2024 a ≈ 192 M en 2026 (+23 %) por Ansys y NVIDIA [2, 11]. A la vez ha vendido lo que no era núcleo (SIG, OSG, Processor IP) [1, 2]. El ROIC con el fondo de comercio de Ansys cae muy por debajo del de antes de la compra: la prueba está en los próximos años.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Sassine Ghazi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Synopsys desde 1998; director de operaciones y consejero delegado desde enero de 2024. Cerró la compra de Ansys y la venta de SIG, y lleva la estrategia de IA (Synopsys.ai, AgentEngineer) [1,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Aart J. de Geus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delegado de 1994 a 2023; preside el consejo como ejecutivo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Shelagh Glaser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Intel; lleva la financiación de Ansys y la reducción de deuda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Sudhindra Kankanwadi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adjunto y de contabilidad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contabilidad e informes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Ellow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a Rick Mahoney, que salió en noviembre de 2025 [22,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5,18-5,25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6,23-6,30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7,73-7,80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10,28-10,35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13,33-13,41 USD (con SIG)</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13,20 (sin SIG, discontinuada)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14,88-14,96 USD (antes de Ansys)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12,91 (con Ansys; guía rebajada a 12,76-12,80 en septiembre)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14,32-14,40 USD (subida a 15,04-15,10 en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(diciembre de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Hasta FY2023 Synopsys batió todos los años su guía inicial de BPA no GAAP por un 5-15 % [4]. FY2025 rompió la racha: la IP falló (China, Intel y errores propios de hoja de ruta) y la acción cayó un 36 % el 10-sep-2025; el director comercial salió dos meses después y la empresa anunció un recorte del 10 % de la plantilla [4, 23]. En FY2026 ha vuelto a subir la guía dos veces [8]. Ghazi lleva menos de tres años como consejero delegado y su gran apuesta (Ansys, 34.900 M USD) aún no se ha probado. Elliott entró en el capital en 2026 y firmó un acuerdo de cooperación con un consejero (Jesse Cohn) [21]. La directora jurídica sale antes de fin de 2026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Aart J. de Geus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Sassine Ghazi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G. Schwarz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Janice D. Chaffin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R. Chizen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Mercedes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G. Painter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Jeannine P. Sargent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A. Shimer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Ravi K. Vijayaraghavan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Jesse Cohn (Elliott)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56,04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NVIDIA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4,8 M de acciones suscritas en diciembre de 2025 (2.000 M USD) [8]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Elliott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no publicada; límite del 4,9 % por el acuerdo de cooperación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Aart de Geus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Aart de Geus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Aart de Geus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Sassine Ghazi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Sassine Ghazi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Sassine Ghazi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Sudhindra Kankanwadi (director financiero adjunto)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19,61 M USD en FY2025: 0,88 M de fijo, 1,19 M de variable anual y 17,52 M en acciones (13,02) y opciones (4,50) [19]. El variable anual se liga al 50 % a los ingresos y al 50 % al margen operativo no GAAP; las acciones por objetivos, al crecimiento de los ingresos a tres años con un modificador por la rentabilidad relativa para el accionista [19]. No hay ninguna métrica de rentabilidad del capital (ROIC) ni de BPA GAAP: con 34.900 M USD invertidos en Ansys es el punto débil. Ratio frente al empleado mediano (93.538 USD): 210 veces [19]. En la junta del 16-abr-2026 el voto consultivo sobre la remuneración tuvo un 91,4 % a favor y un 8,5 % en contra [20].</w:t>
      </w:r>
    </w:p>
    <w:p>
      <w:pPr>
        <w:pStyle w:val="Heading2"/>
      </w:pPr>
      <w:r>
        <w:t xml:space="preserve">Operaciones vinculadas, estructura de control y defensas</w:t>
      </w:r>
    </w:p>
    <w:p>
      <w:pPr>
        <w:spacing w:after="100"/>
      </w:pPr>
      <w:r>
        <w:t xml:space="preserve">Sin accionista de control: los mayores son Vanguard (7,1 %) y BlackRock (6,2 %); NVIDIA tiene ≈ 2,5 % y Elliott una participación por debajo del 4,9 % [19, 21]. Una acción, un voto; consejo elegido cada año por mayoría y sin píldora venenosa [19]. El cofundador preside como ejecutivo, con un consejero independiente coordinador (Schwarz, en el consejo desde 2007) [19]. Consejeros con mucha antigüedad (Chizen desde 2001, Schwarz desde 2007) junto a cuatro incorporaciones de 2023-2026, una de ellas de Elliott [19, 21, 25].</w:t>
      </w:r>
    </w:p>
    <w:p>
      <w:pPr>
        <w:pStyle w:val="Heading2"/>
      </w:pPr>
      <w:r>
        <w:t xml:space="preserve">Señales de alerta</w:t>
      </w:r>
    </w:p>
    <w:p>
      <w:pPr>
        <w:pStyle w:val="ListParagraph"/>
        <w:numPr>
          <w:ilvl w:val="0"/>
          <w:numId w:val="2"/>
        </w:numPr>
        <w:spacing w:after="60"/>
      </w:pPr>
      <w:r>
        <w:t xml:space="preserve">Ventas de directivos por 61,5 M USD en 12 meses, el 89 % con planes 10b5-1 y ninguna compra; el consejero delegado vendió 6,8 M el 15-oct-2026 [22].</w:t>
      </w:r>
    </w:p>
    <w:p>
      <w:pPr>
        <w:pStyle w:val="ListParagraph"/>
        <w:numPr>
          <w:ilvl w:val="0"/>
          <w:numId w:val="2"/>
        </w:numPr>
        <w:spacing w:after="60"/>
      </w:pPr>
      <w:r>
        <w:t xml:space="preserve">Entrada de Elliott (activista) y acuerdo de cooperación con un consejero desde el 1-jun-2026 [21].</w:t>
      </w:r>
    </w:p>
    <w:p>
      <w:pPr>
        <w:pStyle w:val="ListParagraph"/>
        <w:numPr>
          <w:ilvl w:val="0"/>
          <w:numId w:val="2"/>
        </w:numPr>
        <w:spacing w:after="60"/>
      </w:pPr>
      <w:r>
        <w:t xml:space="preserve">Salidas del director comercial (noviembre de 2025) y de la directora jurídica (antes del 31-dic-2026); reestructuración del 10 % de la plantilla [23,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FY2026 (a 31-oct-2026), subida el 26-ago-2026: ingresos de 9.690-9.740 M USD, margen operativo no GAAP ≈ 41,5 %, BPA no GAAP de 15,04-15,10 USD, flujo libre ≈ 2.600 M; 4T26 con BPA no GAAP de 4,10-4,16 [3]. Guía de FY2027 (día del inversor, 30-sep-2026): ingresos de 11.100-11.200 M (+15 %), margen no GAAP ≈ 44 %, BPA no GAAP de 19,04-19,12 USD (GAAP 8,16-8,61), remuneración en acciones de 960-980 M, intereses de −465 a −455 M, tipo del 18 %, 190-192 M de acciones, flujo libre ≈ 3.100 M e inversión ≈ 500 M [8]. A largo plazo (FY2026-FY2030): ingresos +15 % anual, margen no GAAP del 50 % en FY2030, BPA y flujo libre «a mitad de los veinte» por ciento anual y hasta el 50 % del flujo libre en recompras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22 analistas (BPA no GAAP)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18 analistas (BPA no GAAP)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475,00 – 700,00</w:t>
            </w:r>
          </w:p>
        </w:tc>
      </w:tr>
    </w:tbl>
    <w:p>
      <w:pPr>
        <w:spacing w:after="160" w:before="0"/>
      </w:pPr>
    </w:p>
    <w:p>
      <w:pPr>
        <w:pStyle w:val="Heading2"/>
      </w:pPr>
      <w:r>
        <w:t xml:space="preserve">Revisiones de estimaciones</w:t>
      </w:r>
    </w:p>
    <w:p>
      <w:pPr>
        <w:spacing w:after="100"/>
      </w:pPr>
      <w:r>
        <w:t xml:space="preserve">El BPA no GAAP de FY2026 del consenso subió de 14,77 USD hace 90 días a 15,14 hoy y el de FY2027 de 17,28 a 18,73, tras la subida de guía del 26-ago y la guía de FY2027 del día del inversor (19,04-19,12) [3, 8, 27]. Los objetivos suben: Morgan Stanley, Wells Fargo, BNP Paribas y HSBC mejoraron la recomendación en septiembre; Deutsche Bank subió 50 USD el objetivo el 1-oct; BofA lo lleva a 600 USD y Morgan Stanley lo subió el 20-oct [37]. Yahoo: 25 objetivos con media 586,95 USD (475-700) y 24 de 25 recomendaciones de compra [27]. Sin consenso gratuito fiable de FY2028 (una sola fuente con dos estimaciones).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bl>
    <w:p>
      <w:pPr>
        <w:spacing w:after="160" w:before="0"/>
      </w:pPr>
    </w:p>
    <w:p>
      <w:pPr>
        <w:spacing w:after="100"/>
      </w:pPr>
      <w:r>
        <w:t xml:space="preserve">La acción ha ido mucho peor que el índice en los últimos tres años: rentabilidad total del −1,3 % en 12 meses y del −1,4 % anual en tres años, frente al +15,8 % y +23,7 % del S&amp;P 500 y el +71 % y +49 % del índice de semiconductores (SOXX) [26]. A diez años sigue siendo excelente (+22,4 % anual frente al +15,5 % del índice) [26]. El múltiplo se ha comprimido: de ≈ 40 veces el BPA no GAAP del año siguiente en octubre de 2024 a ≈ 24 hoy, por la caída de la IP en 2025, la dilución de Ansys y el miedo a que la IA abarate el diseño [26, 27]. Beta de 1,20 (mensual a cinco años; 1,13 ajustada; 1,49 semanal a dos años) y volatilidad del 44 % en el último año, con una caída máxima del 43 % entre julio de 2025 y septiembre de 2026 [26].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 +21,7 % / -4,7 % / +0,3 %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 / +23,7 %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FY2025 (9-sep-2025, caída del 10-sep): la IP cayó por las restricciones de exportación a China, la menor demanda de un gran cliente de fundición (Intel) y errores propios de hoja de ruta; guía rebajada [30,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director comercial (4-nov-2025) con la guía reafirmada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generalizada de software el 3-feb-2026 por el miedo a la IA (herramientas de IA generativa que sustituyen software), sin noticia de la empresa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Elliott (23-mar), noticias de colaboración con TSMC (+9,6 % el 24-abr) y subida de los semiconductores; máximo de 52 semanas de 539,48 USD el 26-may [26, 32,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(27-may: IP −6 %, −8,6 % el 28-may) y, en julio, nuevo temor a la IA: un laboratorio chino (Moonshot, Kimi K3) dijo haber diseñado un chip con IA y herramientas de código abierto (−7,9 % el 17-jul) [34,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por encima de lo esperado y guía de FY2026 subida (26-ago; +13,4 % el 27-ago) [3,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hasta el mínimo de 52 semanas (362,55 USD el 15-sep) con dos días de −5 % (1 y 4-sep) sin nota de la empresa: venta de directivos con planes 10b5-1 (de Geus, 28-ago a 1-sep) y debilidad del software; causa concreta no encontrada en tres búsquedas [22,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(30-sep): guía de FY2027 por encima del consenso, acuerdo de IP de más de 1.000 M USD con AWS y colaboración con OpenAI; +12,8 % el 1-oct; mejoras de recomendación [8, 36,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12 al 20-oct, de 502,51 a 447,62 USD sin noticia de la empresa: recogida de beneficios tras el día del inversor, temores a la IA en el software y venta del consejero delegado con plan 10b5-1 (15-oct); causa concreta no encontrada [22,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acelerada de 1.000 M USD con JPMorgan (entrega inicial ≈ 1,7 M de acciones; liquidación hasta enero de 2027)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guía de FY2027 (BPA no GAAP 19,04-19,12 USD) y objetivos a 2030 (margen no GAAP del 50 %); acuerdo de IP con AWS de más de 1.000 M y colaboración con OpenAI [8,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por encima de la guía; guía de FY2026 subida a 15,04-15,10 USD; coste de la reestructuración elevado a 425-500 M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directora jurídica (Janet Lee) dejará la empresa antes del 31-dic-2026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Temor a que la IA automatice el diseño de chips (Kimi K3 de Moonshot); Mizuho y otros analistas defienden que la IA no sustituye al EDA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Processor IP (ARC) a GlobalFoundries por 443 M USD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cooperación con Elliott: Jesse Cohn entra en el consejo el 1-jun; Elliott no pasará del 4,9 %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IP −6 % interanual; guía de FY2026 mantenida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invierte 2.000 M USD en acciones nuevas a 414,79 USD y firma una alianza en diseño acelerado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reestructuración: ≈ 10 % de la plantilla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FY2026 en diciembre (fecha sin anunciar; en 2025 fue el 10-dic); guía 4T: BPA no GAAP 4,10-4,16 USD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14,9 % por debajo de su máximo de 52 semanas y un 29,5 % por debajo del de cinco años, tras subir un 21,7 % en tres meses desde el mínimo de septiembre; no salta ningún aviso P de la herramienta [26]. Los movimientos grandes tienen causa en hechos de la empresa (resultados del 3T25 con la caída de la IP, del 2T26 y del 3T26, día del inversor) o en el miedo del mercado a la IA en el software (febrero y julio de 2026), que el informe valora en los riesgos. Dos tramos no tienen causa concreta (principios de septiembre y la caída del 12 al 20-oct, −10,9 %), sin hechos nuevos que cambien la tesis. No hay colocaciones, juicios ni decisiones regulatorias con fecha que puedan mover el precio más de un 5 % en contra; los resultados del 4T (diciembre)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(31 de octubre) de Yahoo [26]. El PER con el BPA GAAP no sirve: las plusvalías de SIG (FY2024) y OSG (FY2025) y la amortización de Ansys lo deforman. En base no GAAP adelantada (precio al cierre ÷ BPA no GAAP del ejercicio siguiente, la base de la regla a 12 meses), el múltiplo fue de 37,4 veces en octubre de 2021, 26,1 en 2022, 35,6 en 2023, 39,8 en 2024 y 30,1 en 2025, y es ≈ 23,6 hoy: el más bajo desde 2019 [26, 27].</w:t>
      </w:r>
    </w:p>
    <w:p>
      <w:pPr>
        <w:pStyle w:val="Heading1"/>
      </w:pPr>
      <w:r>
        <w:t xml:space="preserve">18. Comparables cotizados</w:t>
      </w:r>
    </w:p>
    <w:p>
      <w:pPr>
        <w:pStyle w:val="Confianza"/>
        <w:spacing w:after="100"/>
      </w:pPr>
      <w:r>
        <w:t xml:space="preserve">Confianza: Media</w:t>
      </w:r>
    </w:p>
    <w:p>
      <w:pPr>
        <w:spacing w:after="100"/>
      </w:pPr>
      <w:r>
        <w:t xml:space="preserve">Cadence (el otro gran proveedor de EDA, el único comparable de verdad), cinco empresas de software de diseño y simulación de ingeniería (Autodesk, PTC, Dassault, Bentley y Nemetschek: rivales o equivalentes de Ansys) y dos de propiedad intelectual de semiconductores (Arm y Rambus) [27]. PER = precio ÷ BPA ajustado del próximo ejercicio de cada empresa según el consenso de Yahoo; EV/EBITDA con el EBITDA de los últimos 12 meses de Yahoo (no siempre ajustado). Keysight se descarta (equipos de medida). Los de la zona euro, a 1,1234 USD por EUR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Rambus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 / 25,9x / 32,2x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24,6x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 / 7,8x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r>
    </w:tbl>
    <w:p>
      <w:pPr>
        <w:spacing w:after="160" w:before="0"/>
      </w:pPr>
    </w:p>
    <w:p>
      <w:pPr>
        <w:spacing w:after="100"/>
      </w:pPr>
      <w:r>
        <w:t xml:space="preserve">Synopsys cotiza a ≈ 23,4 veces el BPA no GAAP de FY2027 (guía 19,04-19,12), muy por debajo de Cadence (34,4x), con un crecimiento parecido (+15 % guiado en FY2027 frente a +13,5 % del consenso de Cadence) [8, 27]. Frente al software de ingeniería (Autodesk 17,4x, PTC 21,7x, Dassault 16,7x) cotiza en línea, con más crecimiento y más margen. Arm (73,7x) es un extremo que no sirve de referencia. La mediana de los ocho (24,6x) es la referencia del motor en el alcista. El descuento frente a Cadence refleja la deuda de Ansys, la IP débil y la menor visibilidad de las sinergias.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34.900 M USD sobre ≈ 2.270 M de ventas de 2023; prima ≈ 29 % sobre el precio previo al anuncio (enero de 2024).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 10.000 M USD; ventas ≈ 665 M USD (≈ 600 M EUR) [7 de B].</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Mentor Graphics (EDA)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nueve años, con múltiplos de otra época; solo como referencia.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Integrity (seguridad de aplicaciones)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y Francisco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Synopsys; otro negocio (seguridad de software).</w:t>
            </w:r>
          </w:p>
        </w:tc>
      </w:tr>
    </w:tbl>
    <w:p>
      <w:pPr>
        <w:spacing w:after="160" w:before="0"/>
      </w:pPr>
    </w:p>
    <w:p>
      <w:pPr>
        <w:spacing w:after="160" w:before="0"/>
      </w:pPr>
    </w:p>
    <w:p>
      <w:pPr>
        <w:spacing w:after="100"/>
      </w:pPr>
      <w:r>
        <w:t xml:space="preserve">Las compras grandes de simulación se han hecho a ≈ 15 veces las ventas (Ansys, Altair): el sector se paga muy caro por la escasez de activos y las sinergias con el diseño electrónico. A ese múltiplo de ventas Synopsys valdría mucho más que hoy, pero con ≈ 87.000 M USD de capitalización no es objetivo realista de una compra (y no hay comprador que pase competencia): el valor de control no es relevante.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(+37,7 %, fijo) es la guía de ingresos (9.690-9.740 M USD) con un año entero de Ansys (≈ 2.980 M) [3]. FY2027e (+14,8 %) es la guía del día del inversor (11.100-11.200 M) y el consenso (11.043 M) [8, 27]. Después, del 12 % en FY2028e al 5 % en FY2035e: por debajo del 15 % anual que la empresa promete para FY2026-FY2030 y cerca del 9-12 % al que crece el mercado de la ESD Alliance [12, 13]. La historia lo apoya: 13,8 % anual de ingresos en FY2021-FY2025 (con compras) y ≈ 10 % orgánico. No proyectamos más compras.</w:t>
      </w:r>
    </w:p>
    <w:p>
      <w:pPr>
        <w:keepNext/>
        <w:spacing w:after="100"/>
      </w:pPr>
      <w:r>
        <w:rPr>
          <w:b/>
          <w:bCs/>
        </w:rPr>
        <w:t xml:space="preserve">Márgenes.</w:t>
      </w:r>
    </w:p>
    <w:p>
      <w:pPr>
        <w:spacing w:after="100"/>
      </w:pPr>
      <w:r>
        <w:t xml:space="preserve">Margen EBITDA = margen operativo no GAAP − remuneración en acciones + depreciación: 33,9 % en FY2026e (41,5 − 9,8 + 2,2) y 37,5 % en FY2027e (44,0 − 8,7 + 2,2), de la guía [3, 8]. Sube al 41,5 % en FY2030e y se queda en el 42 %: equivale a un margen no GAAP de ≈ 48 %, dos puntos por debajo del objetivo de la empresa para FY2030 (50 %) [8]. La subida viene de la reestructuración (10 % de la plantilla), las sinergias de Ansys y la escala; el margen de la IP (24 % en FY2025 frente a 38 % en FY2024) tiene recorrido [1]. Cadence gana un 37 % de EBITDA LTM [27].</w:t>
      </w:r>
    </w:p>
    <w:p>
      <w:pPr>
        <w:keepNext/>
        <w:spacing w:after="100"/>
      </w:pPr>
      <w:r>
        <w:rPr>
          <w:b/>
          <w:bCs/>
        </w:rPr>
        <w:t xml:space="preserve">Inversión y circulante.</w:t>
      </w:r>
    </w:p>
    <w:p>
      <w:pPr>
        <w:spacing w:after="100"/>
      </w:pPr>
      <w:r>
        <w:t xml:space="preserve">Inversión del 2,3 % de las ventas en FY2026e (≈ 225 M guiados), 4,5 % en FY2027e (≈ 500 M, nuevas instalaciones) y 2,6 % después, por encima de la depreciación (2,2 %) [3, 8]. Circulante del −7,5 % de las ventas: los clientes pagan las licencias por adelantado (ingresos diferidos de 2.715 M) [2]. La amortización del DCF es solo la depreciación: la de intangibles de Ansys (≈ 1.600 M al año) es contable y en su mayor parte no deducible, y el 18 % es el tipo no GAAP de la empresa [3]. No se proyectan compras.</w:t>
      </w:r>
    </w:p>
    <w:p>
      <w:pPr>
        <w:keepNext/>
        <w:spacing w:after="100"/>
      </w:pPr>
      <w:r>
        <w:rPr>
          <w:b/>
          <w:bCs/>
        </w:rPr>
        <w:t xml:space="preserve">Coste del capital.</w:t>
      </w:r>
    </w:p>
    <w:p>
      <w:pPr>
        <w:spacing w:after="100"/>
      </w:pPr>
      <w:r>
        <w:t xml:space="preserve">Tasa libre del 5,12 % (bono del Tesoro a 10 años, 20-oct-2026 [28]); beta de 1,15, entre la ajustada mensual a cinco años (1,13) y la mensual sin ajustar (1,20) [26]; prima del 5,5 %; coste de la deuda del 5,1 % (cupón medio de los bonos de 2025 [2]); peso de la deuda del 10,5 % a valor de mercado (10.037 M frente a ≈ 85.000 M de capitalización). WACC del 10,68 %. Con la prima implícita del mercado (4,2 % [29]) baja al 9,34 % y el DCF sube a 391,22 USD, aún un 12,6 % bajo el precio.</w:t>
      </w:r>
    </w:p>
    <w:p>
      <w:pPr>
        <w:keepNext/>
        <w:spacing w:after="100"/>
      </w:pPr>
      <w:r>
        <w:rPr>
          <w:b/>
          <w:bCs/>
        </w:rPr>
        <w:t xml:space="preserve">Valor terminal.</w:t>
      </w:r>
    </w:p>
    <w:p>
      <w:pPr>
        <w:spacing w:after="100"/>
      </w:pPr>
      <w:r>
        <w:t xml:space="preserve">Crecimiento a perpetuidad del 3,0 %: inflación esperada de EE. UU. más un punto real, por debajo de la tasa libre menos medio punto (4,6 %). El EDA crece con la complejidad de los chips y la simulación con la digitalización de la ingeniería. El múltiplo de salida implícito es de 10,4 veces el EBITDA, muy por debajo de las ≈ 31 veces a las que cotiza hoy: el valor terminal pesa un 56 % [27].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384,67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(reinvierte el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178,6 % (histórico: 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 frente al 12,1 %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 (hoy: 42,0 %)</w:t>
            </w:r>
          </w:p>
        </w:tc>
      </w:tr>
    </w:tbl>
    <w:p>
      <w:pPr>
        <w:spacing w:after="160" w:before="0"/>
      </w:pPr>
    </w:p>
    <w:p>
      <w:pPr>
        <w:spacing w:after="100"/>
      </w:pPr>
      <w:r>
        <w:t xml:space="preserve">La proyección apenas necesita inversión neta de la amortización (reinversión acumulada de -199 M, con un capex bruto medio del 2,8 % de las ventas). En un negocio de activos ligeros, el crecimiento medio del 12,1 % tiene que salir de subir precios y de ganar volumen sin capital nuevo, y la prueba es el poder de precios y la cuota (42,8 % del mercado en FY2035e, frente al 42,0 %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Perímetro (otros 29 puntos): Ansys entera (≈ 2.980 M frente a 755 M en FY2025) menos la división de óptica (≈ 175 M) y Processor IP (≈ 40 M) vendidas [2, 3]. Orgánico ≈ 9 %: volumen de diseño de chips y hardware (6,7 puntos) y precio (2 puntos)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día del inversor (+15 %): volumen de EDA y simulación con los chips de IA, acuerdo de IP de más de 1.000 M con AWS y recuperación de la IP (11,8 puntos); precio y agentes de IA (3 puntos)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9 % (mercado de la ESD Alliance al 9-12 % [12, 13]) y precio del 3 % (subidas en renovaciones de tres años y nuevos productos de 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y precio del 3 %, por debajo del 15 % anual que la empresa promete hasta FY2030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7 % y precio del 3 %: converge hacia el crecimiento del mercado.</w:t>
            </w:r>
          </w:p>
        </w:tc>
      </w:tr>
    </w:tbl>
    <w:p>
      <w:pPr>
        <w:spacing w:after="160" w:before="0"/>
      </w:pPr>
    </w:p>
    <w:p>
      <w:pPr>
        <w:spacing w:after="100"/>
      </w:pPr>
      <w:r>
        <w:t xml:space="preserve">El crecimiento proyectado (12,1 % medio en FY2026e-FY2035e, 9,2 % sin el salto de Ansys) está por debajo del histórico (13,8 % anual en FY2021-FY2025) y del que promete la empresa (15 % hasta 2030) [8], y no necesita capital: el circulante es negativo y la inversión ronda el 2,6 % de las ventas. La cuota implícita en FY2035e (42,8 %) es la de hoy (42 %) [12]. La prueba es el poder de precios, y Synopsys lo tiene: duopolio con Cadence, contratos de tres años y costes de cambio muy altos. El motor da «Sí». El riesgo no está en financiar el crecimiento sino en que la IA cambie cómo se cobra.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(base: 9,2 %)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57,1 % (base: 42,0 %)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10,7 %)</w:t>
            </w:r>
          </w:p>
        </w:tc>
      </w:tr>
    </w:tbl>
    <w:p>
      <w:pPr>
        <w:spacing w:after="160" w:before="0"/>
      </w:pPr>
    </w:p>
    <w:p>
      <w:pPr>
        <w:spacing w:after="100"/>
      </w:pPr>
      <w:r>
        <w:t xml:space="preserve">El DCF da 313,37 USD por acción, un 30,0 % bajo el precio, con un WACC del 10,68 % y un valor terminal que pesa el 56 %. El DCF inverso dice que el precio (447,62) descuenta un crecimiento del 14,0 % anual durante nueve años (FY2027e-FY2035e) con nuestro margen, frente al 9,2 % de nuestro base; o un margen EBITDA del 57 % con nuestro crecimiento. Es exigente: supone que Synopsys cumple su plan a 2030 y lo prolonga cinco años más. Incluso con el plan de la empresa (+15 % anual hasta FY2030 y margen no GAAP del 50 %) el DCF da 384,57 USD (−14 %). Con la prima de riesgo que pide hoy el mercado (4,2 %) vale 391,22 (−12,6 %). La diferencia con el precio la explica, sobre todo, tratar la remuneración en acciones (≈ 950 M al año) como coste: el mercado paga el BPA no GAAP.</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el diseño: los clientes grandes usan agentes y herramientas abiertas para tareas que hoy pagan por licencia, y la IP sigue perdiendo cuota con clientes que se la hacen solos; China sustituye a Synopsys por EDA local y Ansys crece al ritmo del software de ingeniería (5-6 %). Crecimiento 4 puntos menor y margen 2 puntos menor, como en FY2025, cuando la IP perdió 14 puntos de margen en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15 % en FY2027e y del 12 % al 5 % después, con margen no GAAP que sube del 41,5 % al ≈ 48 % por la reestructuración y las sinergias de Ansys; la remuneración en acciones se queda en el 8-9 %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chips de IA y la simulación de sistemas aceleran la demanda, los agentes de IA de Synopsys se cobran aparte y la empresa cumple su plan (margen no GAAP del 50 % en FY2030): dos puntos más de crecimiento y uno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447,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298,66 USD (-33,3 %).</w:t>
      </w:r>
    </w:p>
    <w:p>
      <w:pPr>
        <w:spacing w:after="100"/>
      </w:pPr>
      <w:r>
        <w:t xml:space="preserve">Ni el alcista llega al precio: vale 374,52 USD (−16,3 %), frente a 193,39 del bajista (−56,8 %) y 313,37 del base. La asimetría del valor intrínseco es muy desfavorable porque el precio descuenta ya más de lo que da el alcista. El valor ponderado de los escenarios (298,66 USD) queda un 33 % bajo el precio. El bajista es verosímil: en FY2025 la IP perdió 14 puntos de margen y el 8 % de sus ventas en un año.</w:t>
      </w:r>
    </w:p>
    <w:p>
      <w:pPr>
        <w:pStyle w:val="Heading1"/>
      </w:pPr>
      <w:r>
        <w:t xml:space="preserve">22. Suma de partes</w:t>
      </w:r>
    </w:p>
    <w:p>
      <w:pPr>
        <w:pStyle w:val="Confianza"/>
        <w:spacing w:after="100"/>
      </w:pPr>
      <w:r>
        <w:t xml:space="preserve">Confianza: Media</w:t>
      </w:r>
    </w:p>
    <w:p>
      <w:pPr>
        <w:spacing w:after="100"/>
      </w:pPr>
      <w:r>
        <w:t xml:space="preserve">No aplica como método: los tres negocios (EDA, IP y simulación de Ansys) comparten clientes, I+D y la estrategia de «del silicio al sistema», y la empresa solo publica dos segmentos (Design Automation, con Ansys, y Design IP) [1]. Como referencia: la IP (≈ 1.900 M de ventas guiadas en FY2026, margen ajustado del 24-30 %) valdría ≈ 15.000-20.000 M a 8-10 veces las ventas, como Rambus o Arm con descuento; y Ansys costó 34.900 M hace un año [27].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447,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329,23 USD (-26,4 % sobre 447,62).</w:t>
      </w:r>
    </w:p>
    <w:p>
      <w:pPr>
        <w:spacing w:after="100"/>
      </w:pPr>
      <w:r>
        <w:t xml:space="preserve">Pesos: DCF 45 %, escenarios 40 % y comparables 15 %. El DCF es el método central, pero depende mucho de tratar la remuneración en acciones como coste (≈ 9 % de las ventas) y del WACC: con la prima del mercado sube a 391,22 USD. Los escenarios recogen la asimetría (bajista −57 %, alcista −16 %). Los comparables (PER del próximo ejercicio: mediana de 24,6 veces; 458,34 USD) son los únicos que justifican el precio: el mercado paga el BPA no GAAP de todo el software de diseño a 17-34 veces [27]. Las transacciones no pesan (Ansys y Altair se pagaron a ≈ 15 veces las ventas, valor de control irrelevante). Valor objetivo: 329,23 USD (−26,4 %).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(23.6x) × 1.1 (tope: la mediana de 5 años, 35.6x,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+87,0 %</w:t>
            </w:r>
          </w:p>
        </w:tc>
      </w:tr>
    </w:tbl>
    <w:p>
      <w:pPr>
        <w:spacing w:after="160" w:before="0"/>
      </w:pPr>
    </w:p>
    <w:p>
      <w:pPr>
        <w:spacing w:after="100"/>
      </w:pPr>
      <w:r>
        <w:rPr>
          <w:b/>
          <w:bCs/>
        </w:rPr>
        <w:t xml:space="preserve">Objetivo a 12 meses (ponderado):</w:t>
      </w:r>
      <w:r>
        <w:t xml:space="preserve"> 604,92 USD · rentabilidad +35,1 % (base +30,7 %) · señal Mantener.</w:t>
      </w:r>
    </w:p>
    <w:p>
      <w:pPr>
        <w:spacing w:after="100"/>
      </w:pPr>
      <w:r>
        <w:t xml:space="preserve">Para comparar, con la regla v2 (historia al cierre, mismo precio): 20,1x / 23,6x / 30,7x, 22,6 % Mantener; con el tope anterior del base (×1,3, 14-oct mediodía): 46,1 %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no GAAP de FY2026e (15,08 USD) está en la guía (15,04-15,10) y en el consenso (15,14); el de FY2027e (19,09) en la guía (19,04-19,12) y un 2 % sobre el consenso (18,73), que aún no ha recogido del todo la guía del día del inversor [8, 27]. Sin consenso fiable de FY2028e. Nuestro objetivo base a 12 meses (585,00 USD) coincide con el objetivo medio de 25 analistas (586,95). La diferencia con el consenso no está en el BPA a dos años sino en el valor a largo plazo: el DCF, con la remuneración en acciones como coste, da 313,37 USD.</w:t>
      </w:r>
    </w:p>
    <w:p>
      <w:pPr>
        <w:keepNext/>
        <w:spacing w:after="100"/>
      </w:pPr>
      <w:r>
        <w:rPr>
          <w:b/>
          <w:bCs/>
        </w:rPr>
        <w:t xml:space="preserve">Del valor intrínseco al objetivo a 12 meses.</w:t>
      </w:r>
    </w:p>
    <w:p>
      <w:pPr>
        <w:spacing w:after="100"/>
      </w:pPr>
      <w:r>
        <w:t xml:space="preserve">El objetivo a 12 meses (604,92 USD, ponderado) queda un 35,1 % sobre el precio y el base (585,00) un 30,7 %: el BPA no GAAP crece un 18 % en FY2028e y el PER sube de 23,6 a 26,0 veces (el tope de ×1,1 en el camino hacia la mediana de cinco años, 35,6). Con la regla v2 de control (historia al cierre): 22,6 % ponderada y 18,6 % base. Pasa las dos pruebas de rentabilidad, pero no la tercera: el valor intrínseco (329,23 USD) queda un 26,4 % bajo el precio. Señal: Mantener. Crecimiento del BPA base: +20 % anual sobre el no GAAP de FY2025 (el 40,7 % que mide el motor parte del BPA GAAP de 8,07, deformado por la amortización de Ansys y la remuneración en acciones).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y del ejercicio FY2026 (fecha sin anunciar; en 2025 fue el 10-dic)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guía (BPA no GAAP 15,04-15,10) y confirmación de la de FY2027 (19,04-19,12); evolución de la IP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 la recompra acelerada de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0,5 M de acciones más retiradas; primera señal de la política de devolver hasta el 50 % del flujo libre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bono de 1.000 M USD al 4,55 %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Reducción de deuda con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acuerdo de IP con AWS (&gt; 1.000 M) y de los agentes de IA (AgentEngineer)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suma ingresos en vez de restarlos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Noticias de diseño de chips con IA de código abierto (como Kimi K3 en julio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8-9 % en un día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restricciones de exportación de EE. UU. a China o represalias chinas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10 % de las ventas; en 2025 hundió la IP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directora jurídica (antes del 31-dic-2026) y papel de Elliott en 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gobierno; presión de Elliott por márgenes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descuenta un 14 % de crecimiento anual durante nueve años con nuestro margen; el valor intrínseco es de 329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no GAAP del 18-20 % anual y PER adelantado (23,6) en mínimos de siete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por debajo del +15 % o margen que no sube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que automatiza el diseño de chips: agentes y herramientas abiertas que reducen las licencias o el precio por ingeniero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−35 % a 3-5 años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 vende sus propios agentes; los chips de IA multiplican el trabajo de verificación; certificación con las fundiciones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con menos licencias o cambio a cobro por uso con menos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Propiedad intelectual: caída de 2025 (−8 % de ventas, margen del 38 % al 24 %) por China, Intel y errores propios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Processor IP, foco en interfaces para IA, acuerdo con AWS; +11 % en el 3T26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 por debajo de 450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controles de exportación y sustitución por EDA local (10 % de las ventas, 16 % en FY2024)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ya reducida; las restricciones de 2025 se levantaron en dos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listas o licencias del BIS; preferencia oficial por EDA chino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Ansys: integración, sinergias de ingresos que no llegan y deterioro del fondo de comercio (≈ 23.000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 crece y la guía de FY2026 se ha subido dos veces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Ansys por debajo del 8 % o deterioro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Cadence y Siemens (con Altair) en el paquete diseño más simulación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estable en EDA; Synopsys es el líder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clientes de verificación o de simulación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y dilución (≈ 950 M al año, ≈ 1 % de dilución)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hasta el 50 % del flujo libre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diluidas que suben pese a las recompras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 (61,5 M USD en 12 meses, ninguna 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89 % con planes 10b5-1 y ejercicios de opciones antiguas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fuera de plan en mínimos</w:t>
            </w:r>
          </w:p>
        </w:tc>
      </w:tr>
    </w:tbl>
    <w:p>
      <w:pPr>
        <w:spacing w:after="160" w:before="0"/>
      </w:pPr>
    </w:p>
    <w:p>
      <w:pPr>
        <w:pStyle w:val="Heading2"/>
      </w:pPr>
      <w:r>
        <w:t xml:space="preserve">Pre-mortem</w:t>
      </w:r>
    </w:p>
    <w:p>
      <w:pPr>
        <w:spacing w:after="100"/>
      </w:pPr>
      <w:r>
        <w:t xml:space="preserve">Octubre de 2028: la acción ha perdido un 40 %. No hubo una catástrofe: los grandes clientes (NVIDIA, los hiperescaladores) empezaron a usar agentes de IA propios y herramientas abiertas para la verificación y la implementación, y en las renovaciones de 2027 compraron menos licencias por ingeniero; Synopsys respondió cobrando por uso, con menos ingresos de los esperados. La IP no volvió a crecer porque los clientes grandes se la hacían solos, China cerró la puerta a nuevos diseños con EDA estadounidense, y Ansys creció al 6 % como el resto del software de ingeniería. El BPA no GAAP de FY2028 quedó en ≈ 20 USD y el mercado, que pagaba 24 veces, pasó a pagar 18.</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±20-35 % a 3-5 años</w:t>
      </w:r>
    </w:p>
    <w:p>
      <w:pPr>
        <w:spacing w:after="100"/>
      </w:pPr>
      <w:r>
        <w:t xml:space="preserve">La IA empuja en las dos direcciones y es el riesgo central de Synopsys. A favor: los chips de IA (más transistores, chiplets, encapsulado 3D, fotónica) multiplican el trabajo de diseño, verificación y simulación física, y el mercado de la ESD Alliance crece al 12 % en 2026 por ellos [12, 13]; los hiperescaladores diseñan sus chips y compran IP (AWS, &gt; 1.000 M) [8]. En contra: la IA puede automatizar el diseño, que es justo lo que Synopsys vende por licencia: agentes que hacen el trabajo de ingenieros reducen las licencias por ingeniero o fuerzan el cobro por resultado, y las demostraciones de diseño con IA de código abierto (Kimi K3, julio de 2026) ya tumban la acción un 8-9 % en un día [18, 39]. Synopsys integra la IA en sus productos (Synopsys.ai, AgentEngineer, colaboración con OpenAI) y controla los datos de certificación con las fundiciones, lo que hace improbable una sustitución rápida; lo probable es un cambio del modelo de cobro. Lo vemos en el bajista (−4 puntos de crecimiento, −2 de margen) y en el PER: la IA es la razón por la que el mercado ya no paga 35-40 veces.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Synopsys es el capital humano (≈ 28.000 empleados, el 77 % fuera de EE. UU.; la I+D es el 35 % de las ventas), la ciberseguridad y la protección de la propiedad intelectual de sus clientes (diseños de chips), el cumplimiento de los controles de exportación (China) y el gobierno de la remuneración en acciones [1]. Su impacto ambiental directo es pequeño (oficinas y centros de datos); sus herramientas ayudan a diseñar chips más eficientes.</w:t>
      </w:r>
    </w:p>
    <w:p>
      <w:pPr>
        <w:pStyle w:val="Heading2"/>
      </w:pPr>
      <w:r>
        <w:t xml:space="preserve">Controversias</w:t>
      </w:r>
    </w:p>
    <w:p>
      <w:pPr>
        <w:spacing w:after="100"/>
      </w:pPr>
      <w:r>
        <w:t xml:space="preserve">Recorte del 10 % de la plantilla (noviembre de 2025) [9]; restricciones de exportación a China (2025) y riesgo de incumplimiento; remuneración del consejero delegado de 19,61 M USD con un 91 % de apoyo [19, 20]; ventas de directivos por 61,5 M USD en 12 meses [22]. Calificaciones de MSCI, Sustainalytics o CDP no comprobadas en fuente primaria.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modelo de cobro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FY2027 viene de productos de IA y cómo se cobran los agentes (licencia, uso, resultado)? ¿Ha bajado el número de licencias por cliente en alguna renovación?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(−57 % de valor intrínseco).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Propiedad intelectual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y qué margen espera la IP en FY2027 sin Processor IP, y cuánto pesa el acuerdo con AWS?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IP perdió 14 puntos de margen en FY2025; su recuperación sostiene la guía.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Ansys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crece Ansys de forma orgánica y cuánto suman ya las ventas cruzadas con el 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ello depende que el ROIC (≈ 7 %) llegue a superar 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ninguna métrica de rentabilidad del capital en la remuneración de la dirección tras invertir 34.900 M en Ansys?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variable se liga a ingresos y margen no GAAP, que excluyen la remuneración en acciones y el coste de la compra.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 China es de clientes en listas de EE. UU. o expuesta a nuevas licencias del BIS?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las restricciones interrumpieron nuevos diseños y hundieron la IP.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deuda objetivo tiene la empresa y cuándo empezará a devolver el 50 % del flujo libre con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1.000 M de recompras añade ≈ 0,5 % al BPA; nuestro caso base no las incluye.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Mixto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($SNPS)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Mixto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mensajes neutros: comentan la caída desde 500 USD tras el día del inversor, la venta del consejero delegado del 15-oct (con plan 10b5-1) y los niveles técnicos; algunos alcistas por el acuerdo con AWS y la guía de FY2027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alcistas tras el día del inversor (guía de FY2027, IA agéntica, margen del 50 % en 2030) y noticias de mejoras de recomendación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financiera (24/7 Wall St., TIKR)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Mixto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Reconocen la recuperación pero avisan de un patrón: subidas fuertes tras eventos que se deshacen en semanas por el miedo a la IA y la IP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agéntica como motor (Synopsys.ai, OpenAI, AWS)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(+15 %) lo apoya; las cifras de ingresos por IA no se publican por separado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puede abaratar el diseño y sustituir licencias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sector; hoy no se ve en las cifras (EDA +12 % en 2026), pero comprime el múltiplo [42,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todas con planes 10b5-1 y ejercicios de opciones antiguas; importantes (61,5 M USD) y sin compras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IP y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IP vuelve a crecer en el 3T26 (+11 %) tras un año malo; China pesa ya menos del 10 % [38].</w:t>
            </w:r>
          </w:p>
        </w:tc>
      </w:tr>
    </w:tbl>
    <w:p>
      <w:pPr>
        <w:spacing w:after="160" w:before="0"/>
      </w:pPr>
    </w:p>
    <w:p>
      <w:pPr>
        <w:spacing w:after="100"/>
      </w:pPr>
      <w:r>
        <w:t xml:space="preserve">El sentimiento es mixto y mejorando: los analistas son casi unánimes en comprar (24 de 25) y la prensa especializada celebró el día del inversor, pero los particulares desconfían tras dos años sin subir y caídas bruscas por cada noticia de IA [38, 42, 43]. No hay euforia: la acción está un 30 % por debajo de su máximo de cinco años. El ruido en contra (ventas de directivos, miedo a la IA) ya está en los riesgos del informe.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24 controles correctos y 5 explicados. Fuentes: 43 (21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6,9 %: explica la causa (créditos fiscales, regularizaciones, mezcla de países) y no lo proyectes en el DCF. Explicación: El tipo efectivo fue del 6,9 % en FY2023, 6,6 % en FY2024 y 4,0 % en FY2025 por créditos fiscales de I+D, la deducción por rentas de intangibles vendidos al exterior (FDII: 106,9 M en FY2025) y, en FY2025, la liberación de 148 M de provisiones sobre créditos fiscales estatales [1]. No se proyecta: el DCF y el BPA de la regla usan el 18 % que la empresa guía como tipo no GAAP para FY2026 y FY2027 [3, 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6,6 %: explica la causa (créditos fiscales, regularizaciones, mezcla de países) y no lo proyectes en el DCF. Explicación: El tipo efectivo fue del 6,9 % en FY2023, 6,6 % en FY2024 y 4,0 % en FY2025 por créditos fiscales de I+D, la deducción por rentas de intangibles vendidos al exterior (FDII: 106,9 M en FY2025) y, en FY2025, la liberación de 148 M de provisiones sobre créditos fiscales estatales [1]. No se proyecta: el DCF y el BPA de la regla usan el 18 % que la empresa guía como tipo no GAAP para FY2026 y FY2027 [3, 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 explica la causa (créditos fiscales, regularizaciones, mezcla de países) y no lo proyectes en el DCF. Explicación: El tipo efectivo fue del 6,9 % en FY2023, 6,6 % en FY2024 y 4,0 % en FY2025 por créditos fiscales de I+D, la deducción por rentas de intangibles vendidos al exterior (FDII: 106,9 M en FY2025) y, en FY2025, la liberación de 148 M de provisiones sobre créditos fiscales estatales [1]. No se proyecta: el DCF y el BPA de la regla usan el 18 % que la empresa guía como tipo no GAAP para FY2026 y FY2027 [3, 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42,8 % en FY2035e frente al 42,0 %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-7,5 % frente a -7,7 % real: genera una variación de circulante de -188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3.191 M de flujo libre medio en sus tres primeros años, frente a 1.377 M de media real en los tres últimos: justifica el salto (circulante, inversión, márgenes) o ajusta los supuestos. Explicación: El flujo libre medio de FY2026e-FY2028e del DCF (≈ 3.200 M USD) duplica el de FY2023-FY2025 (≈ 1.380 M) porque entra Ansys entera (≈ 2.980 M de ventas en FY2026) y el margen mejora con la reestructuración. Está en línea con la guía de la empresa: flujo libre ≈ 2.600 M en FY2026 (con ≈ 400 M de reestructuración) y ≈ 3.100 M en FY2027 [3, 8]; los nueve meses de FY2026 ya dieron 2.143 M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(22,50) supone un 40,7 % anual desde 8,07 (FY2025): explícalo en valoracion.objetivo_12m.comentario o la confianza es baja. Explicación: El motor mide desde el BPA GAAP de FY2025 (8,07 USD), deprimido por la amortización de intangibles de Ansys (504 M) y la remuneración en acciones (893 M). En la base no GAAP de los casos, el BPA base de FY2028e (22,50 USD) crece un 20,3 % anual desde los 12,91 de FY2025, por debajo de lo que guía la empresa (15,04-15,10 en FY2026 y 19,04-19,12 en FY2027; «a mitad de los veinte» anual hasta 2030) [3, 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anterior a 2025 y CR5 exacto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 ESD Alliance (solo trimestres sueltos en abierto); 2) prensa sectorial (eeNews, CIMdata); 3) informes de consultoras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histórico ≈ 10 % y CR5 ≈ 80 % como estimación propia con las cuotas de Synopsys, Cadence y Siemens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cada consejero y participación de los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(texto extraído sin tablas de comisiones legibles); 2) 8-K de la junta; 3) web de gobierno corporativo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solo donde la fuente lo dice; participación de directivos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y EBITDA de FY2028e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FY2026 y FY2027); 2) MarketScreener (devolvió otra empresa); 3) Tickflow (error 429) y therighttrader (dos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 caída de principios de septiembre y del 12 al 20-oct-2026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empresa (ninguno con hechos de negocio en esas fechas); 2) titulares de Seeking Alpha (RSS); 3) búsqueda de prensa (TS2, Barchart, Yahoo)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explica como temor a la IA, recogida de beneficios y ventas de directivos, sin causa concreta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4T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2) 8-K; 3) calendarios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fecha anunciada: diciembre de 2026</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FY2025 (cerrado el 31-oct-2025): cuentas, Ansys, segmentos, geografía, deuda,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https://www.sec.gov/Archives/edgar/data/883241/000088324125000028/snps-20251031.htm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3T FY2026 (31-jul-2026): balance, deuda, venta de Processor IP a GlobalFoundries, cartera, geografía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https://www.sec.gov/Archives/edgar/data/883241/000088324126000025/snps-20260731.htm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Posts Financial Results for Third Quarter Fiscal Year 2026 (conciliación GAAP-no GAAP,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https://www.sec.gov/Archives/edgar/data/883241/000119312526368620/d157153dex991.htm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Posts Financial Results for Fourth Quarter and Fiscal Year 2025 (BPA no GAAP 12,91 USD;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https://www.sec.gov/Archives/edgar/data/883241/000119312525314200/d29055dex991.htm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FY2018 a FY2024 (BPA no GAAP anual y guías iniciales)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https://www.sec.gov/Archives/edgar/data/883241/000119312524270723/d868165dex991.htm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1T25, 2T25, 3T25, 1T26 y 2T26 (trimestres,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https://www.sec.gov/Archives/edgar/data/883241/000119312526241911/d126227dex991.htm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Synopsys (cifras reexpresadas sin Software Integrity, remuneración en acciones,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https://data.sec.gov/api/xbrl/companyfacts/CIK0000883241.json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Investor Day 2026: guía de FY2027 y modelo financiero a largo plazo (FY2026-FY2030)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(nota de prensa vía 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https://www.stocktitan.net/news/SNPS/synopsys-details-growth-strategy-and-long-term-financial-model-at-xslp4ekpao8i.html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plan de reestructuración de noviembre de 2025 (≈ 10 % de la plantilla) y 8-K/A de agosto de 2026 (coste elevado a 425-500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https://www.sec.gov/Archives/edgar/data/883241/000119312526368858/d135796d8ka.htm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recompra acelerada de 1.000 M USD con JPMorgan (5-oct-2026) y de 250 M USD (2-mar-2026)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https://www.sec.gov/Archives/edgar/data/883241/000119312526413359/d830308dex991.htm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colocación privada de 2.000 M USD a NVIDIA a 414,79 USD por acción y alianza estratégica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https://www.sec.gov/Archives/edgar/data/883241/000119312525303209/d36680dex991.htm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System Design Industry Posts $5.7 Billion in Revenue in Q2 2026, ESD Alliance Reports (+12,2 %)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 ESD Alliance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https://www.semi.org/en/semi-press-release/electronic-system-design-industry-posts-%245.7-billion-in-revenue-in-q2-2026-esd-alliance-reports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Reports Electronic System Design Industry Posts $5.7 Billion in Revenue in Q1 2026 (+12,7 %)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 ESD Alliance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https://www.semi.org/en/semi-press-release/esd-alliance-reports-electronic-system-design-industry-posts-5.7-billion-dollars-in-revenue-in-q1-2026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Reports Electronic System Design Industry Posts $5.5 Billion in Revenue in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 ESD Alliance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https://www.semi.org/en/semi-press-release/esd-alliance-reports-electronic-system-design-industry-posts-5.5-billion-dollars-in-revenue-in-q4-2025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análisis value del 14-oct-2026 (mercado, cuotas, Porter, foso)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(informes/cadence-2026-10-14)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informes/cadence-2026-10-14/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(ventas, EBITDA, crecimiento previsto)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completes acquisition of Altair Engineering (≈ 10.000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https://news.siemens.com/es-es/siemens-altair/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stock fell 9% in a day on a Chinese AI chip demo (miedo a que la IA abarate el diseño)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https://www.tikr.com/blog/cadence-stock-fell-9-in-a-day-on-a-chinese-ai-chip-demo-heres-where-the-stock-could-go-in-2026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FY2025,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https://www.sec.gov/Archives/edgar/data/883241/000088324126000007/snps-20260219.htm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16-abr-2026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https://www.sec.gov/Archives/edgar/data/883241/000119312526164085/d467081d8k.htm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cooperación con Elliott Investment Management; Jesse Cohn entra en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https://www.sec.gov/Archives/edgar/data/883241/000119312526241920/d96543dex991.htm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Synopsys (21-oct-2025 a 21-oct-2026),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https://www.sec.gov/cgi-bin/browse-edgar?action=getcompany&amp;CIK=0000883241&amp;type=4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director comercial (Rick Mahoney)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https://www.sec.gov/Archives/edgar/data/883241/000119312525263692/d89167d8k.htm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 la directora jurídica (Janet Lee) antes del 31-dic-2026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https://www.sec.gov/Archives/edgar/data/883241/000119312526345878/d148701d8k.htm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nombra consejero a Peter Shimer (ex-Deloitte) y anuncia cambios en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https://www.sec.gov/Archives/edgar/data/883241/000119312526059438/d78071dex991.htm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SNPS, SPY y SOXX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https://finance.yahoo.com/quote/SNPS/history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SNPS y comparables (BPA y ventas estimados, objetivos, recomendaciones; precio de la sesión del 21-oct a las 16:39 UTC):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https://finance.yahoo.com/quote/SNPS/analysis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stock analysis: Elliott, Ansys and an $11.3 billion backlog; Synopsys has lost 34% in a year (caída del 10-sep-2025)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https://www.tikr.com/blog/synopsys-has-lost-34-in-a-year-is-the-selloff-a-buying-opportunity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stock slips again after Tuesday's rout as AI disruption fears hit software (3-feb-2026)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https://ts2.tech/en/synopsys-stock-slips-again-after-tuesdays-rout-as-ai-disruption-fears-hit-software/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Management is betting billions on Synopsys (participación desvelada el 23-mar-2026)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https://www.barchart.com/story/news/986051/elliott-management-is-betting-billions-on-synopsys-should-you-buy-snps-stock-too?.tsrc=rss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movers SNPS 24-abr-2026 (+9,6 %)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https://www.tradingkey.com/news/market-movers/261822505-market-movers-snps-20260424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stock fell 21% in three months: one earnings call line explains why (2T26, 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https://www.tikr.com/blog/synopsys-stock-fell-21-in-three-months-one-earnings-call-line-explains-why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delivers beat and raise; shares rise (27-ago-2026)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https://finance.yahoo.com/markets/stocks/articles/synopsys-delivers-beat-raise-shares-145500237.html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Synopsys stock surged: $1 billion Amazon deal, OpenAI, Investor Day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 / The Daily Guardian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https://www.tikr.com/zh/blog/why-synopsys-stocks-13-jump-followed-a-1-billion-amazon-deal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BofA eleva el objetivo a 600 USD; KeyBanc tras el día del inversor; Morgan Stanley sube el objetivo (20-oct)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https://www.ad-hoc-news.de/boerse/news/corporate-news/bofa-raises-target-for-synopsys-stock-to-usd-600-00/70327481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SNPS (RSS,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https://seekingalpha.com/api/sa/combined/SNPS.xml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Agentic AI is coming to chip design; Kimi K3 y el temor a la IA en el EDA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https://www.barchart.com/story/news/3533098/agentic-ai-is-coming-to-chip-design-here-is-why-synopsys-stock-could-be-the-biggest-beneficiary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shares fall as China export curbs dampen outlook (mayo de 2025, restricciones del BIS)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Techleap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https://finder.techleap.nl/news/feed/synopsys-shares-fall-5-as-china-export-curbs-dampen-q2-revenue-outlook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(1,1234 USD por EUR,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$SNPS (5-21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https://api.stocktwits.com/api/2/streams/symbol/SNPS.json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is hot again, but a pattern has emerged (24/7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https://247wallst.com/investing/2026/10/06/synopsys-is-hot-again-but-a-pattern-has-emerged/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a 31 de octubre etiquetado por el año en que termina (FY2026 = nov-25 a oct-26). El último ejercicio auditado es FY2025 (10-K del 22-dic-2025); FY2026 cierra el 31-oct-2026 y sus resultados salen en diciembre, así que el LTM es a 31-jul-2026 (10-Q del 3T26) y FY2026e va como año fijo con la guía. FY2021 es el publicado entonces (con Software Integrity, vendida en 2024); FY2022-FY2025 son operaciones continuadas. FY2025 lleva solo 3,5 meses de Ansys. Precio: cierre del 20-oct-2026 (447,62 USD); la sesión del 21-oct estaba abierta al hacer el análisis (455,02 USD a las 12:39 de Nueva York [27]) y la decisión se comprueba con ese precio en las pruebas de robustez. El DCF trata la remuneración en acciones como coste (≈ 9-10 % de las ventas); la regla a 12 meses usa el BPA NO GAAP de la empresa (sin remuneración en acciones ni amortización de intangibles), la base en la que cotiza la acción y la del consenso. Calificaciones crediticias sin comprobar. Una acción ≈ 398 EUR (1,1234 USD por EUR [41]).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Synopsys, Inc. (SNPS)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447,62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(362,55 – 539,48)</c:v>
                </c:pt>
                <c:pt idx="1">
                  <c:v>Precio objetivo de los analistas (475,00 – 700,00)</c:v>
                </c:pt>
                <c:pt idx="2">
                  <c:v>Comparables: PER NTM (384,28 – 527,74)</c:v>
                </c:pt>
                <c:pt idx="3">
                  <c:v>DCF (WACC y g ± 0,5) (279,88 – 356,56)</c:v>
                </c:pt>
                <c:pt idx="4">
                  <c:v>Escenarios (bajista – alcista) (193,39 – 374,52)</c:v>
                </c:pt>
                <c:pt idx="5">
                  <c:v>DCF con la prima implícita del mercado (4,2 %)</c:v>
                </c:pt>
                <c:pt idx="6">
                  <c:v>Precio actual (447,62)</c:v>
                </c:pt>
              </c:strCache>
            </c:strRef>
          </c:cat>
          <c:val>
            <c:numRef>
              <c:f>Hoja1!$B$2:$B$8</c:f>
              <c:numCache>
                <c:formatCode>#,##0</c:formatCode>
                <c:ptCount val="7"/>
                <c:pt idx="0">
                  <c:v>362.55</c:v>
                </c:pt>
                <c:pt idx="1">
                  <c:v>475</c:v>
                </c:pt>
                <c:pt idx="2">
                  <c:v>384.28</c:v>
                </c:pt>
                <c:pt idx="3">
                  <c:v>279.88</c:v>
                </c:pt>
                <c:pt idx="4">
                  <c:v>193.39</c:v>
                </c:pt>
                <c:pt idx="5">
                  <c:v>358.51</c:v>
                </c:pt>
                <c:pt idx="6">
                  <c:v>445.38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(362,55 – 539,48)</c:v>
                </c:pt>
                <c:pt idx="1">
                  <c:v>Precio objetivo de los analistas (475,00 – 700,00)</c:v>
                </c:pt>
                <c:pt idx="2">
                  <c:v>Comparables: PER NTM (384,28 – 527,74)</c:v>
                </c:pt>
                <c:pt idx="3">
                  <c:v>DCF (WACC y g ± 0,5) (279,88 – 356,56)</c:v>
                </c:pt>
                <c:pt idx="4">
                  <c:v>Escenarios (bajista – alcista) (193,39 – 374,52)</c:v>
                </c:pt>
                <c:pt idx="5">
                  <c:v>DCF con la prima implícita del mercado (4,2 %)</c:v>
                </c:pt>
                <c:pt idx="6">
                  <c:v>Precio actual (447,62)</c:v>
                </c:pt>
              </c:strCache>
            </c:strRef>
          </c:cat>
          <c:val>
            <c:numRef>
              <c:f>Hoja1!$C$2:$C$8</c:f>
              <c:numCache>
                <c:formatCode>#,##0</c:formatCode>
                <c:ptCount val="7"/>
                <c:pt idx="0">
                  <c:v>176.93</c:v>
                </c:pt>
                <c:pt idx="1">
                  <c:v>225</c:v>
                </c:pt>
                <c:pt idx="2">
                  <c:v>143.46000000000004</c:v>
                </c:pt>
                <c:pt idx="3">
                  <c:v>76.68</c:v>
                </c:pt>
                <c:pt idx="4">
                  <c:v>181.13</c:v>
                </c:pt>
                <c:pt idx="5">
                  <c:v>71.10000000000002</c:v>
                </c:pt>
                <c:pt idx="6">
                  <c:v>4.480000000000018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Design Automation (EDA y, desde julio de 2025, simulación y análisis de Ansys)</c:v>
                </c:pt>
              </c:strCache>
            </c:strRef>
          </c:tx>
          <c:spPr>
            <a:solidFill>
              <a:srgbClr val="2A78D6"/>
            </a:solidFill>
            <a:ln w="12700">
              <a:solidFill>
                <a:srgbClr val="FFFFFF"/>
              </a:solidFill>
            </a:ln>
          </c:spPr>
          <c:invertIfNegative val="0"/>
          <c:cat>
            <c:strRef>
              <c:f>Hoja1!$A$2:$A$4</c:f>
              <c:strCache>
                <c:ptCount val="3"/>
                <c:pt idx="0">
                  <c:v>FY2023</c:v>
                </c:pt>
                <c:pt idx="1">
                  <c:v>FY2024</c:v>
                </c:pt>
                <c:pt idx="2">
                  <c:v>FY2025</c:v>
                </c:pt>
              </c:strCache>
            </c:strRef>
          </c:cat>
          <c:val>
            <c:numRef>
              <c:f>Hoja1!$B$2:$B$4</c:f>
              <c:numCache>
                <c:formatCode>#,##0</c:formatCode>
                <c:ptCount val="3"/>
                <c:pt idx="0">
                  <c:v>3775.3</c:v>
                </c:pt>
                <c:pt idx="1">
                  <c:v>4221.1</c:v>
                </c:pt>
                <c:pt idx="2">
                  <c:v>5302.3</c:v>
                </c:pt>
              </c:numCache>
            </c:numRef>
          </c:val>
        </c:ser>
        <c:ser>
          <c:idx val="1"/>
          <c:order val="1"/>
          <c:tx>
            <c:strRef>
              <c:f>Hoja1!$C$1</c:f>
              <c:strCache>
                <c:ptCount val="1"/>
                <c:pt idx="0">
                  <c:v>Design IP</c:v>
                </c:pt>
              </c:strCache>
            </c:strRef>
          </c:tx>
          <c:spPr>
            <a:solidFill>
              <a:srgbClr val="EB6834"/>
            </a:solidFill>
            <a:ln w="12700">
              <a:solidFill>
                <a:srgbClr val="FFFFFF"/>
              </a:solidFill>
            </a:ln>
          </c:spPr>
          <c:invertIfNegative val="0"/>
          <c:cat>
            <c:strRef>
              <c:f>Hoja1!$A$2:$A$4</c:f>
              <c:strCache>
                <c:ptCount val="3"/>
                <c:pt idx="0">
                  <c:v>FY2023</c:v>
                </c:pt>
                <c:pt idx="1">
                  <c:v>FY2024</c:v>
                </c:pt>
                <c:pt idx="2">
                  <c:v>FY2025</c:v>
                </c:pt>
              </c:strCache>
            </c:strRef>
          </c:cat>
          <c:val>
            <c:numRef>
              <c:f>Hoja1!$C$2:$C$4</c:f>
              <c:numCache>
                <c:formatCode>#,##0</c:formatCode>
                <c:ptCount val="3"/>
                <c:pt idx="0">
                  <c:v>1542.7</c:v>
                </c:pt>
                <c:pt idx="1">
                  <c:v>1906.3</c:v>
                </c:pt>
                <c:pt idx="2">
                  <c:v>1751.8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Design Automation (EDA y, desde julio de 2025, simulación y análisis de Ansys)</c:v>
                </c:pt>
                <c:pt idx="1">
                  <c:v>Design IP</c:v>
                </c:pt>
              </c:strCache>
            </c:strRef>
          </c:cat>
          <c:val>
            <c:numRef>
              <c:f>Hoja1!$B$2:$B$3</c:f>
              <c:numCache>
                <c:formatCode>General</c:formatCode>
                <c:ptCount val="2"/>
                <c:pt idx="0">
                  <c:v>75.2</c:v>
                </c:pt>
                <c:pt idx="1">
                  <c:v>24.8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cliente (nueve meses de FY2026)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Europa</c:v>
                </c:pt>
                <c:pt idx="2">
                  <c:v>Corea del Sur</c:v>
                </c:pt>
                <c:pt idx="3">
                  <c:v>China</c:v>
                </c:pt>
                <c:pt idx="4">
                  <c:v>Resto de Asia y otros</c:v>
                </c:pt>
              </c:strCache>
            </c:strRef>
          </c:cat>
          <c:val>
            <c:numRef>
              <c:f>Hoja1!$B$2:$B$6</c:f>
              <c:numCache>
                <c:formatCode>0"%"</c:formatCode>
                <c:ptCount val="5"/>
                <c:pt idx="0">
                  <c:v>43.6</c:v>
                </c:pt>
                <c:pt idx="1">
                  <c:v>17</c:v>
                </c:pt>
                <c:pt idx="2">
                  <c:v>11.7</c:v>
                </c:pt>
                <c:pt idx="3">
                  <c:v>9.9</c:v>
                </c:pt>
                <c:pt idx="4">
                  <c:v>17.8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(ESD Alliance; 2026e-2028e previsión propia al 9 % anual))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21220</c:v>
                </c:pt>
                <c:pt idx="1">
                  <c:v>23500</c:v>
                </c:pt>
                <c:pt idx="2">
                  <c:v>25600</c:v>
                </c:pt>
                <c:pt idx="3">
                  <c:v>27900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Synopsys</c:v>
                </c:pt>
                <c:pt idx="1">
                  <c:v>Cadence Design Systems</c:v>
                </c:pt>
                <c:pt idx="2">
                  <c:v>Siemens EDA (Siemens AG)</c:v>
                </c:pt>
                <c:pt idx="3">
                  <c:v>Dassault Systèmes (SIMULIA)</c:v>
                </c:pt>
                <c:pt idx="4">
                  <c:v>Arm Holdings</c:v>
                </c:pt>
                <c:pt idx="5">
                  <c:v>Empresas chinas de EDA (Empyrean, Primarius y otras)</c:v>
                </c:pt>
              </c:strCache>
            </c:strRef>
          </c:cat>
          <c:val>
            <c:numRef>
              <c:f>Hoja1!$B$2:$B$7</c:f>
              <c:numCache>
                <c:formatCode>0.0"%"</c:formatCode>
                <c:ptCount val="6"/>
                <c:pt idx="0">
                  <c:v>16.6</c:v>
                </c:pt>
                <c:pt idx="1">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4204.2</c:v>
                </c:pt>
                <c:pt idx="1">
                  <c:v>4615.7</c:v>
                </c:pt>
                <c:pt idx="2">
                  <c:v>5318</c:v>
                </c:pt>
                <c:pt idx="3">
                  <c:v>6127.4</c:v>
                </c:pt>
                <c:pt idx="4">
                  <c:v>7054.2</c:v>
                </c:pt>
                <c:pt idx="5">
                  <c:v>9714</c:v>
                </c:pt>
                <c:pt idx="6">
                  <c:v>11151</c:v>
                </c:pt>
                <c:pt idx="7">
                  <c:v>12489</c:v>
                </c:pt>
                <c:pt idx="8">
                  <c:v>13863</c:v>
                </c:pt>
                <c:pt idx="9">
                  <c:v>15250</c:v>
                </c:pt>
                <c:pt idx="10">
                  <c:v>16622</c:v>
                </c:pt>
                <c:pt idx="11">
                  <c:v>17952</c:v>
                </c:pt>
                <c:pt idx="12">
                  <c:v>19208</c:v>
                </c:pt>
                <c:pt idx="13">
                  <c:v>20361</c:v>
                </c:pt>
                <c:pt idx="14">
                  <c:v>21379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971.9</c:v>
                </c:pt>
                <c:pt idx="1">
                  <c:v>1388.3</c:v>
                </c:pt>
                <c:pt idx="2">
                  <c:v>1587.2</c:v>
                </c:pt>
                <c:pt idx="3">
                  <c:v>1789.5</c:v>
                </c:pt>
                <c:pt idx="4">
                  <c:v>1830.1</c:v>
                </c:pt>
                <c:pt idx="5">
                  <c:v>3293</c:v>
                </c:pt>
                <c:pt idx="6">
                  <c:v>4182</c:v>
                </c:pt>
                <c:pt idx="7">
                  <c:v>4896</c:v>
                </c:pt>
                <c:pt idx="8">
                  <c:v>5601</c:v>
                </c:pt>
                <c:pt idx="9">
                  <c:v>6329</c:v>
                </c:pt>
                <c:pt idx="10">
                  <c:v>6981</c:v>
                </c:pt>
                <c:pt idx="11">
                  <c:v>7540</c:v>
                </c:pt>
                <c:pt idx="12">
                  <c:v>8068</c:v>
                </c:pt>
                <c:pt idx="13">
                  <c:v>8552</c:v>
                </c:pt>
                <c:pt idx="14">
                  <c:v>8979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79.5</c:v>
                </c:pt>
                <c:pt idx="1">
                  <c:v>80.5</c:v>
                </c:pt>
                <c:pt idx="2">
                  <c:v>80.6</c:v>
                </c:pt>
                <c:pt idx="3">
                  <c:v>79.7</c:v>
                </c:pt>
                <c:pt idx="4">
                  <c:v>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23.1</c:v>
                </c:pt>
                <c:pt idx="1">
                  <c:v>30.1</c:v>
                </c:pt>
                <c:pt idx="2">
                  <c:v>29.8</c:v>
                </c:pt>
                <c:pt idx="3">
                  <c:v>29.2</c:v>
                </c:pt>
                <c:pt idx="4">
                  <c:v>25.9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18.3</c:v>
                </c:pt>
                <c:pt idx="1">
                  <c:v>25.1</c:v>
                </c:pt>
                <c:pt idx="2">
                  <c:v>25.2</c:v>
                </c:pt>
                <c:pt idx="3">
                  <c:v>24.4</c:v>
                </c:pt>
                <c:pt idx="4">
                  <c:v>16.6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18</c:v>
                </c:pt>
                <c:pt idx="1">
                  <c:v>21</c:v>
                </c:pt>
                <c:pt idx="2">
                  <c:v>23.1</c:v>
                </c:pt>
                <c:pt idx="3">
                  <c:v>23.5</c:v>
                </c:pt>
                <c:pt idx="4">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4">
                  <c:v>37.8</c:v>
                </c:pt>
                <c:pt idx="5">
                  <c:v>65.6</c:v>
                </c:pt>
                <c:pt idx="6">
                  <c:v>41.9</c:v>
                </c:pt>
                <c:pt idx="7">
                  <c:v>42.3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49</c:v>
                </c:pt>
                <c:pt idx="1">
                  <c:v>63</c:v>
                </c:pt>
                <c:pt idx="2">
                  <c:v>59</c:v>
                </c:pt>
                <c:pt idx="3">
                  <c:v>56</c:v>
                </c:pt>
                <c:pt idx="4">
                  <c:v>78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97</c:v>
                </c:pt>
                <c:pt idx="1">
                  <c:v>86</c:v>
                </c:pt>
                <c:pt idx="2">
                  <c:v>115</c:v>
                </c:pt>
                <c:pt idx="3">
                  <c:v>106</c:v>
                </c:pt>
                <c:pt idx="4">
                  <c:v>82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12</c:v>
                </c:pt>
                <c:pt idx="1">
                  <c:v>15</c:v>
                </c:pt>
                <c:pt idx="2">
                  <c:v>55</c:v>
                </c:pt>
                <c:pt idx="3">
                  <c:v>61</c:v>
                </c:pt>
                <c:pt idx="4">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1398.8</c:v>
                </c:pt>
                <c:pt idx="1">
                  <c:v>1602.3000000000002</c:v>
                </c:pt>
                <c:pt idx="2">
                  <c:v>1513.7</c:v>
                </c:pt>
                <c:pt idx="3">
                  <c:v>1267.5</c:v>
                </c:pt>
                <c:pt idx="4">
                  <c:v>1349.1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757.5</c:v>
                </c:pt>
                <c:pt idx="1">
                  <c:v>970.2</c:v>
                </c:pt>
                <c:pt idx="2">
                  <c:v>1227</c:v>
                </c:pt>
                <c:pt idx="3">
                  <c:v>1441.7</c:v>
                </c:pt>
                <c:pt idx="4">
                  <c:v>1336.1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18.2</c:v>
                </c:pt>
                <c:pt idx="1">
                  <c:v>25.1</c:v>
                </c:pt>
                <c:pt idx="2">
                  <c:v>28.2</c:v>
                </c:pt>
                <c:pt idx="3">
                  <c:v>28.3</c:v>
                </c:pt>
                <c:pt idx="4">
                  <c:v>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10.7</c:v>
                </c:pt>
                <c:pt idx="1">
                  <c:v>10.7</c:v>
                </c:pt>
                <c:pt idx="2">
                  <c:v>10.7</c:v>
                </c:pt>
                <c:pt idx="3">
                  <c:v>10.7</c:v>
                </c:pt>
                <c:pt idx="4">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14.3</c:v>
                </c:pt>
                <c:pt idx="1">
                  <c:v>17.9</c:v>
                </c:pt>
                <c:pt idx="2">
                  <c:v>21</c:v>
                </c:pt>
                <c:pt idx="3">
                  <c:v>19</c:v>
                </c:pt>
                <c:pt idx="4">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-1.37</c:v>
                </c:pt>
                <c:pt idx="1">
                  <c:v>-1.01</c:v>
                </c:pt>
                <c:pt idx="2">
                  <c:v>-0.89</c:v>
                </c:pt>
                <c:pt idx="3">
                  <c:v>-2.17</c:v>
                </c:pt>
                <c:pt idx="4">
                  <c:v>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 (abr-2027)</c:v>
                </c:pt>
                <c:pt idx="1">
                  <c:v>FY2028</c:v>
                </c:pt>
                <c:pt idx="2">
                  <c:v>FY2030</c:v>
                </c:pt>
                <c:pt idx="3">
                  <c:v>FY2032</c:v>
                </c:pt>
                <c:pt idx="4">
                  <c:v>FY2035</c:v>
                </c:pt>
                <c:pt idx="5">
                  <c:v>FY2055</c:v>
                </c:pt>
              </c:strCache>
            </c:strRef>
          </c:cat>
          <c:val>
            <c:numRef>
              <c:f>Hoja1!$B$2:$B$7</c:f>
              <c:numCache>
                <c:formatCode>#,##0</c:formatCode>
                <c:ptCount val="6"/>
                <c:pt idx="0">
                  <c:v>1000</c:v>
                </c:pt>
                <c:pt idx="1">
                  <c:v>1000</c:v>
                </c:pt>
                <c:pt idx="2">
                  <c:v>2000</c:v>
                </c:pt>
                <c:pt idx="3">
                  <c:v>1500</c:v>
                </c:pt>
                <c:pt idx="4">
                  <c:v>2400</c:v>
                </c:pt>
                <c:pt idx="5">
                  <c:v>2100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296</c:v>
                </c:pt>
                <c:pt idx="1">
                  <c:v>422.4</c:v>
                </c:pt>
                <c:pt idx="2">
                  <c:v>297.7</c:v>
                </c:pt>
                <c:pt idx="3">
                  <c:v>156.9</c:v>
                </c:pt>
                <c:pt idx="4">
                  <c:v>16681.3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753.1</c:v>
                </c:pt>
                <c:pt idx="1">
                  <c:v>1100</c:v>
                </c:pt>
                <c:pt idx="2">
                  <c:v>1160.7</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2</c:v>
                </c:pt>
                <c:pt idx="1">
                  <c:v>8</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Vanguard</c:v>
                </c:pt>
                <c:pt idx="1">
                  <c:v>BlackRock</c:v>
                </c:pt>
                <c:pt idx="2">
                  <c:v>NVIDIA</c:v>
                </c:pt>
                <c:pt idx="3">
                  <c:v>Elliott Investment Management</c:v>
                </c:pt>
              </c:strCache>
            </c:strRef>
          </c:cat>
          <c:val>
            <c:numRef>
              <c:f>Hoja1!$B$2:$B$5</c:f>
              <c:numCache>
                <c:formatCode>0.0"%"</c:formatCode>
                <c:ptCount val="4"/>
                <c:pt idx="0">
                  <c:v>7.1</c:v>
                </c:pt>
                <c:pt idx="1">
                  <c:v>6.2</c:v>
                </c:pt>
                <c:pt idx="2">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44.8</c:v>
                </c:pt>
                <c:pt idx="2">
                  <c:v>-1.2</c:v>
                </c:pt>
                <c:pt idx="3">
                  <c:v>65.2</c:v>
                </c:pt>
                <c:pt idx="4">
                  <c:v>86.2</c:v>
                </c:pt>
                <c:pt idx="5">
                  <c:v>42.1</c:v>
                </c:pt>
                <c:pt idx="6">
                  <c:v>-13.4</c:v>
                </c:pt>
                <c:pt idx="7">
                  <c:v>61.3</c:v>
                </c:pt>
                <c:pt idx="8">
                  <c:v>-5.7</c:v>
                </c:pt>
                <c:pt idx="9">
                  <c:v>-3.2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52.6</c:v>
                </c:pt>
                <c:pt idx="1">
                  <c:v>32</c:v>
                </c:pt>
                <c:pt idx="2">
                  <c:v>45</c:v>
                </c:pt>
                <c:pt idx="3">
                  <c:v>42.6</c:v>
                </c:pt>
                <c:pt idx="4">
                  <c:v>46.9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45</c:v>
                </c:pt>
                <c:pt idx="1">
                  <c:v>45</c:v>
                </c:pt>
                <c:pt idx="2">
                  <c:v>45</c:v>
                </c:pt>
                <c:pt idx="3">
                  <c:v>45</c:v>
                </c:pt>
                <c:pt idx="4">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2704</c:v>
                </c:pt>
                <c:pt idx="1">
                  <c:v>3079</c:v>
                </c:pt>
                <c:pt idx="2">
                  <c:v>3790</c:v>
                </c:pt>
                <c:pt idx="3">
                  <c:v>4390</c:v>
                </c:pt>
                <c:pt idx="4">
                  <c:v>4957</c:v>
                </c:pt>
                <c:pt idx="5">
                  <c:v>5461</c:v>
                </c:pt>
                <c:pt idx="6">
                  <c:v>5887</c:v>
                </c:pt>
                <c:pt idx="7">
                  <c:v>6286</c:v>
                </c:pt>
                <c:pt idx="8">
                  <c:v>6650</c:v>
                </c:pt>
                <c:pt idx="9">
                  <c:v>6968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29163</c:v>
                </c:pt>
                <c:pt idx="1">
                  <c:v>37374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447,62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193.39</c:v>
                </c:pt>
                <c:pt idx="1">
                  <c:v>313.37</c:v>
                </c:pt>
                <c:pt idx="2">
                  <c:v>374.52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447,62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(362,55 – 539,48)</c:v>
                </c:pt>
                <c:pt idx="1">
                  <c:v>Precio objetivo de los analistas (475,00 – 700,00)</c:v>
                </c:pt>
                <c:pt idx="2">
                  <c:v>Comparables: PER NTM (384,28 – 527,74)</c:v>
                </c:pt>
                <c:pt idx="3">
                  <c:v>DCF (WACC y g ± 0,5) (279,88 – 356,56)</c:v>
                </c:pt>
                <c:pt idx="4">
                  <c:v>Escenarios (bajista – alcista) (193,39 – 374,52)</c:v>
                </c:pt>
                <c:pt idx="5">
                  <c:v>DCF con la prima implícita del mercado (4,2 %)</c:v>
                </c:pt>
                <c:pt idx="6">
                  <c:v>Precio actual (447,62)</c:v>
                </c:pt>
              </c:strCache>
            </c:strRef>
          </c:cat>
          <c:val>
            <c:numRef>
              <c:f>Hoja1!$B$2:$B$8</c:f>
              <c:numCache>
                <c:formatCode>#,##0</c:formatCode>
                <c:ptCount val="7"/>
                <c:pt idx="0">
                  <c:v>362.55</c:v>
                </c:pt>
                <c:pt idx="1">
                  <c:v>475</c:v>
                </c:pt>
                <c:pt idx="2">
                  <c:v>384.28</c:v>
                </c:pt>
                <c:pt idx="3">
                  <c:v>279.88</c:v>
                </c:pt>
                <c:pt idx="4">
                  <c:v>193.39</c:v>
                </c:pt>
                <c:pt idx="5">
                  <c:v>358.51</c:v>
                </c:pt>
                <c:pt idx="6">
                  <c:v>445.38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(362,55 – 539,48)</c:v>
                </c:pt>
                <c:pt idx="1">
                  <c:v>Precio objetivo de los analistas (475,00 – 700,00)</c:v>
                </c:pt>
                <c:pt idx="2">
                  <c:v>Comparables: PER NTM (384,28 – 527,74)</c:v>
                </c:pt>
                <c:pt idx="3">
                  <c:v>DCF (WACC y g ± 0,5) (279,88 – 356,56)</c:v>
                </c:pt>
                <c:pt idx="4">
                  <c:v>Escenarios (bajista – alcista) (193,39 – 374,52)</c:v>
                </c:pt>
                <c:pt idx="5">
                  <c:v>DCF con la prima implícita del mercado (4,2 %)</c:v>
                </c:pt>
                <c:pt idx="6">
                  <c:v>Precio actual (447,62)</c:v>
                </c:pt>
              </c:strCache>
            </c:strRef>
          </c:cat>
          <c:val>
            <c:numRef>
              <c:f>Hoja1!$C$2:$C$8</c:f>
              <c:numCache>
                <c:formatCode>#,##0</c:formatCode>
                <c:ptCount val="7"/>
                <c:pt idx="0">
                  <c:v>176.93</c:v>
                </c:pt>
                <c:pt idx="1">
                  <c:v>225</c:v>
                </c:pt>
                <c:pt idx="2">
                  <c:v>143.46000000000004</c:v>
                </c:pt>
                <c:pt idx="3">
                  <c:v>76.68</c:v>
                </c:pt>
                <c:pt idx="4">
                  <c:v>181.13</c:v>
                </c:pt>
                <c:pt idx="5">
                  <c:v>71.10000000000002</c:v>
                </c:pt>
                <c:pt idx="6">
                  <c:v>4.480000000000018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