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Lotes Co., Ltd. (嘉澤端子工業)</w:t>
      </w:r>
    </w:p>
    <w:p>
      <w:pPr>
        <w:spacing w:after="60"/>
        <w:rPr>
          <w:color w:val="52514E"/>
          <w:sz w:val="22"/>
          <w:szCs w:val="22"/>
        </w:rPr>
      </w:pPr>
      <w:r>
        <w:rPr>
          <w:color w:val="52514E"/>
          <w:sz w:val="22"/>
          <w:szCs w:val="22"/>
        </w:rPr>
        <w:t xml:space="preserve">3533.TW · Taiwan Stock Exchange (TWSE) · ISIN TW0003533006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1.805,00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1.745,00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-1,4 % (base +7,2 %)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1.359,43 TWD · mercado 1.526,32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202.936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Lotes Co., Ltd. (嘉澤端子工業)</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3533.TW / TW0003533006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Taiwan Stock Exchange (TWSE)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(referencia de bolsa: ETF 0050)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Componentes electrónicos (conectores y zócalos de CPU)</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Keelung (Taiwán) · 1986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www.lotes.cc</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1.805,00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1.140,00 – 2.955,00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202.936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193.406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2.404 M TWD/día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1.745,00 TWD</w:t>
      </w:r>
      <w:r>
        <w:t xml:space="preserve"> frente a 1.805,00 · Rentabilidad a 12 meses </w:t>
      </w:r>
      <w:r>
        <w:rPr>
          <w:b/>
          <w:bCs/>
        </w:rPr>
        <w:t xml:space="preserve">-1,4 % (base +7,2 %)</w:t>
      </w:r>
      <w:r>
        <w:t xml:space="preserve"> · Valor intrínseco 1.359,43 TWD · con la prima implícita del mercado: 1.526,32 (-15,4 %) · Alcista / bajista -21,5 % / -54,8 %</w:t>
      </w:r>
    </w:p>
    <w:p>
      <w:pPr>
        <w:spacing w:after="100"/>
      </w:pPr>
      <w:r>
        <w:rPr>
          <w:b/>
        </w:rPr>
        <w:t xml:space="preserve">La recomendación y por qué.</w:t>
      </w:r>
      <w:r>
        <w:t xml:space="preserve"> Mantener, con convicción media. A 1.805 TWD (cierre del 20-oct-2026), el objetivo ponderado a 12 meses es de 1.745,00 (−1,4 % con dividendo) y el del caso base de 1.899,54 (+7,2 %); el valor intrínseco es de 1.359,43 (−24,7 %). Para Comprar harían falta las tres cosas (ponderada ≥ 15 %, base ≥ 12 % y valor intrínseco ≥ precio) y no se cumple ninguna. La razón principal: es un negocio excelente a un precio que ya paga la recuperación del margen y el ciclo de servidores de 2027. Compraríamos por debajo de 1.359,43 y venderíamos por encima de 1.977,78. La convicción es media porque las dos reglas coinciden y el precio está lejos de los dos umbrales, pero la señal depende del margen: con el BPA del consenso para 2027 (un 20 % mayor) el base a 12 meses pasaría del 12 %. Subiría la convicción un margen bruto del 3T26 por debajo del 45 %; la bajaría uno por encima del 48 %.</w:t>
      </w:r>
    </w:p>
    <w:p>
      <w:pPr>
        <w:spacing w:after="100"/>
      </w:pPr>
      <w:r>
        <w:rPr>
          <w:b/>
        </w:rPr>
        <w:t xml:space="preserve">El negocio.</w:t>
      </w:r>
      <w:r>
        <w:t xml:space="preserve"> Lotes fabrica zócalos de CPU (la pieza donde se enchufa el procesador en la placa) y conectores para servidores y PC; es una de las tres primeras del mundo en zócalos [9]. El ROIC de 2025 es del 31,2 % frente a un WACC del 9,58 % (21,6 puntos más) y la calidad sostiene el crecimiento que proyectamos: «Sí». Los servidores ya son el 55,4 % de las ventas [24]. El foso es estrecho: cada plataforma de Intel y AMD se gana de nuevo, frente a FIT (Foxconn), TE y Molex.</w:t>
      </w:r>
    </w:p>
    <w:p>
      <w:pPr>
        <w:spacing w:after="100"/>
      </w:pPr>
      <w:r>
        <w:rPr>
          <w:b/>
        </w:rPr>
        <w:t xml:space="preserve">Sector y ciclo.</w:t>
      </w:r>
      <w:r>
        <w:t xml:space="preserve"> TrendForce espera que la inversión de los grandes proveedores de nube suba un 106 % en 2026 y un 60 % en 2027 [21]: expansión fuerte y tardía. El precedente propio es 2023 (ventas −9,7 %, servidores −20 %) [3]. Los zócalos nuevos (Venice de AMD con más de 7.500 contactos, Diamond Rapids de Intel con 9.324) suben el precio por pieza [22].</w:t>
      </w:r>
    </w:p>
    <w:p>
      <w:pPr>
        <w:spacing w:after="100"/>
      </w:pPr>
      <w:r>
        <w:rPr>
          <w:b/>
        </w:rPr>
        <w:t xml:space="preserve">Finanzas.</w:t>
      </w:r>
      <w:r>
        <w:t xml:space="preserve"> Ventas de 33.783 M en 2025 y 28.835 M en enero-septiembre de 2026 (+17,5 %) [40]. El margen bruto cayó del 51,0 % al 45,5 % en un año por el cobre, el oro y el plástico [10]. Caja neta de 14.694 M a junio, pero el flujo libre es bajo (44 % del beneficio en 2025) por el capex y un circulante del 44 % de las ventas [1].</w:t>
      </w:r>
    </w:p>
    <w:p>
      <w:pPr>
        <w:spacing w:after="100"/>
      </w:pPr>
      <w:r>
        <w:rPr>
          <w:b/>
        </w:rPr>
        <w:t xml:space="preserve">Equipo y gobierno.</w:t>
      </w:r>
      <w:r>
        <w:t xml:space="preserve"> Empresa de fundadores: los hermanos Chu (presidente) y Ho (consejero delegado) tienen ≈ 26 %, sin pignoraciones [9, 30]. Reparto ≈ 50 % del beneficio.</w:t>
      </w:r>
    </w:p>
    <w:p>
      <w:pPr>
        <w:spacing w:after="100"/>
      </w:pPr>
      <w:r>
        <w:rPr>
          <w:b/>
        </w:rPr>
        <w:t xml:space="preserve">Valoración.</w:t>
      </w:r>
      <w:r>
        <w:t xml:space="preserve"> El DCF da 1.162,61 TWD; el DCF inverso pide un crecimiento del 15,8 % anual en 2027-2035 frente al 5,2 % de nuestro base, o un margen EBITDA del 49,4 % (máximo histórico: 41,6 %). El mercado paga 19,7x nuestro BPA de 2027e; su mediana adelantada de cinco años es 16,4x y la de los comparables 17,1x [36]. Nuestro BPA de 2027e (91,79) está un 19,8 % por debajo del consenso (114,46): la diferencia es de margen, no de ventas.</w:t>
      </w:r>
    </w:p>
    <w:p>
      <w:pPr>
        <w:spacing w:after="100"/>
      </w:pPr>
      <w:r>
        <w:rPr>
          <w:b/>
        </w:rPr>
        <w:t xml:space="preserve">Riesgos y catalizadores.</w:t>
      </w:r>
      <w:r>
        <w:t xml:space="preserve"> El riesgo de IA es mixto: la IA impulsa los servidores, pero los racks más densos sueldan la CPU (Grace, Vera, Arm propios) y eso quita zócalos. Los mayores riesgos son el pico del ciclo (bajista a 12 meses −47,6 %), el margen de las materias primas y la dependencia de cada plataforma de Intel y AMD; las fábricas en China y Taiwán son de baja probabilidad y daño alto. Catalizadores: resultados del 3T26 (≈ 9-nov) y Venice a volumen a principios de 2027.</w:t>
      </w:r>
    </w:p>
    <w:p>
      <w:pPr>
        <w:spacing w:after="100"/>
      </w:pPr>
      <w:r>
        <w:rPr>
          <w:b/>
        </w:rPr>
        <w:t xml:space="preserve">Qué cambiaría la decisión.</w:t>
      </w:r>
      <w:r>
        <w:t xml:space="preserve"> Compraríamos por debajo de 1.359,43 TWD. Subiríamos el base si el margen bruto del 4T26 vuelve al 48 % o más con Venice; reforzaríamos la venta con dos meses de ventas por debajo de 3.000 M o con una cuota baja en Oak Stream.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1.745,00 TWD</w:t>
      </w:r>
      <w:r>
        <w:t xml:space="preserve"> (rentabilidad -1,4 % (base +7,2 %)) · Valor intrínseco: 1.359,43 TWD (-24,7 % sobre 1.805,00) · con la prima implícita del mercado: 1.526,32 (-15,4 %)</w:t>
      </w:r>
    </w:p>
    <w:p>
      <w:pPr>
        <w:spacing w:after="100"/>
      </w:pPr>
      <w:r>
        <w:t xml:space="preserve">Lotes es uno de los tres grandes fabricantes de zócalos de CPU del mundo, con FIT (Foxconn) y TE [9]. Ha pasado de 21.392 M TWD de ventas en 2021 a unos 39.200 M en 2026e, con los servidores del 27 % al 55 % de las ventas, un ROIC del 31 % y caja neta [1, 24].</w:t>
      </w:r>
    </w:p>
    <w:p>
      <w:pPr>
        <w:spacing w:after="100"/>
      </w:pPr>
      <w:r>
        <w:t xml:space="preserve">El precio, 1.805 TWD, ya descuenta que 2027 será un buen año: 19,7x nuestro BPA de 2027e, por encima de las 13-16x que el mercado pagó casi siempre por el beneficio del año siguiente [34]. El consenso (114,46 de BPA en 2027) supone que el margen vuelve al de 2024; la empresa dice que no lo sabe [15].</w:t>
      </w:r>
    </w:p>
    <w:p>
      <w:pPr>
        <w:spacing w:after="100"/>
      </w:pPr>
      <w:r>
        <w:t xml:space="preserve">Creemos que el negocio es bueno y el precio, justo o algo alto. El margen está atado a materias primas que no controla, el capex y el circulante se comen la mitad del beneficio, y el ciclo de servidores ya tuvo un bache en 2023 [3]. Para invertir hay que creer que Venice y Oak Stream llegan a volumen en 2027 con un margen bruto de nuevo cerca del 50 % y que la IA no reduce los zócalos por servidor.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1.745,00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70,03 = 910,39 · 18,0x × 105,53 = 1.899,54 · 18,0x × 126,14 = 2.270,52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2.422,19 (nuestro base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1.359,43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 / -54,8 %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9,6 %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1.526,32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1.359,43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1.359,43 y 1.977,78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1.977,78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1.359,43 TWD (valor intrínseco), Comprar (calidad «Sí»).</w:t>
      </w:r>
    </w:p>
    <w:p>
      <w:pPr>
        <w:pStyle w:val="ListParagraph"/>
        <w:numPr>
          <w:ilvl w:val="0"/>
          <w:numId w:val="2"/>
        </w:numPr>
        <w:spacing w:after="60"/>
      </w:pPr>
      <w:r>
        <w:t xml:space="preserve">Si el margen bruto vuelve al 48-50 % en el 1S27, subiríamos el base hacia el consenso.</w:t>
      </w:r>
    </w:p>
    <w:p>
      <w:pPr>
        <w:pStyle w:val="ListParagraph"/>
        <w:numPr>
          <w:ilvl w:val="0"/>
          <w:numId w:val="2"/>
        </w:numPr>
        <w:spacing w:after="60"/>
      </w:pPr>
      <w:r>
        <w:t xml:space="preserve">Si el precio sube por encima de 1.977,78 TWD, Vender o reducir.</w:t>
      </w:r>
    </w:p>
    <w:p>
      <w:pPr>
        <w:pStyle w:val="ListParagraph"/>
        <w:numPr>
          <w:ilvl w:val="0"/>
          <w:numId w:val="2"/>
        </w:numPr>
        <w:spacing w:after="60"/>
      </w:pPr>
      <w:r>
        <w:t xml:space="preserve">Si los proveedores de nube recortan su inversión de 2027 por debajo de +20 %, 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BPA de unos 115 en 2027 (+43 % sobre 2026) con ventas de 49.700 M y un beneficio neto del 26 % de las ventas, como en 2024, y un múltiplo de unas 16x sobre ese beneficio. Los analistas, 12 de 16 en comprar, ven la caída del margen como pasajera.</w:t>
      </w:r>
    </w:p>
    <w:p>
      <w:pPr>
        <w:keepNext/>
        <w:spacing w:after="100"/>
      </w:pPr>
      <w:r>
        <w:rPr>
          <w:b/>
          <w:bCs/>
        </w:rPr>
        <w:t xml:space="preserve">Lo que creemos nosotros.</w:t>
      </w:r>
    </w:p>
    <w:p>
      <w:pPr>
        <w:spacing w:after="100"/>
      </w:pPr>
      <w:r>
        <w:t xml:space="preserve">Un BPA de 92 en 2027 y 106 en 2028: ventas casi como el consenso, pero un margen EBITDA del 36-37 %, por debajo del 41,6 % de 2024, porque las materias primas siguen caras y solo los productos nuevos las repercuten.</w:t>
      </w:r>
    </w:p>
    <w:p>
      <w:pPr>
        <w:keepNext/>
        <w:spacing w:after="100"/>
      </w:pPr>
      <w:r>
        <w:rPr>
          <w:b/>
          <w:bCs/>
        </w:rPr>
        <w:t xml:space="preserve">Por qué podemos tener razón.</w:t>
      </w:r>
    </w:p>
    <w:p>
      <w:pPr>
        <w:spacing w:after="100"/>
      </w:pPr>
      <w:r>
        <w:t xml:space="preserve">Porque el margen bruto bajó 5,5 puntos en un año y la guía del 3T26 no lo mejora; porque el consenso ya recorta (BPA de 2027 de 129,91 a 114,46 en 90 días); y porque la propia empresa no sabe si 2027 recuperará el margen de antes.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1.8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alta</w:t>
      </w:r>
      <w:r>
        <w:t xml:space="preserve">: ROIC del 31,2 % en 2025 y del 54,4 % incremental en 2021-2025.</w:t>
      </w:r>
    </w:p>
    <w:p>
      <w:pPr>
        <w:pStyle w:val="ListParagraph"/>
        <w:numPr>
          <w:ilvl w:val="0"/>
          <w:numId w:val="2"/>
        </w:numPr>
        <w:spacing w:after="60"/>
      </w:pPr>
      <w:r>
        <w:rPr>
          <w:b/>
        </w:rPr>
        <w:t xml:space="preserve">Zócalos más caros</w:t>
      </w:r>
      <w:r>
        <w:t xml:space="preserve">: Venice (SP7) cuesta al menos un 15 % más que el SP5 [11].</w:t>
      </w:r>
    </w:p>
    <w:p>
      <w:pPr>
        <w:pStyle w:val="ListParagraph"/>
        <w:numPr>
          <w:ilvl w:val="0"/>
          <w:numId w:val="2"/>
        </w:numPr>
        <w:spacing w:after="60"/>
      </w:pPr>
      <w:r>
        <w:rPr>
          <w:b/>
        </w:rPr>
        <w:t xml:space="preserve">Servidores al alza</w:t>
      </w:r>
      <w:r>
        <w:t xml:space="preserve">: +65-75 % interanual en el 1S26 y 55,4 % de las ventas [24].</w:t>
      </w:r>
    </w:p>
    <w:p>
      <w:pPr>
        <w:pStyle w:val="ListParagraph"/>
        <w:numPr>
          <w:ilvl w:val="0"/>
          <w:numId w:val="2"/>
        </w:numPr>
        <w:spacing w:after="60"/>
      </w:pPr>
      <w:r>
        <w:rPr>
          <w:b/>
        </w:rPr>
        <w:t xml:space="preserve">Balance con caja neta</w:t>
      </w:r>
      <w:r>
        <w:t xml:space="preserve">: 14.694 M a junio, sin deuda relevante [6].</w:t>
      </w:r>
    </w:p>
    <w:p>
      <w:pPr>
        <w:pStyle w:val="ListParagraph"/>
        <w:numPr>
          <w:ilvl w:val="0"/>
          <w:numId w:val="2"/>
        </w:numPr>
        <w:spacing w:after="60"/>
      </w:pPr>
      <w:r>
        <w:rPr>
          <w:b/>
        </w:rPr>
        <w:t xml:space="preserve">Clientes repartidos</w:t>
      </w:r>
      <w:r>
        <w:t xml:space="preserve">: ninguno pasa del 10 % de las ventas [9].</w:t>
      </w:r>
    </w:p>
    <w:p>
      <w:pPr>
        <w:pStyle w:val="Heading2"/>
      </w:pPr>
      <w:r>
        <w:t xml:space="preserve">En contra</w:t>
      </w:r>
    </w:p>
    <w:p>
      <w:pPr>
        <w:pStyle w:val="ListParagraph"/>
        <w:numPr>
          <w:ilvl w:val="0"/>
          <w:numId w:val="2"/>
        </w:numPr>
        <w:spacing w:after="60"/>
      </w:pPr>
      <w:r>
        <w:rPr>
          <w:b/>
        </w:rPr>
        <w:t xml:space="preserve">Margen en manos del cobre y el oro</w:t>
      </w:r>
      <w:r>
        <w:t xml:space="preserve">: margen bruto del 45,5 % frente al 51,0 % un año antes [10].</w:t>
      </w:r>
    </w:p>
    <w:p>
      <w:pPr>
        <w:pStyle w:val="ListParagraph"/>
        <w:numPr>
          <w:ilvl w:val="0"/>
          <w:numId w:val="2"/>
        </w:numPr>
        <w:spacing w:after="60"/>
      </w:pPr>
      <w:r>
        <w:rPr>
          <w:b/>
        </w:rPr>
        <w:t xml:space="preserve">Flujo libre bajo</w:t>
      </w:r>
      <w:r>
        <w:t xml:space="preserve">: 44 % del beneficio en 2025 por capex y circulante.</w:t>
      </w:r>
    </w:p>
    <w:p>
      <w:pPr>
        <w:pStyle w:val="ListParagraph"/>
        <w:numPr>
          <w:ilvl w:val="0"/>
          <w:numId w:val="2"/>
        </w:numPr>
        <w:spacing w:after="60"/>
      </w:pPr>
      <w:r>
        <w:rPr>
          <w:b/>
        </w:rPr>
        <w:t xml:space="preserve">Precio por encima de su historia</w:t>
      </w:r>
      <w:r>
        <w:t xml:space="preserve">: 19,7x el BPA de 2027e frente a 16,4x de mediana.</w:t>
      </w:r>
    </w:p>
    <w:p>
      <w:pPr>
        <w:pStyle w:val="ListParagraph"/>
        <w:numPr>
          <w:ilvl w:val="0"/>
          <w:numId w:val="2"/>
        </w:numPr>
        <w:spacing w:after="60"/>
      </w:pPr>
      <w:r>
        <w:rPr>
          <w:b/>
        </w:rPr>
        <w:t xml:space="preserve">CPU soldadas en los racks de IA</w:t>
      </w:r>
      <w:r>
        <w:t xml:space="preserve">: menos zócalos por servidor.</w:t>
      </w:r>
    </w:p>
    <w:p>
      <w:pPr>
        <w:pStyle w:val="ListParagraph"/>
        <w:numPr>
          <w:ilvl w:val="0"/>
          <w:numId w:val="2"/>
        </w:numPr>
        <w:spacing w:after="60"/>
      </w:pPr>
      <w:r>
        <w:rPr>
          <w:b/>
        </w:rPr>
        <w:t xml:space="preserve">China y Taiwán</w:t>
      </w:r>
      <w:r>
        <w:t xml:space="preserve">: fábricas en China continental y sede en Taiwán.</w:t>
      </w:r>
    </w:p>
    <w:p>
      <w:pPr>
        <w:pStyle w:val="Heading2"/>
      </w:pPr>
      <w:r>
        <w:t xml:space="preserve">Qué tiene que pasar para que la tesis funcione</w:t>
      </w:r>
    </w:p>
    <w:p>
      <w:pPr>
        <w:spacing w:after="100"/>
      </w:pPr>
      <w:r>
        <w:t xml:space="preserve">La tesis depende del margen. La señal de que mejora sería un margen bruto del 4T26 o del 1T27 de nuevo por encima del 48 % con Venice a volumen. La de que empeora: margen por debajo del 44 % o ventas mensuales por debajo de 3.000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44 % o &gt; 48 %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diferencia con 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 M (septiembre)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3.000 M dos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ciclo, cada día 10.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servidores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IA y la cuota en plataformas.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proveedores de nube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(TrendForce)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USD/TWD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de cambio en 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 / 16,8x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Lotes (嘉澤端子工業) se fundó el 23-ago-1986 en Keelung (Taiwán) para hacer terminales y conectores [4]. Creció con el PC: trasladó la fabricación a China continental (Suzhou, Guangzhou, Zhongshan, Hengnan) y se convirtió en uno de los tres primeros fabricantes mundiales de zócalos de CPU [4, 9]. Salió a bolsa en la TWSE el 10-dic-2007 [18]. Desde 2019 el servidor ha pasado a ser el negocio principal (55,4 % de las ventas en el 2T26) y desde 2024 diversifica la producción a Vietnam (17 % de la capacidad a mediados de 2026) [10, 13]. La dirigen desde hace décadas los hermanos Chu Te-Hsiang (presidente del consejo) y Ho Te-Yu (consejero delegado), que controlan ≈ 26 % del capital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Keelung (Taiwán)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vehículos de la familia fundadora entran en el consejo (primeros nombramientos de octubre de 2004)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TWSE (10-dic-2007)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y bonos convertibles para financiar capacidad; ventas de 21.392 M TWD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a 660 TWD por acción (2.306 M) y primer año de caída de ventas (−9,7 %) tras el exceso de inventario de servidores de 2022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30.089 M TWD y BPA de 82,33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pasan a 39,6 % de las ventas; la apreciación del TWD resta 946 M de diferencias de cambio y el BPA baja a 70,06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Servidores superan el 50 % de las ventas; el margen bruto cae al 45,5 % en el 2T26 por el cobre, el oro y el plástico; Vietnam llega al 17 % de la producción [10,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Lotes diseña y fabrica conectores de precisión: zócalos de CPU tipo LGA para servidores y PC (es uno de los tres primeros proveedores mundiales con Foxconn Interconnect y TE Connectivity) [9, 19], conectores de memoria (DDR5, SO-CAMM), ranuras PCIe, conectores de E/S y cables internos, y desde 2026 acoplamientos rápidos de refrigeración líquida (QD) para servidores de IA [10]. Vende a fabricantes por encargo y de placas base (ODM) que montan para las marcas y los grandes proveedores de nube, sobre todo en China continental (68,9 % de las ventas por destino de factura en 2025) [1]. Fabrica de forma integrada (moldes, estampación, inyección, galvanizado, montaje) en China continental y Vietnam, con 15.499 empleados a final de 2025 [9]. Las ventas de 2025 fueron de 33.783 M TWD: servidores 39,2 %, sobremesa 26,8 %, portátiles 11,0 %, clientes estratégicos 8,9 %, automoción 7,6 % y la filial Lintes (cables de alta velocidad) 4,4 % [1].</w:t>
      </w:r>
    </w:p>
    <w:p>
      <w:pPr>
        <w:pStyle w:val="Heading2"/>
      </w:pPr>
      <w:r>
        <w:t xml:space="preserve">Cómo gana dinero</w:t>
      </w:r>
    </w:p>
    <w:p>
      <w:pPr>
        <w:spacing w:after="100"/>
      </w:pPr>
      <w:r>
        <w:t xml:space="preserve">Cobra por pieza. El zócalo de cada plataforma nueva de Intel o AMD se diseña con el fabricante del chip y se homologa con antelación: quien entra en la plataforma vende durante su vida (3-4 años) y el precio sube con los contactos (SP7 de AMD, más de 7.500 contactos frente a ≈ 6.100 del SP5 y precio ≥ 15 % mayor) [11]. El margen depende de tres cosas: la mezcla (servidor por encima de PC), el precio de las materias primas (cobre, oro y plástico ≈ 65 % del coste de ventas en 2026, 45-50 % antes) y el tipo de cambio, porque cobra en dólares y gasta en yuanes y TWD [10, 16]. No hay ingresos recurrentes contractuales: los pedidos siguen la producción de placas, con estacionalidad baja (febrero flojo por el año nuevo chino) [17]. El apalancamiento operativo es alto: el resultado de explotación del 2T26 cayó un 19 % con ventas +14,8 %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Servidores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Sobremesa (DT)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Portátiles (NB)</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estratégicos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Lintes (cable de alta velocidad)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Servidores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Sobremesa (DT)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Portátiles (NB)</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estratégicos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Lintes (cable de alta velocidad)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llega al 10 % de las ventas: en 2025 el primero pesó un 8,31 % (2.806,6 M TWD), el segundo un 7,06 % y el tercero un 6,34 %; los tres primeros, un 21,7 % (2024: 20,6 %) [9]. Las cuentas no publican nombres. Por destino, el 68,9 % de 2025 se factura en China continental, donde están las plantas de montaje de placas de los fabricantes por encargo (ODM) [1]: no es consumo chino, es dónde se ensambla. El poder de precios es limitado y llega con cada plataforma nueva: la empresa dice que los productos nuevos se fijan con el precio de la materia prima de hoy, mientras que los antiguos no repercuten el alza del cobre, el oro y el plástico, que ya son ≈ 65 % del coste de ventas [10, 11]. El margen bruto pasó del 51,0 % del 2T25 al 45,5 % del 2T26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servidores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crecieron un 65 % interanual en el 1T26 y un 75 % en el 2T26 según la empresa [10,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Agotado en el 1T26 el inventario de materia prima barata; la empresa espera un 3T26 igual al 2T26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enero-septiembre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24.536,7 M TWD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28.835,2 M TWD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oficiales; septiembre 3.356,7 M (+16,1 %)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producción en Vietnam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7 % (inicio de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 20 % a final de 2026; resto en China continental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10.210 operarios; 15.762 a 31-mar-2026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anual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3.875,5 M TWD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5.098,8 M TWD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5.000-6.000 M; 1S26 ya 3.131 M [1, 8,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conectores para equipos informáticos (servidores, PC y periféricos), dentro del mercado mundial de conectores. Bishop &amp; Associates estima el mercado de conectores en 86.478 M USD en 2024 y lo sitúa como la referencia del sector; la propia empresa dice que es cuarta del mundo en conectores para ordenadores y periféricos y decimoctava en el total [9, 20]. El núcleo del valor, el zócalo de CPU, es un nicho de ≈ 2.000 M USD en 2025 según Intel Market Research [19]. Se usa el total de conectores para la cuota (Lotes ≈ 1,1 % en 2024) y el nicho de zócalos para la estructura competitiva, porque no hay un tamaño publicado del segmento de conectores informáticos.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2.822.470 M TWD (86.478 M USD) de conectores en 2024 [20]; zócalos de CPU ≈ 65.280 M TWD (2.000 M USD) en 2025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WD (conectores, al cambio de 32,638 TWD/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grandes proveedores de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TrendForce: inversión de los nueve primeros +106 % en 2026 (957.000 M USD) y +60 % en 2027; servidores de IA +32,2 % en unidades en 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plataforma de CPU (más contactos por zócalo)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SP7 de AMD con más de 7.500 contactos (≈ 6.100 el SP5) y precio ≥ 15 % mayor; Intel Diamond Rapids con 9.324 contactos en 2027; Lotes desarrolla zócalos de más de 10.000 [11, 16,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el oro y el plástico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 65 % del coste de ventas de Lotes en el 2T26; margen bruto −5,5 pp interanual [10,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PC limitada por falta de componentes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sobremesa de Lotes −42 % y portátiles −14 % interanual en el 2T26 por la falta de memoria, CPU y PCB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USD/TWD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Diferencias de cambio de +910 M TWD en 2024 y −946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Interconexión de alta velocidad y refrigeración líquida en servidores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inició la producción de QD en jul-2026 (≈ 1 % de las ventas, objetivo 2-3 % en el segundo semestre) y SO-CAMM con uso de capacidad &gt; 90 %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zócalos compiten tres o cuatro (Foxconn Interconnect, Lotes, TE, Molex) y la homologación por plataforma limita la guerra de precios; en conectores de E/S y PC la rivalidad es alta [9,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Intel y AMD definen el zócalo y homologan proveedores; los ODM compran en volumen. Lotes no repercute el alza de materias primas en productos ya vendidos (margen bruto −5,5 pp) [10,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oro y plástico son materias primas con precio de mercado (≈ 65 % del coste de ventas); los tres primeros proveedores son solo el 10,5 % de las compras [9,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Zócalos de 7.500-10.000 contactos exigen años de desarrollo y homologación con el fabricante del chip; nadie nuevo ha entrado en los últimos ciclos [11,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CPU soldada (BGA) existe en portátiles; en servidores el zócalo sigue siendo la norma y crece en tamaño: SP7 de AMD en 2026 y el LGA de 9.324 contactos de Intel en 2027 [11, 22].</w:t>
            </w:r>
          </w:p>
        </w:tc>
      </w:tr>
    </w:tbl>
    <w:p>
      <w:pPr>
        <w:spacing w:after="160" w:before="0"/>
      </w:pPr>
    </w:p>
    <w:p>
      <w:pPr>
        <w:pStyle w:val="Heading2"/>
      </w:pPr>
      <w:r>
        <w:t xml:space="preserve">Ciclo</w:t>
      </w:r>
    </w:p>
    <w:p>
      <w:pPr>
        <w:spacing w:after="100"/>
      </w:pPr>
      <w:r>
        <w:t xml:space="preserve">El indicador es la inversión de los grandes proveedores de nube, que TrendForce ve +106 % en 2026 y +60 % en 2027 [21]: una expansión muy avanzada y muy concentrada en servidores de IA. El servidor tradicional (donde va el zócalo de CPU) crece menos. El precedente propio es 2023: tras el exceso de inventario de 2022, las ventas de servidores de Lotes cayeron un 20 % y las totales un 9,7 % [2]. En 2020 el PC creció con el teletrabajo (ventas 2020 +14,6 %); en 2008-09 la empresa era mucho más pequeña y no hay datos comparables en las fuentes leídas [23].</w:t>
      </w:r>
    </w:p>
    <w:p>
      <w:pPr>
        <w:pStyle w:val="Heading2"/>
      </w:pPr>
      <w:r>
        <w:t xml:space="preserve">Regulación</w:t>
      </w:r>
    </w:p>
    <w:p>
      <w:pPr>
        <w:spacing w:after="100"/>
      </w:pPr>
      <w:r>
        <w:t xml:space="preserve">Lo que más pesa es geopolítico: el 68,9 % de las ventas se factura en China continental y la mayor parte de la producción está allí [1]; aranceles de EE. UU. a productos chinos y controles de exportación empujan a mover capacidad a Vietnam (17 % en jun-26, objetivo ≈ 20 % a final de 2026) [13]. La UE extiende el cargador común USB-C a los portátiles desde el 28-abr-2026, lo que estandariza conectores de PC [9]. Taiwán exige autorización para invertir en China continental: Lotes tiene aprobados 1.597,9 M TWD y un tope de 23.066,3 M [1].</w:t>
      </w:r>
    </w:p>
    <w:p>
      <w:pPr>
        <w:pStyle w:val="Heading2"/>
      </w:pPr>
      <w:r>
        <w:t xml:space="preserve">Tendencias y disrupción</w:t>
      </w:r>
    </w:p>
    <w:p>
      <w:pPr>
        <w:spacing w:after="100"/>
      </w:pPr>
      <w:r>
        <w:t xml:space="preserve">El valor se desplaza del PC al servidor y a la interconexión de alta velocidad (PCIe 6, 224G, cables activos) y a la refrigeración líquida [9]. Lotes gana con el zócalo más grande de cada plataforma y con QD y SO-CAMM, pero en cables de alta velocidad su filial Lintes perdió ventas en 2025 (−33 %) frente a especialistas como BizLink y Amphenol [1]. Los procesadores Arm a medida de los proveedores de nube son una amenaza y una oportunidad: Lotes dice desarrollar un zócalo Arm con un proveedor de nube [24]; si los aceleradores de IA van soldados, el zócalo pierde peso por servidor.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Cuarta del mundo en conectores para ordenadores y periféricos, decimoctava en el total de conectores (Bishop &amp; Associates) y una de las tres primeras en zócalos de CPU [9]; ≈ 1,1 % del mercado mundial de conectores en 2024 (estimación propia: 30.089 M TWD sobre 2.822.470 M) [1,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Foxconn Interconnect (FIT Hon Teng)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TW/HK</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6088.HK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zócalos, del grupo Foxconn; mucho más grande pero con margen bajo por cables y productos de consumo (doce meses según Yahoo)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 Connectivity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 zócalos LGA para servidores y lidera en automoción; competidor en alta velocidad (224G) [19,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Amphenol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de conectores; domina la interconexión de alta velocidad de los racks de IA y compra sin parar (CommScope CCS por 10.500 M USD) [25,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Molex (Koch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fabrica zócalos y conectores 224G para centros de datos [9,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BizLink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3665.TW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activos y de alta velocidad para servidores de IA; gana donde Lintes pierde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Hirose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Conectores de precisión para móviles, industria y automoción; no compite en zócalos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 industrial vendido pieza a pieza.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zócalo se homologa con Intel o AMD y con el ODM para toda la plataforma (3-4 años); cambiar a mitad de plataforma es raro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4.000 patentes y desarrollo conjunto de cada plataforma; I+D de 3.503 M TWD en 2025, el 10,4 % de las ventas [10,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completa (moldes a montaje) y margen EBIT del 30,6 % en 2025 frente al 20,8 % de TE y el 3,5 % de Foxconn Interconnect [6,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zócalos (≈ 2.000 M USD) solo sostiene a tres o cuatro proveedores homologados [9].</w:t>
            </w:r>
          </w:p>
        </w:tc>
      </w:tr>
    </w:tbl>
    <w:p>
      <w:pPr>
        <w:spacing w:after="160" w:before="0"/>
      </w:pPr>
    </w:p>
    <w:p>
      <w:pPr>
        <w:pStyle w:val="Heading2"/>
      </w:pPr>
      <w:r>
        <w:t xml:space="preserve">Amenazas</w:t>
      </w:r>
    </w:p>
    <w:p>
      <w:pPr>
        <w:spacing w:after="100"/>
      </w:pPr>
      <w:r>
        <w:t xml:space="preserve">La ventaja se renueva en cada plataforma, no es permanente: perder el zócalo de Venice o de Oak Stream frente a Foxconn Interconnect o TE costaría años de ventas de servidor (probabilidad baja, &lt; 20 %; Lotes ya fabrica para las dos) [10, 11]. La amenaza más probable es de margen: materias primas caras que solo se repercuten con productos nuevos, y competidores mucho mayores (Amphenol, TE) en la interconexión de alta velocidad, donde Lintes retrocede [1, 16]. A medio plazo, procesadores soldados en placas de IA o diseños Arm propios de los proveedores de nube podrían reducir zócalos por servidor (probabilidad media)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12,1 %</w:t>
      </w:r>
      <w:r>
        <w:t xml:space="preserve">, EBITDA </w:t>
      </w:r>
      <w:r>
        <w:rPr>
          <w:b/>
          <w:bCs/>
        </w:rPr>
        <w:t xml:space="preserve">21,7 %</w:t>
      </w:r>
      <w:r>
        <w:t xml:space="preserve">, BPA </w:t>
      </w:r>
      <w:r>
        <w:rPr>
          <w:b/>
          <w:bCs/>
        </w:rPr>
        <w:t xml:space="preserve">21,0 %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21.391,9 M TWD en 2021 a 33.783,4 M en 2025, todo orgánico (las compras de 2021 y 2023 fueron de 96,8 y 54,1 M) [1, 2, 4]. El ciclo se ve en 2023: −9,7 % de ventas y −20 % en servidores tras el exceso de inventario de 2022 [3]. El margen bruto subió del 40,0 % de 2021 al 52,4 % de 2024 por la mezcla de servidores y la escala, y bajó al 51,3 % en 2025 y al 45,5 % en el 2T26 por el cobre, el oro y el plástico [1, 8, 10]. El resultado financiero mueve mucho el beneficio: diferencias de cambio de +910,0 M en 2024 y −946,1 M en 2025 (cobra en dólares y reporta en TWD), intereses de la caja de 373,1-557,2 M [1]. El BPA de 2025 (70,06) cayó un 15 % con ventas +12,3 % por esa diferencia de cambio [9]. En el 1S26 las ventas crecieron un 17,4 % y el resultado de explotación cayó un 4,7 % [6].</w:t>
      </w:r>
    </w:p>
    <w:p>
      <w:pPr>
        <w:pStyle w:val="Heading2"/>
      </w:pPr>
      <w:r>
        <w:t xml:space="preserve">Ajustes y partidas no recurrentes</w:t>
      </w:r>
    </w:p>
    <w:p>
      <w:pPr>
        <w:spacing w:after="100"/>
      </w:pPr>
      <w:r>
        <w:t xml:space="preserve">Se usan las cifras publicadas (NIIF adoptadas en Taiwán) sin ajustes. El EBITDA es el resultado de explotación más las depreciaciones y amortizaciones del estado de flujos (incluidas las de derechos de uso). El resultado financiero incluye las diferencias de cambio, que no son recurrentes en signo: +910,0 M en 2024 y −946,1 M en 2025 [1]; y en el 2T26 una plusvalía de 531,2 M por venta de inversiones financieras (acciones de TSMC que la empresa compra como colocación de tesorería) [8, 14]. No hay deterioros relevantes (37,3 M en 2023) [2]. Los pagos en acciones subieron a 279,4 M en el 2T26 por la venta de autocartera a empleados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14-may-2026 la dirección presentó un 1T26 récord (9.328 M TWD de ventas, servidores el 51,0 % y +60-65 % interanual) y avisó de que el alza de las materias primas seguiría pesando en el 2T26; prometió que la plataforma Venice (SP7) de AMD, con más de 7.500 contactos frente a los ≈ 6.100 del SP5 y un precio unitario al menos un 15 % mayor, y SO-CAMM empezarían a vender en el segundo semestre y mejorarían el margen [11]. En la del 13-ago el tono cambió: margen bruto del 45,5 %, ningún alivio en el 3T26 y, a la pregunta de si 2027 volverá al margen de antes, la dirección dijo que no lo sabe [10, 15]. Las materias primas ya son ≈ 65 % del coste de ventas (45-50 % antes) y la mejora de rendimientos no basta [16]. Venice queda en «pequeño volumen en el 4T26 y volumen a principios de 2027» y Oak Stream de Intel para el 1T-2T27; Venice tiene hoy menos del 3 % del parque de AMD y podría llegar al 30-40 % en 2027 [10, 15]. Sobremesa cayó un 42 % interanual en el 2T26 por la falta de componentes (memoria, CPU, PCB) y seguirá bajando en el segundo semestre [17]. Las preguntas se repitieron sobre el margen; la dirección no dio cifra de margen para 2027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tiene caja neta casi todo el ciclo: 12.494,6 M TWD a dic-25 (caja e inversiones líquidas menos deuda y arrendamientos) y 14.694 M a jun-26 antes de pagar el dividendo [1, 8]. La deuda bancaria de 2024 (3.765 M) se devolvió en 2025 [1]. El circulante comercial es pesado: clientes por 14.182,1 M a dic-25 (≈ 153 días de ventas) y existencias de 4.374,9 M, que subieron a 5.430 M en jun-26 al acumular materia prima cara para las plataformas nuevas [1, 8]. Los días de cobro son altos por las condiciones de los ODM, no por impagos (pérdidas esperadas casi nulas)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17.890</w:t>
      </w:r>
      <w:r>
        <w:t xml:space="preserve">, conversión </w:t>
      </w:r>
      <w:r>
        <w:rPr>
          <w:b/>
          <w:bCs/>
        </w:rPr>
        <w:t xml:space="preserve">55 %</w:t>
      </w:r>
      <w:r>
        <w:t xml:space="preserve"> del beneficio neto; adquisiciones 151, dividendos 13.444, recompras 676.</w:t>
      </w:r>
    </w:p>
    <w:p>
      <w:pPr>
        <w:spacing w:after="100"/>
      </w:pPr>
      <w:r>
        <w:t xml:space="preserve">La conversión en caja es buena en años normales (flujo operativo de 9.132,8-10.057,6 M en 2023-2024, por encima del beneficio) y mala cuando las ventas aceleran, porque el circulante crece con ellas: 2021 dio un flujo libre negativo y en los doce meses a jun-26 el flujo operativo fue de 7.392 M con 5.658 M de inversión (flujo libre de 1.734 M) [1, 4, 8]. La inversión se ha disparado: 3.875,5 M en 2024, 5.098,8 M en 2025 y una guía de 5.000-6.000 M en 2026 para Vietnam (17 % de la producción en jun-26, ≈ 20 % a final de año) y capacidad de servidores [1, 13]. Estimación propia: el mantenimiento se acerca a la amortización (≈ 2.600 M en 2025, 7,7 % de las ventas); el resto (≈ 2.500 M) es crecimiento y traslado de producción. Los intereses se cobran y pagan en explotación.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Taiwan (Li, Feng-Hui y Hsiao, Ya-Wen)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Taiwan audita a Lotes al menos desde 2019 (informes de 2019 a 2025 firmados por KPMG) y su opinión de 2025 es favorable sin salvedades; los asuntos clave son el reconocimiento de ingresos con rebajas pactadas (pasivos por reembolso de 626,7 M) y la valoración de existencias [1, 9]. Honorarios de 2025: 7,4 M de auditoría y 1,9 M de otros servicios (precios de transferencia) [9]. No hay capitalización de I+D (3.503,0 M al gasto en 2025, el 10,4 % de las ventas) [1]. Los pagos en acciones son pequeños (44,4 M en 2025) salvo el 2T26 (279,4 M) por la venta de autocartera a empleados [1, 8]. Lo que distorsiona el beneficio son las diferencias de cambio (±3 % de las ventas) y la cartera de acciones cotizadas (plusvalía de 531,2 M en el 2T26) [1, 8]. La responsable de contabilidad cambió en 2025 (Liu, Hsin-Hsia por Wu, Chia-Chi)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movido por diferencias de cambio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+910,0 M en 2024 y −946,1 M en 2025: el BPA cayó un 15 % en 2025 con ventas +12,3 % [1,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acciones de tesorería (TSMC)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a valor razonable de 2.201 M a jun-26 y plusvalía de 531,2 M en el 2T26: ingreso no operativo y volátil [8,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responsable de contabilidad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en 2025 sin cambio de auditor ni salvedades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con 153 días de cobro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Condiciones de ODM; pérdidas esperadas casi nulas (0,1 M en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54,4 % · </w:t>
      </w:r>
      <w:r>
        <w:rPr>
          <w:b/>
          <w:bCs/>
        </w:rPr>
        <w:t xml:space="preserve">WACC</w:t>
      </w:r>
      <w:r>
        <w:t xml:space="preserve">: 9,6 %.</w:t>
      </w:r>
    </w:p>
    <w:p>
      <w:pPr>
        <w:spacing w:after="100"/>
      </w:pPr>
      <w:r>
        <w:t xml:space="preserve">Lotes crea valor con holgura: el ROIC fue del 19,6 % en 2021, del 37,6 % en 2024 y del 31,2 % en 2025, frente a un WACC del 9,58 %, con un capital invertido de 25.817 M en 2025 (inmovilizado y circulante, sin la caja). El ROIC incremental de 2021-2025 es del 54,4 %. Lo mueve el margen, no la rotación: el capital gira solo 0,7 veces por el circulante (clientes a unos 150 días). El ROE (21,1 % en 2025) es menor que el ROIC por la caja y por la pérdida de cambio de 2025. Frente a los comparables, el margen EBITDA de Lotes (≈ 36 % en doce meses) es igual o mayor que el de Amphenol (32,6 %) y Alltop (34,9 %) y triplica el de FIT (9,9 %), su rival directo en zócalos [36]. La pregunta es cuánto margen recupera tras el salto de las materias primas: con el margen del 2T26 (31,8 %) el ROIC bajaría a unos 25 %, todavía muy por encima del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13.983 M TWD a 30-jun-2026, más 2.215 M de inversiones financieras líquidas (sobre todo acciones cotizadas a valor razonable): 16.198 M; deuda bancaria de 507 M y arrendamientos de 997 M [6, 8]. Del total, 3.927,8 M salieron en agosto para el dividendo de 35 TWD aprobado el 12-jun-2026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relevantes: la deuda bancaria es a corto plazo y se renueva (507 M a jun-26) [8]. Los bonos convertibles en circulación en 2025 (294,3 M) se han convertido o amortizado en el 1S26 [8]. Las provisiones no corrientes son de 107,2 M y los pasivos por pensiones de 43,0 M [1, 8]. Los pasivos por reembolso (626,7 M a dic-25) son rebajas pactadas con clientes que la empresa resta de las ventas, uno de los asuntos clave del auditor [1]. A 30-jun-2026 el pasivo corriente incluía el dividendo aprobado y pendiente de pago (3.927,8 M), que salió de la caja después del corte del balance [6, 12]. Sin garantías relevantes a terceros ni factoring.</w:t>
      </w:r>
    </w:p>
    <w:p>
      <w:pPr>
        <w:pStyle w:val="Heading1"/>
      </w:pPr>
      <w:r>
        <w:t xml:space="preserve">12. Asignación de capital</w:t>
      </w:r>
    </w:p>
    <w:p>
      <w:pPr>
        <w:pStyle w:val="Confianza"/>
        <w:spacing w:after="100"/>
      </w:pPr>
      <w:r>
        <w:t xml:space="preserve">Confianza: Alta</w:t>
      </w:r>
    </w:p>
    <w:p>
      <w:pPr>
        <w:spacing w:after="100"/>
      </w:pPr>
      <w:r>
        <w:t xml:space="preserve">Los estatutos fijan un reparto mínimo del 20 % del beneficio disponible, con al menos un 10 % en efectivo [12]; en la práctica reparte ≈ 50 %: 41,5 TWD con cargo a 2024 (pago de 4.670,2 M en 2025) y 35 TWD con cargo a 2025 (3.927,8 M, aprobado en la junta del 12-jun-2026 y pagado tras el ex-dividendo del 4-ago) [1, 12]. En 2025 compró 676,2 M de autocartera y vendió 324,9 M a empleados [1]. La prioridad declarada es financiar capacidad (Vietnam) e I+D; la caja sobrante se coloca en depósitos y en acciones cotizadas (TSMC) [9,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menor (combinación de negocios)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visible; sin fondo de comercio relevante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menor (combinación de negocios)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visible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de 35 M de nominal a 660 TWD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nuevas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Financió capacidad; dilución del 3,3 % [2].</w:t>
            </w:r>
          </w:p>
        </w:tc>
      </w:tr>
    </w:tbl>
    <w:p>
      <w:pPr>
        <w:spacing w:after="160" w:before="0"/>
      </w:pPr>
    </w:p>
    <w:p>
      <w:pPr>
        <w:spacing w:after="100"/>
      </w:pPr>
      <w:r>
        <w:t xml:space="preserve">Lotes crece sin compras: el negocio se ha construido con capacidad propia y la caja se reparte a medias entre dividendo e inversión. La dilución reciente (ampliación de 2023 y conversión de bonos en 2023-2024) subió las acciones de 106,2 M diluidas en 2021 a 112,3 M en 2025 (+5,7 %) [1, 4]. La inversión de 2025-2026 (≈ 15 % de las ventas) es la más alta de su historia y llega con el margen a la baja: es la decisión de capital que hay que vigilar [1,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 Te-Hsiang (朱德祥)</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(representa a Jiaming Investment) y director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desde que su vehículo entró en el consejo en octubre de 2004; dirige además la I+D. Con él las ventas pasaron de 15.089 M TWD en 2019 a 33.783 M en 2025 [1, 9, 23]. Participación: Jiaming Investment (8,71 %) y De-Chuang Investment (2,58 %), vehículos de los que es presidente, más acciones directas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 Te-Yu (何德佑)</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(presidente ejecutivo) y consejero (representa a Golden Grown)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Hermano del presidente; formado en moldes y matricería; preside las filiales de Guangzhou, Hengnan y Zhongshan [9]. Participación: Golden Grown (9,74 %) y Dunlin Investment (4,44 %) más 0,43 % directo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Tsai, Ming-Jui (蔡明叡)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de ventas y portavoz</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Portavoz en las conferencias con analistas; dio en agosto de 2026 la guía de margen bruto plano en el 3T26 [9,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Chu-Chen, Yi-Hui (朱陳一慧)</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adjunta, oficina de la presidencia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Esposa del presidente; supervisora de Jiaming Investment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Wu, Chia-Chi (吳嘉琪)</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Sustituyó a Liu, Hsin-Hsia en 2025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Feb-26: crecimiento de ≈ 10 % (analistas tras la conferencia) y margen bruto objetivo del 51 % [28]; jun-26: crecimiento de doble dígito y segundo semestre con margen mejor que el primero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enero-septiembre +17,5 % [7]; margen bruto del 1S26 del 47,5 % y guía de 3T26 igual al 2T26 (45,5 %)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Feb-26: capex de 2.500-3.000 M TWD [28]; jun-26: 5.000-6.000 M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1S26 de ≈ 3.131 M [29].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numérica pública en las fuentes accesibles.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+12,3 % y BPA −15 % por el tipo de cambio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fundador muy estable: los mismos dos hermanos dirigen desde hace más de veinte años y han llevado a la empresa al grupo de cabeza en zócalos de CPU con márgenes EBIT del 27-34 % en 2022-2025 [1, 23]. La credibilidad de la guía es media: no publica objetivos numéricos y lo que llega por la prensa ha cambiado este año (margen del 51 % en febrero, «segundo semestre mejor» en junio, margen plano en agosto; capex de 2.500-3.000 M en febrero y 5.000-6.000 M en junio) [10, 13, 28]. No hay plan de sucesión público; la presencia de familiares en la dirección (esposa del presidente) lo hace probable dentro de la familia [9].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Jiaming Investment Co. (representante: Chu, Te-Hsiang)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Golden Grown Co. (representante: Ho, Te-Yu)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Hsieh, Chia-Ying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 Cheng-Zhong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Jen-Chun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Chiang, I-Cheng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Wu, Chang-Hsiu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Hsieh, Chia-Ying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54,90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Golden Grown Co. (vehículo de Ho, Te-Yu)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elección de 2024 [9,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Jiaming Investment Co. (vehículo de Chu, Te-Hsiang)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elección de 2024 [9,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Dunlin Investment Co. (vinculada a Ho, Te-Yu)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12 meses [9,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pensiones laborales de Taiwán (nuevo)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Cathay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De-Chuang Investment (vinculada a Chu, Te-Hsiang)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12 meses [9,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pensiones de funcionarios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101.000 acciones a jun-26 tras vender a empleados la comprada en 2025 [29,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vicepresidentes adjuntos y la exresponsable financiera (ventas acumuladas entre enero y el 14-abr-2026)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Taiwán la remuneración no se vota cada año. Los estatutos limitan la de los consejeros al 3 % del beneficio y la de empleados sale de un porcentaje del beneficio fijado por el consejo [9]. En 2025 los trece directivos de primer nivel (consejero delegado, presidente como director de I+D y vicepresidentes) cobraron en conjunto 106,7 M TWD: 40,1 M de sueldo, 1,9 M de pensiones, 3,5 M de primas y 61,1 M de participación en beneficios en efectivo, el 1,34 % del beneficio neto [9]. Los cuatro consejeros no ejecutivos cobraron menos de 1 M TWD cada uno [9]. El variable depende del beneficio del año, no del ROIC ni del retorno al accionista, y no hay cláusulas de recuperación públicas. El informe solo da tramos, no la cifra individual del consejero delegado.</w:t>
      </w:r>
    </w:p>
    <w:p>
      <w:pPr>
        <w:pStyle w:val="Heading2"/>
      </w:pPr>
      <w:r>
        <w:t xml:space="preserve">Operaciones vinculadas, estructura de control y defensas</w:t>
      </w:r>
    </w:p>
    <w:p>
      <w:pPr>
        <w:spacing w:after="100"/>
      </w:pPr>
      <w:r>
        <w:t xml:space="preserve">La familia fundadora (los hermanos Chu y Ho) controla ≈ 25,9 % del capital a través de cuatro sociedades y nombra a los dos consejeros ejecutivos; con el capital disperso, decide de hecho la presidencia y la dirección [9, 32]. Una acción, un voto, sin clases ni blindajes estatutarios [9]. Tres de siete consejeros son independientes (42,9 %) y forman la comisión de auditoría [9]. No hay pignoraciones de acciones de los consejeros (OpenAPI de la TWSE, septiembre de 2026) [30]. Las operaciones vinculadas son menores: inversiones de la propia empresa en filiales como Lintes (participó en su ampliación de capital en agosto de 2026) [33].</w:t>
      </w:r>
    </w:p>
    <w:p>
      <w:pPr>
        <w:pStyle w:val="Heading2"/>
      </w:pPr>
      <w:r>
        <w:t xml:space="preserve">Señales de alerta</w:t>
      </w:r>
    </w:p>
    <w:p>
      <w:pPr>
        <w:pStyle w:val="ListParagraph"/>
        <w:numPr>
          <w:ilvl w:val="0"/>
          <w:numId w:val="2"/>
        </w:numPr>
        <w:spacing w:after="60"/>
      </w:pPr>
      <w:r>
        <w:t xml:space="preserve">Relevo de la responsable de contabilidad en 2025 (Liu, Hsin-Hsia por Wu, Chia-Chi), sin cambio de auditor [9].</w:t>
      </w:r>
    </w:p>
    <w:p>
      <w:pPr>
        <w:pStyle w:val="ListParagraph"/>
        <w:numPr>
          <w:ilvl w:val="0"/>
          <w:numId w:val="2"/>
        </w:numPr>
        <w:spacing w:after="60"/>
      </w:pPr>
      <w:r>
        <w:t xml:space="preserve">Ventas pequeñas de acciones de varios vicepresidentes adjuntos en enero-abril de 2026 (≈ 23.860 acciones, estimación propia ≈ 55 M TWD a 2.300 TWD); la familia no ha vendido [9,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de ventas. En la conferencia del 13-ago-2026 dijo que el margen bruto del 3T26 se quedaría como el del 2T26 (45,5 %) por el oro, el cobre y el plástico, ya sin inventario barato; que QD (conector de refrigeración líquida) y SO-CAMM ya están en producción y que las nuevas plataformas de Intel y AMD empiezan a crecer en el 4T26 y siguen en el 1S27 [10, 38]. Las ventas de enero-septiembre suman 28.835 M (+17,5 %)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StockAnalysis y Yahoo (7 analistas para el BPA)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vía StockAnalysis y Yahoo (16 analistas) [35, 36]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2.422,19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1.670,00 – 3.200,00</w:t>
            </w:r>
          </w:p>
        </w:tc>
      </w:tr>
    </w:tbl>
    <w:p>
      <w:pPr>
        <w:spacing w:after="160" w:before="0"/>
      </w:pPr>
    </w:p>
    <w:p>
      <w:pPr>
        <w:pStyle w:val="Heading2"/>
      </w:pPr>
      <w:r>
        <w:t xml:space="preserve">Revisiones de estimaciones</w:t>
      </w:r>
    </w:p>
    <w:p>
      <w:pPr>
        <w:spacing w:after="100"/>
      </w:pPr>
      <w:r>
        <w:t xml:space="preserve">A la baja en tres meses: el BPA de 2026 pasó de 95,96 hace 90 días a 80,13 y el de 2027 de 129,91 a 114,46 (−12 %), tras el recorte de margen del 2T26 [36]. La mediana de objetivos es 2.450 y el objetivo medio 2.422 (+34 % sobre 1.805) [35]. Para el 3T26 Yahoo espera un BPA de 19,57 con ventas de 10.028 M; las ventas del trimestre ya publicadas suman 9.939 M [36, 40].</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diez años Lotes ha dado un 40,8 % anual con dividendos, muy por encima del ETF 0050 (23,3 %) y de los semiconductores SOXX (31,1 %) [34]. Pero desde finales de 2024 va por detrás: −31,8 % en 2025 frente a +36,9 % del 0050, y +42,6 % en 2026 frente a +68,2 % [34]. El mercado le ha castigado dos cosas: el bache de ventas de PC y servidores de 2025 y la caída del margen bruto en 2026 (del 51 % al 45,5 % en un año) por el precio del oro y el cobre [10, 38]. La beta mensual de 5 años frente al 0050 es baja (0,64), pero la semanal es 1,05 y la de 2 años 1,14: la acción se mueve con el mercado más de lo que dice la mensual, y con una volatilidad del 60 % anual [34].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 / -2,7 % / -27,7 % / +19,0 %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 / +57,1 %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1.430 el 30-ene al máximo de 2.955 del 7-may (cierres de Yahoo): el mercado se fija en los zócalos de CPU por la IA agéntica, que pide más procesadores por servidor, y en los zócalos nuevos de AMD (SP7, Venice) e Intel (LGA9324) presentados para 2026-2027; ventas de abril +15,2 % y resultados del 1T26 con margen bruto del 49,6 % [22, 34,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2.955 (7-may) al mínimo de 1.510 (16-sep): el 5-jun la bolsa la pone en la lista de atención tras caer un 10,75 % en cinco sesiones; el 13-ago cae un 10 % (límite) tras la conferencia del 2T26, con el margen bruto en el 45,5 % (−5,5 puntos en un año), el beneficio operativo −19 % y la guía de un 3T26 igual de flojo en margen; las tecnológicas de PER alto de Taiwán corrigen a la vez [10, 34, 37, 38,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1.510 (16-sep) a 1.815 (19-oct), con un +9,7 % el 22-sep: ventas de agosto (+19,6 %) y septiembre (+16,1 %, la mayor del año, 3.357 M) y previsión de TrendForce del 14-oct de que el gasto de los grandes clientes de nube suba un 60 % en 2027 [21, 38, 40]. No hemos encontrado la noticia concreta del 22-sep ni otro hecho propio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por Yahoo); consenso de BPA de 19,57 con ventas de 10.028 M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3.357 M (+16,1 %); enero-septiembre 28.835 M (+17,5 %)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servidores ya pasan del 55 % de las ventas, pero el mercado duda del margen: el cambio de precios a las materias primas de hoy solo llega con las plataformas nuevas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ventas de 9.569 M (+14,8 %), margen bruto del 45,5 % y BPA de 17,67; guía de margen del 3T26 igual al del 2T26; la acción cae un 10 %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aprueba suscribir la ampliación de capital en efectivo de su filial Lintes (嘉基, 6715). Es una inversión de Lotes en su filial, no una emisión de acciones de Lotes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dividendo de 35 TWD por acción (3.928 M en total)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bolsa la incluye en la lista de valores en atención tras caer un 10,75 % en cinco sesiones (cierre de 2.365, PER de 33x)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36,3 % por debajo del máximo de mayo y un 5,9 % por debajo de su media de 200 sesiones, aunque ha rebotado un 19,4 % en un mes [34]. La caída de junio-agosto tiene causa conocida y ya está en las cuentas que usamos: el margen bruto del 2T26 (45,5 %) y la guía de un 3T26 igual [10]. No hay hecho pendiente con fecha que pueda mover el precio más de un 5 % en contra fuera del propio negocio: ni colocaciones de Lotes (la ampliación de agosto es de su filial Lintes y Lotes pone el dinero), ni bonos convertibles propios, ni pleitos, ni salida de índices conocida [33]. Los resultados del 9-nov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cierre de cada año y el BPA diluido real del año siguiente, Lotes cotizó casi siempre entre 10x y 16x el beneficio que venía (2017-2023) [1, A1-A4]. La excepción es 2024: a 27,9x porque el mercado pagó en diciembre el auge de la IA y el BPA de 2025 cayó un 15 % (el resultado financiero pasó de +1.624 M a −154 M por la divisa) [1]. Los cierres anteriores a 2023 son los de Yahoo ajustados por ampliaciones; los de 2023-2025 coinciden con los del día. Hoy cotiza a 22,0x el BPA de doce meses (82,18) y a 15,8x el BPA de consenso de 2027 (114,46) [36]. Lo que ha cambiado: los servidores han pasado del 25 % al 55 % de las ventas y el margen operativo del 20 % al 30 % en 2024, ya bajando al 22 % en el 2T26 [1, 4].</w:t>
      </w:r>
    </w:p>
    <w:p>
      <w:pPr>
        <w:pStyle w:val="Heading1"/>
      </w:pPr>
      <w:r>
        <w:t xml:space="preserve">18. Comparables cotizados</w:t>
      </w:r>
    </w:p>
    <w:p>
      <w:pPr>
        <w:pStyle w:val="Confianza"/>
        <w:spacing w:after="100"/>
      </w:pPr>
      <w:r>
        <w:t xml:space="preserve">Confianza: Media</w:t>
      </w:r>
    </w:p>
    <w:p>
      <w:pPr>
        <w:spacing w:after="100"/>
      </w:pPr>
      <w:r>
        <w:t xml:space="preserve">Fabricantes de conectores y cables de interconexión con clientes de servidores y PC: Amphenol y TE (los dos grandes del mundo), Foxconn Interconnect (FIT, el rival directo en zócalos de CPU; cotiza en Hong Kong), Hirose y JAE (conectores japoneses de margen alto), BizLink, Sinbon y Aces (cables y conectores taiwaneses de servidores), Alltop (conectores de servidor, Taiwán) y Luxshare (gran ensamblador chino de conectores y cables). Ninguno es un fabricante puro de zócalos. Estimaciones de Yahoo a 20-oct-2026; PER de los próximos 12 meses = 0,2 × 2026e + 0,8 × 2027e (TE: ejercicio a septiembre, solo 2027; japonesas: 0,45 × mar-27 + 0,55 × mar-28). Divisas a 20-oct: 32,638 TWD por dólar, 4,164 por HKD, 0,204 por yen, 4,893 por yuan.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Amphenol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6.361.473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 Connectivity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Foxconn Interconnect (FIT Hon Teng)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Hirose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Japan Aviation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BizLink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Alltop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Sinbon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Luxshare Precision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Aces Electronic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15,0x / 21,2x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 / 17,1x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2,7x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r>
    </w:tbl>
    <w:p>
      <w:pPr>
        <w:spacing w:after="160" w:before="0"/>
      </w:pPr>
    </w:p>
    <w:p>
      <w:pPr>
        <w:spacing w:after="100"/>
      </w:pPr>
      <w:r>
        <w:t xml:space="preserve">La mediana del PER de los próximos doce meses del grupo es 17,1x; Lotes cotiza a unas 16-17x el BPA de 2026-2027 de consenso, en la mediana, con un margen EBITDA (36 % en doce meses) igual o mayor que el de los mejores (Amphenol 32,6 %, Alltop 34,9 %) y caja neta [3, A1]. Amphenol cotiza con prima (24,7x) por tamaño y crecimiento del 42 %; FIT, el rival directo en zócalos, a 10,9x con un margen de la cuarta parte. La mediana lleva el optimismo del ciclo de la IA igual que Lotes: casi todos venden a centros de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Connectivity and Cable Solutions de CommScope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Amphenol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por la división de cables y conectores de fibra para centros de datos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Richards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 Connectivity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75.067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USD; conectores para redes eléctricas, negocio distinto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Carlisle Interconnect Technologies (CIT)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M USD; conectores y cables para aviación y defensa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(11,2x – 13,8x)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1.389,38 – 1.691,56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No hay compras de fabricantes de zócalos de CPU con múltiplo publicado. Las tres compras recientes de conectores por los dos grandes se pagaron a 11-16 veces el EBITDA y a 2-6 veces las ventas. Sirven de referencia de lo que paga un comprador estratégico por un negocio de conectores, pero no por uno como Lotes, que depende de dos diseñadores de CPU y tiene accionistas de control que no venden.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39.189 M (+16,0 %): enero-septiembre oficial de 28.835 M (+17,5 %) [40] más un 4T26 de unos 10.350 M (≈ 3.450 M al mes, con septiembre en 3.357 M y el arranque pequeño de Venice). 2027e +20 %: la empresa espera que las nuevas plataformas de Intel (Oak Stream) y AMD (Venice, SP7) crezcan desde el 4T26 y sigan en el 1S27, con QD y SO-CAMM ya en producción [10, 15]; TrendForce espera que la inversión de los grandes proveedores de nube suba un 60 % en 2027 [21]. El consenso espera +26 % [35]; nos quedamos por debajo porque sobremesa cae (−42 % interanual en el 2T26 por falta de componentes) y portátiles no crece [10]. 2028e +10 %, 2029e −8 % (digestión del ciclo de servidores, como 2023: −9,7 % [3]) y después 5, 5, 4,5, 4, 3,5 y 3 %, en línea con el 7 % anual previsto para el mercado de zócalos [19].</w:t>
      </w:r>
    </w:p>
    <w:p>
      <w:pPr>
        <w:keepNext/>
        <w:spacing w:after="100"/>
      </w:pPr>
      <w:r>
        <w:rPr>
          <w:b/>
          <w:bCs/>
        </w:rPr>
        <w:t xml:space="preserve">Márgenes.</w:t>
      </w:r>
    </w:p>
    <w:p>
      <w:pPr>
        <w:spacing w:after="100"/>
      </w:pPr>
      <w:r>
        <w:t xml:space="preserve">Margen EBITDA del 34,0 % en 2026e: 34,4 % en el 1S26 y un 3T26 con el margen bruto igual que el del 2T26 (45,5 %) según la empresa [10]. Sube al 36 % en 2027e y al 37 % en 2028e porque las plataformas nuevas se venden con el precio de las materias primas de hoy y Venice cuesta al menos un 15 % más que el SP5 [11, 15]; no volvemos al 41,6 % de 2024 porque el cobre, el oro y el plástico ya son ≈ 65 % del coste de ventas y la dirección no sabe si 2027 recuperará el margen de antes [15, 16]. Cae al 34 % en 2029e y se queda en el 35 % desde 2030e, cerca de la media de 2021-2025 (36,3 %) [1, 2, 3, 4].</w:t>
      </w:r>
    </w:p>
    <w:p>
      <w:pPr>
        <w:keepNext/>
        <w:spacing w:after="100"/>
      </w:pPr>
      <w:r>
        <w:rPr>
          <w:b/>
          <w:bCs/>
        </w:rPr>
        <w:t xml:space="preserve">Inversión y circulante.</w:t>
      </w:r>
    </w:p>
    <w:p>
      <w:pPr>
        <w:spacing w:after="100"/>
      </w:pPr>
      <w:r>
        <w:t xml:space="preserve">Capex del 14 % de las ventas en 2026e (5.500 M: la empresa guía 5.000-6.000 M y el 1S26 llevó 3.131 M) [10], del 12 % y el 10 % en 2027e-2028e (Vietnam, zócalos de más de 10.000 contactos, QD) y del 8,5 % desde 2030e, por encima de una amortización que baja del 9 % al 8 % de las ventas (7,7 % en 2025; 9,0 % en el 1S26) [1, 6]. Circulante comercial del 44 % de las ventas: 44,0 % a final de 2025 y 40-47 % en 2021-2024, con clientes a unos 150 días [1, 2, 3, 4]. Tipo impositivo del 22 % (21,4 % en el 1S26; 22,0 % en 2025) [1, 6].</w:t>
      </w:r>
    </w:p>
    <w:p>
      <w:pPr>
        <w:keepNext/>
        <w:spacing w:after="100"/>
      </w:pPr>
      <w:r>
        <w:rPr>
          <w:b/>
          <w:bCs/>
        </w:rPr>
        <w:t xml:space="preserve">Coste del capital.</w:t>
      </w:r>
    </w:p>
    <w:p>
      <w:pPr>
        <w:spacing w:after="100"/>
      </w:pPr>
      <w:r>
        <w:t xml:space="preserve">Tasa libre: bono de Taiwán a 10 años al 2,03 % (20-oct-2026) [42]. Beta de 1,10: la mensual de 5 años frente al ETF 0050 es 0,64, pero la semanal de 5 años es 1,05 y la de 2 años 1,14 [34]; el 0050 pesa mucho TSMC y la beta mensual subestima el riesgo de un fabricante de componentes con una volatilidad del 60 %. Prima de mercado del 5,5 % y 1,5 puntos adicionales: la producción está en China continental salvo el 17 % que ya se hace en Vietnam, y la sede en Taiwán, con riesgo de aranceles, controles de exportación y geopolítica del estrecho [9, 13]. Sin deuda relevante: WACC del 9,58 %. Con la prima implícita del mercado (4,2 %) el motor da un WACC del 8,15 % [48].</w:t>
      </w:r>
    </w:p>
    <w:p>
      <w:pPr>
        <w:keepNext/>
        <w:spacing w:after="100"/>
      </w:pPr>
      <w:r>
        <w:rPr>
          <w:b/>
          <w:bCs/>
        </w:rPr>
        <w:t xml:space="preserve">Valor terminal.</w:t>
      </w:r>
    </w:p>
    <w:p>
      <w:pPr>
        <w:spacing w:after="100"/>
      </w:pPr>
      <w:r>
        <w:t xml:space="preserve">Gordon con un 1,5 % de crecimiento, entre la inflación esperada de Taiwán (≈ 1,5-2 %) y la tasa libre menos medio punto (1,53 %). Implica 6,9x el EBITDA terminal: poco frente a las 13-22x de los comparables de hoy y las 11-16x de las compras recientes de conectores [26, 36, 44, 45], porque el negocio necesita invertir el 8,5 % de las ventas y un circulante del 44 %. Con el múltiplo de salida de 10x el valor terminal sería un 45 % mayor. El valor terminal pesa el 52 %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1.365,40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15.483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(reinvierte el 56 %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(histórico: 54,4 %)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frente al 6,3 %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15.483 M, el 14 % del NOPAT, con un capex bruto medio del 9,5 %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hay nueve meses publicados (+17,5 %) [40]. Volumen: servidores +65-75 % interanual en el 1S26 y ya el 55,4 % de las ventas; sobremesa −42 % en el 2T26 [10, 24]. Precio: zócalos de más contactos y primeros QD. Otros: el dólar.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Venice y Oak Stream a volumen en el 1S27, SO-CAMM y QD (2-3 % de las ventas) [10, 15]; PC planos. Precio +8 % por mezcla: el SP7 cuesta al menos un 15 % más que el SP5 y los zócalos de Intel de 9.324 contactos más que los actuales [11,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y precio +3 %: la inversión de los proveedores de nube se modera tras +106 % en 2026 y +60 % en 2027 [21]; plataformas de Intel y AMD ya en su segundo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Digestión del ciclo de servidores, como 2023 (−9,7 % de ventas y −20 % en servidores tras el exceso de inventario de 2022) [3]: volumen −6 %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generación de zócalos y renovación de PC: volumen +4 % y precio +1 %.</w:t>
            </w:r>
          </w:p>
        </w:tc>
      </w:tr>
    </w:tbl>
    <w:p>
      <w:pPr>
        <w:spacing w:after="160" w:before="0"/>
      </w:pPr>
    </w:p>
    <w:p>
      <w:pPr>
        <w:spacing w:after="100"/>
      </w:pPr>
      <w:r>
        <w:t xml:space="preserve">Sí. El ROIC de 2025 es del 31,2 % y el incremental de 2021-2025 del 54,4 %, frente a un WACC del 9,58 %; con la reinversión bruta que proyectamos (capex y circulante, el 56 % del NOPAT) el ROIC actual financiaría un crecimiento del 17,5 % anual, casi el triple del 6,3 % medio de la proyección, que además supone un rendimiento de la reinversión de solo el 7,8 %. El crecimiento proyectado (6,3 %) es la mitad del histórico (12,1 % de TCAC). El riesgo no está en la capacidad de financiarlo sino en la cuota: Lotes es una de las tres primeras en zócalos de CPU y cada plataforma nueva de Intel y AMD se vuelve a homologar [9, 11]. No hay tamaño publicado del mercado de conectores informáticos, así que la prueba de cuota se hace a mano: con el mercado de conectores creciendo un 7 % anual [19, 20], nuestras ventas de 2035e (≈ 61.000 M) serían ≈ 1,1 % de ese mercado, la misma cuota que hoy.</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9,6 %)</w:t>
            </w:r>
          </w:p>
        </w:tc>
      </w:tr>
    </w:tbl>
    <w:p>
      <w:pPr>
        <w:spacing w:after="160" w:before="0"/>
      </w:pPr>
    </w:p>
    <w:p>
      <w:pPr>
        <w:spacing w:after="100"/>
      </w:pPr>
      <w:r>
        <w:t xml:space="preserve">El DCF da 1.162,61 TWD por acción, un 35,6 % por debajo del precio, con el valor terminal en el 52 % del valor y un WACC del 9,58 %; con la prima implícita del mercado sube a 1.403,38. El DCF inverso explica la distancia: para justificar 1.805 TWD las ventas tendrían que crecer un 15,8 % anual en 2027-2035 frente al 5,2 % de nuestro base, o el margen EBITDA llegar al 49,4 % con nuestro crecimiento, cuando el máximo histórico es el 41,6 % de 2024. La rentabilidad anual implícita en el precio con nuestras cifras es del 6,6 %, por debajo del WACC (9,58 %) y del que pide el mercado (8,15 %). El DCF castiga dos rasgos del negocio: un circulante del 44 % de las ventas (clientes a 150 días) y un capex que supera la amortización, que dejan un flujo libre de solo el 44 % del beneficio en 2025 y el 19 % en los doce meses a junio [1, 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proveedores de nube frenan su inversión en 2027 y los ensambladores reducen inventario, como en 2023; Venice y Oak Stream se retrasan y el cobre y el oro siguen caros. Las ventas de 2027 crecen solo un 6 % y caen un 2 % en 2028, con el margen EBITDA en el 32 %: el BPA se queda en unos 70 TWD dos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plataformas de Intel y AMD tiran de las ventas en 2027 (+20 %) y 2028 (+10 %), el margen se recupera poco a poco hasta el 37 % con precios nuevos, y en 2029 llega una digestión del ciclo de servidores. Después el negocio crece con el mercado de zócalos.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inversión en IA sigue al ritmo de TrendForce, la IA agéntica dispara el número de CPU por servidor y Lotes gana cuota en Venice y en un zócalo Arm para un proveedor de nube: ventas +28 % en 2027 y +16 % en 2028 con el margen EBITDA en el 38-39 %, cerca del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TWD) · precio actual 1.8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1.139,73 TWD (-36,9 %).</w:t>
      </w:r>
    </w:p>
    <w:p>
      <w:pPr>
        <w:spacing w:after="100"/>
      </w:pPr>
      <w:r>
        <w:t xml:space="preserve">Los tres escenarios del DCF quedan por debajo del precio: el bajista vale 816,11 TWD (−54,8 %) y el alcista 1.417,61 (−21,5 %); con la prima del mercado el alcista sube a 1.723,55. La asimetría es de −0,39x. A 12 meses la cuenta es más equilibrada porque el mercado paga hoy 19,7x nuestro BPA de 2027e: el alcista daría 2.270,52 (+27,7 %) y el bajista 910,39 (−47,6 %).</w:t>
      </w:r>
    </w:p>
    <w:p>
      <w:pPr>
        <w:pStyle w:val="Heading1"/>
      </w:pPr>
      <w:r>
        <w:t xml:space="preserve">22. Suma de partes</w:t>
      </w:r>
    </w:p>
    <w:p>
      <w:pPr>
        <w:pStyle w:val="Confianza"/>
        <w:spacing w:after="100"/>
      </w:pPr>
      <w:r>
        <w:t xml:space="preserve">Confianza: Media</w:t>
      </w:r>
    </w:p>
    <w:p>
      <w:pPr>
        <w:spacing w:after="100"/>
      </w:pPr>
      <w:r>
        <w:t xml:space="preserve">Lotes publica sus ventas por línea de producto (servidores, PC de sobremesa, portátiles, productos estratégicos, Lintes, automoción), pero no el resultado de cada una. La filial cotizada Lintes (6715, cables de alta velocidad) fue el 4,4 % de las ventas de 2025 y consolida; sus minoritarios ya van en el puente a valor contable. Una suma de partes no tendría cifras propias en que apoyarse.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TWD) · precio actual 1.8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1.359,43 TWD (-24,7 % sobre 1.805,00).</w:t>
      </w:r>
    </w:p>
    <w:p>
      <w:pPr>
        <w:spacing w:after="100"/>
      </w:pPr>
      <w:r>
        <w:t xml:space="preserve">Pesamos el DCF un 40 %, los escenarios un 30 % y los comparables un 30 %; las transacciones (1.392,28) se dan como contraste y no pesan, porque ninguna es de zócalos. Los comparables son el método que más se acerca al precio (PER de 17,1x de mediana: 1.841,54 TWD), pero venden al mismo ciclo de centros de datos y heredan su optimismo; el EV/EBITDA da 1.828,12 y el EV/ventas solo 977,83, porque Lotes tiene un margen mayor que la mediana. El DCF (1.162,61) y los escenarios (1.139,73) pesan más porque recogen lo que el múltiplo no ve: un negocio que necesita mucho circulante y capex y un ciclo de servidores que ya tuvo un bache en 2023. El valor objetivo de la síntesis es de 1.359,43 TWD (−24,7 %).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(19.7x) a mitad de camino hacia abajo, hacia la mediana de 5 años (16.4x)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spacing w:after="100"/>
      </w:pPr>
      <w:r>
        <w:rPr>
          <w:b/>
          <w:bCs/>
        </w:rPr>
        <w:t xml:space="preserve">Objetivo a 12 meses (ponderado):</w:t>
      </w:r>
      <w:r>
        <w:t xml:space="preserve"> 1.745,00 TWD · rentabilidad -1,4 % (base +7,2 %) · señal Mantener.</w:t>
      </w:r>
    </w:p>
    <w:p>
      <w:pPr>
        <w:spacing w:after="100"/>
      </w:pPr>
      <w:r>
        <w:t xml:space="preserve">Para comparar, con la regla v2 (historia al cierre, mismo precio): 14,2x / 19,7x / 19,7x, 7,7 %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(75,91) queda un 5,3 % por debajo del consenso (80,13) y el de 2027e (91,79) un 19,8 % por debajo (114,46) [35]. En ventas la diferencia es pequeña (−0,4 % en 2026 y −5,3 % en 2027): la diferencia es de margen. El consenso supone un beneficio neto de unos 12.900 M en 2027, un 26 % de las ventas, como el de 2024 con sus ganancias de cambio; nosotros, un 22 %, como el 23,3 % de 2025 y el 21,8 % de nuestro 2026e. No acercamos la cifra porque el consenso viene recortando (BPA de 2027 de 129,91 hace 90 días a 114,46) y la empresa no sabe si recuperará el margen [15, 36]. Nuestro base a 12 meses (1.899,54) queda un 21,6 % por debajo del objetivo medio de los analistas (2.422,19), que está dentro de nuestro rango (910,39-2.270,52) por arriba.</w:t>
      </w:r>
    </w:p>
    <w:p>
      <w:pPr>
        <w:keepNext/>
        <w:spacing w:after="100"/>
      </w:pPr>
      <w:r>
        <w:rPr>
          <w:b/>
          <w:bCs/>
        </w:rPr>
        <w:t xml:space="preserve">Del valor intrínseco al objetivo a 12 meses.</w:t>
      </w:r>
    </w:p>
    <w:p>
      <w:pPr>
        <w:spacing w:after="100"/>
      </w:pPr>
      <w:r>
        <w:t xml:space="preserve">El objetivo ponderado a 12 meses es de 1.745,00 TWD (−1,4 % con dividendo) y el del base de 1.899,54 (+7,2 %): la regla da Mantener. El valor intrínseco (1.359,43) está un 22 % por debajo del objetivo a 12 meses: el mercado paga 19,7x nuestro BPA de 2027e, por encima de su mediana adelantada de cinco años (16,4x), y la regla solo lo modera a 18,0x. El BPA base crece un 14,6 % anual de 2025 (70,06) a 2028e (105,53); sin la pérdida de cambio de 946 M de 2025, un 11,3 % anual. Para llegar a Comprar haría falta un precio por debajo de 1.359,43 (el valor intrínseco), o que el BPA de 2028 se acercara a 125 (consenso implícito) con el margen recuperado. Con cualquier versión del múltiplo, el valor intrínseco sigue por debajo del precio, así que la regla no puede dar Comprar a 1.805.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conferencia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con las ventas de 9.939 M; consenso de BPA de 19,57 [36]; lo importante es la guía de margen del 4T26 y el calendario de Venice y Oak Stream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octubre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4T26; por encima de 3.600 M el 4T26 superaría nuestro supuesto de 10.350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Venice (AMD, SP7) a volumen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 volumen en el 4T26 y volumen a principios de 2027; zócalo con más contactos y al menos un 15 % más caro [10,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Stream de Intel (Diamond Rapids, LGA9324)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plataforma nueva de servidores; un retraso de Intel aplazaría parte del crecimiento de 2027 [15,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reparto del 50 %, unos 38 TWD por acción (2,1 %)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Guías de inversión de los grandes proveedores de nube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 espera +60 % [21]; un recorte cambiaría el ciclo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del ciclo de inversión en servidores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sobre el DCF base (bajista: 816,11); −47,6 % a 12 meses (910,39)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14.694 M y producto necesario en cualquier servidor, no solo en los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por debajo de 3.000 M dos meses o recorte de la inversión de los proveedores de nube para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 (cobre, oro, plástico) sin repercutir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EBITDA ≈ −4 % del DCF y −3 % del BPA de 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nuevos se fijan con el precio de la materia prima de hoy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44 %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Intel y AMD (un zócalo nuevo en cada 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Perder una plataforma de servidores: −10 a −15 % de ventas durante 3-4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Homologada con los dos durante décadas, I+D del 10,4 % de las ventas y más de 4.000 patentes [1,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menor en Venice u Oak Stream, o retraso de esas plataformas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(ensambladores por encargo)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Primer cliente 8,31 % de las ventas; los tres primeros, 21,7 %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pasa del 10 % y la elección del zócalo la hacen Intel, AMD y los proveedores de nube, no el ensamblador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por encima del 15 % o caída de ventas sin causa de plataforma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FIT (Foxconn), TE, Amphenol y Molex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puntos de cuota en zócalos de servidor ≈ −5 %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 tiene un margen de la cuarta parte; Amphenol y TE compiten sobre todo en alta velocidad y cables, no en zócalos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precio en una plataforma nueva o pérdida de un zócalo de servidor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Fábricas en China y geopolítica de Taiwán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Aranceles de EE. UU. sobre lo hecho en China: −2 a −4 puntos de margen; bloqueo del estrecho: pérdida grave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Vietnam ya es el 17 % de la producción y será ≈ 20 % a final de 2026 [13]; la facturación «a China» es donde se ensambla, no consumo chino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o controles de exportación sobre componentes hechos en China; escalada en el estrecho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taiwanés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Diferencias de cambio de −946 M en 2025 (−12 % del beneficio)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yuanes y dongs, no en TWD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USD/TWD por debajo de 30 (hoy 32,6) [43]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Uso de la caja (acciones de TSMC) y gobierno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Volatilidad del resultado financiero (+531 M en el 2T26)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Reparte ≈ 50 % del beneficio y los fundadores tienen un 26 % [9,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acciones por encima del 20 % de la caja</w:t>
            </w:r>
          </w:p>
        </w:tc>
      </w:tr>
    </w:tbl>
    <w:p>
      <w:pPr>
        <w:spacing w:after="160" w:before="0"/>
      </w:pPr>
    </w:p>
    <w:p>
      <w:pPr>
        <w:pStyle w:val="Heading2"/>
      </w:pPr>
      <w:r>
        <w:t xml:space="preserve">Pre-mortem</w:t>
      </w:r>
    </w:p>
    <w:p>
      <w:pPr>
        <w:spacing w:after="100"/>
      </w:pPr>
      <w:r>
        <w:t xml:space="preserve">Es octubre de 2028 y la acción vale 1.100 TWD, un 40 % menos. Lo que pasó: Venice y Oak Stream llegaron a tiempo y 2027 creció un 15 %, pero el margen no volvió: el cobre y el oro siguieron caros y FIT, para recuperar cuota en Oak Stream, bajó precios. En 2028 los grandes proveedores de nube, con los centros de datos sin electricidad suficiente, frenaron su inversión y los ensambladores redujeron inventario, como en 2023; a la vez, más racks de IA usaron CPU Arm soldadas a la placa (Grace, Vera, procesadores propios de los proveedores de nube), con menos zócalos por servidor. Las ventas de 2028 cayeron un 8 % y el margen EBITDA bajó al 31 %; el BPA volvió a 70 y el mercado pagó 15x. Los indicadores que lo anticipaban: el margen bruto, que no pasó del 46 % en el 4T26; la cuota de Lotes en Oak Stream; y el peso de las CPU soldadas en los racks de IA.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 el alcista vale +22 % sobre el base y el bajista −30 % (DCF); a 12 meses, +27,7 % y −47,6 %</w:t>
      </w:r>
    </w:p>
    <w:p>
      <w:pPr>
        <w:spacing w:after="100"/>
      </w:pPr>
      <w:r>
        <w:t xml:space="preserve">La IA impulsa hoy el negocio: los servidores pasaron del 39,6 % de las ventas en 2025 al 55,4 % en el 2T26, con crecimientos del 65-75 % interanual, y la IA agéntica pide más CPU por servidor [10, 24]. La amenaza no es que la IA haga innecesario el zócalo, sino de diseño: los aceleradores de IA van soldados y los racks más densos (Nvidia Grace o Vera, procesadores Arm propios de los proveedores de nube) suelen soldar también la CPU, con menos zócalos por servidor; Lotes responde desarrollando un zócalo Arm con un proveedor de nube [24]. El resto del riesgo es de ciclo: si los proveedores de nube frenan su inversión (957.000 M USD en 2026, +106 % [21]), Lotes pierde volumen. Veredicto de riesgo de IA: impulsa, con riesgo medio de sustitución por CPU soldadas y alto de ciclo. Qué vigilar: el peso de servidores en las ventas (umbral: por debajo del 45 %) y la cuota de CPU con zócalo en los racks de IA.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es dónde se fabrica: la producción está en China continental salvo el 17 % de Vietnam, con 15.499 empleados, dos tercios operarios, y Vietnam crece por los aranceles y los controles de exportación [9, 13]. Le siguen el galvanizado (oro y otros metales), con riesgo de vertidos y de coste, y el gobierno: empresa de fundadores, con un presidente ejecutivo y su hermano como consejero delegado. No hemos leído el informe de sostenibilidad (MOPS bloqueado) ni encontrado datos de emisiones en las fuentes accesibles.</w:t>
      </w:r>
    </w:p>
    <w:p>
      <w:pPr>
        <w:pStyle w:val="Heading2"/>
      </w:pPr>
      <w:r>
        <w:t xml:space="preserve">Controversias</w:t>
      </w:r>
    </w:p>
    <w:p>
      <w:pPr>
        <w:spacing w:after="100"/>
      </w:pPr>
      <w:r>
        <w:t xml:space="preserve">No hemos encontrado sanciones, litigios en contra ni incidentes ambientales o laborales en los últimos tres años en la prensa leída. La empresa publicó en diciembre de 2023 una aclaración sobre una noticia de prensa [27].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del 4T26 y de 2027 serán productos nuevos con el precio de la materia prima de hoy, y con qué margen bruto?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con el consenso (−20 % de BPA en 2027) es casi toda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tiene Lotes en los zócalos de Venice y de Oak Stream frente a FIT y 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plataforma se homologa de nuevo y fija las ventas de servidores para 3-4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CPU soldadas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zócalos lleva un rack de IA con CPU x86 frente a uno con Grace/Vera o Arm propio, y cuándo saldrá el zócalo Arm con el proveedor de nube?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sustitución de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clientes pagan a unos 150 días y se puede acortar?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del 44 % de las ventas se come la mitad del beneficio en flujo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política de inversión de la caja en acciones cotizadas (TSMC) y su límite?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Añade volatilidad al beneficio y no es el negocio.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cubre el dólar con casi todas las ventas en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diferencias de cambio movieron el BPA de 2025 un 15 %.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Lotes compra acciones de TSMC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315 lotes de TSMC con la caja se lee como mala señal: «no hace su negocio y especula en bolsa», «empresa de futuro oscuro», «más le vale ser accionista que empleado» [14].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ventas de abril (+15,2 %)</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«tema de CPU» y que el precio «no recoge el aumento de CPU por servidor»; otros se quejan de que la acción «se mueve mucho» («超洗») y de que las ventas, +15 %, son «normales» para lo que ha subido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CMoney (股市爆料同學會): indicador de opinión de los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indicador de opinión de los usuarios marca 56, «optimista», a 14-oct; no se pueden leer los mensajes sin conectarse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 de CPU para servidores de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los servidores pasaron del 39,6 % de las ventas en 2025 al 55,4 % en el 2T26 y las nuevas plataformas de Intel y AMD empiezan en el 4T26 [10, 38]. Pero el foro mira las ventas y no el margen, que es lo que ha bajado el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 compra de acciones de TSMC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fue pequeña frente a la caja (unos 380 M TWD frente a más de 16.000 M) y en el 2T26 dio una ganancia de 531 M [8, 14]. Es una inversión financiera, no un cambio de negocio; sí añade volatilidad al resultado financiero, que ya mueve el dólar.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Las ventas no justifican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 que pasó después: la acción perdió un 49 % del máximo de mayo al mínimo de septiembre cuando bajó el margen [34]. Las ventas siguen creciendo un 16-20 % al año, pero el beneficio de 2026 crece mucho menos.</w:t>
            </w:r>
          </w:p>
        </w:tc>
      </w:tr>
    </w:tbl>
    <w:p>
      <w:pPr>
        <w:spacing w:after="160" w:before="0"/>
      </w:pPr>
    </w:p>
    <w:p>
      <w:pPr>
        <w:spacing w:after="100"/>
      </w:pPr>
      <w:r>
        <w:t xml:space="preserve">El debate minorista sobre Lotes es pequeño y de primavera: entusiasmo por el tema de los zócalos de CPU y escepticismo por la volatilidad y el uso de la caja. Ningún hilo encontrado discute el margen, que es lo que de verdad ha movido la acción desde junio. El indicador de CMoney (56, optimista) apunta a una mejora con el rebote de septiembre-octubre. Pesa poco en el precio, que mueven los fondos (63 % del capital flotante en manos institucionales, según Yahoo) [36]. Señal de riesgo bajo: ni euforia ni pánico.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48 (16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44,0 % frente a 44,0 % real: genera una variación de circulante de 2.364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(apartado de honorarios y cambio de auditor: «None»); 2) cuentas de 2019-2025 de la web (todas KPMG); 3) MOPS, bloqueado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(KPMG al menos desde 2019, dicho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préstamos de las cuentas de 2025; 2) balance del 2T26 (OpenAPI); 3) StockAnalysis: solo deuda a corto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(deuda a corto, sin vida media relevante)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puesto de Lotes según Bishop); 2) Intel Market Research y otros estudios de zócalos (sin cuotas fiables); 3) búsqueda de cuotas de Bishop (informe de pago, TTI da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web de la empresa (sostenibilidad); 3) búsqueda de calificaciones MSCI/Sustainalytics de Lotes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tablas de remuneración (solo tramos y total de 13 directivos); 2) manual de la junta de 2026; 3) MOPS, bloqueado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(total de directivos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voto_cupula_pct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 de la junta de 2026 (sin elección de consejeros: la última fue en 2024); 2) acta de 2024 en la web (no leída en inglés); 3) MOPS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(registro de operaciones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(declaraciones de transmisión), bloqueado desde la nube; 2) OpenAPI t187ap11_L: participaciones de la familia iguales a las de la elección de 2024 y sin pignoraciones; 3) informe anual: cambios hasta el 14-abr-2026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(ventas menores de directivos hasta abril; de mayo a septiembre solo consta que la familia no ha cambiado su participación)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TWSE OpenAPI: sin saldo de cortos por valor en los conjuntos abiertos probados; 2) Yahoo: sin dato para Taiwán; 3) MOPS: bloqueado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StockAnalysis: 2028 solo de pago; 2) Yahoo: solo 2026-2027; 3) MarketScreener: la búsqueda no devuelve la página de Lotes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doce meses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series históricas de EV; 2) StockAnalysis: solo EV/EBITDA de doce meses pasados; 3) cuentas: sin estimaciones de la época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de junio-octubre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PTT Stock: último hilo de mayo de 2026; 2) CMoney: mensajes solo con usuario; 3) Reddit y Stocktwits: sin hilos de 3533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en MOPS: bloqueado desde la nube; 2) web de la empresa: sin calificaciones publicadas; 3) MSCI y Sustainalytics: sin calificación pública abierta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嘉澤端子工業 114年度合併財務報告 (cuentas consolidadas auditadas 2025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Lotes Co., Ltd. / KPMG Taiwan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https://www.lotes.cc/data/finance/file/114Q4_嘉澤合併_完稿財報.pdf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2024 and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Lotes Co., Ltd. / KPMG Taiwan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https://www.lotes.cc/data/finance/file/E-113Q4(合併).pdf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2023 and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Co., Ltd. / KPMG Taiwan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https://www.lotes.cc/data/finance/file/英文版112Q4(合併)(1).pdf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2022 and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Co., Ltd. / KPMG Taiwan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https://www.lotes.cc/data/finance/file/(E)111Q4_嘉澤合併_完稿財報(1).pdf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 2026Q1 合併財務報告 (cuentas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https://www.lotes.cc/data/finance/file/嘉澤2026Q1財報上傳版_20260515.pdf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 la Bolsa de Taiwán: cuenta y balance del 2T26 (t187ap06_L_ci, t187ap07_L_ci, t187ap14_L) y ventas de septiembre (t187ap05_L)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https://openapi.twse.com.tw/v1/opendata/t187ap06_L_ci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Sales (ventas mensuales 2017-2026)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https://www.lotes.cc/en/investor.php?act=finance_month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(TPE:3533): estados trimestrales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https://stockanalysis.com/quote/tpe/3533/financials/?p=quarterly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https://www.lotes.cc/data/shareholder/file/1781482765909485553.pdf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〈嘉澤法說〉嘉澤估Q3毛利率持平上季 樂觀看好新平台、新產品放量效益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Anue / UAnalyze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https://uanalyze.com.tw/articles/5813753340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【嘉澤法說會重點內容備忘錄】未來展望趨勢 20260514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Fugle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https://blog.fugle.tw/post/earnings-call-3533-2026-05-14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 la Bolsa de Taiwán: dividendos aprobados (t187ap45_L)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https://openapi.twse.com.tw/v1/opendata/t187ap45_L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《電零組》嘉澤H2毛利率看升 今年營運拚雙位數成長</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Commercial Times (工商時報)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https://www.ctee.com.tw/news/20260612701208-430201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光明(4420)出清鴻海，嘉澤(3533)買台積電 (aviso de MOPS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https://www.ptt.cc/bbs/Stock/M.1776853426.A.3D7.html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嘉澤法說：毛利率低迷期拉長 (análisis de la conferencia del 13-ago)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UAnalyze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https://uanalyze.com.tw/articles/3945653426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嘉澤（3533）營運更新：Socket 市場趨勢與 2027 成長引擎</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Fugle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https://blog.fugle.tw/post/otes-analysis-2026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嘉澤法說會：低價庫存耗盡、毛利率急凍</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Weekly (理財周刊)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https://www.moneyweekly.com.tw/ArticleData/Info/Article/242707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 la Bolsa de Taiwán: datos básicos de la compañía (t187ap03_L)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https://openapi.twse.com.tw/v1/opendata/t187ap03_L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CPU Sockets Market Size, Share &amp; Forecast 2026 to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https://www.intelmarketresearch.com/global-cpu-sockets-591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Connector industry achieves double-digit growth (Bishop &amp; Associates)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Passive Components Blog / Bishop &amp;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https://passive-components.eu/connector-industry-achieves-double-digit-growth/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CSP CapEx Projected to Exceed US$1.5 Trillion in 2027, with AI Server Revenue Growing Over 90% YoY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https://www.trendforce.com/presscenter/news/20261014-13269.html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AMD's massive SP7 socket for EPYC Venice and Intel's 9,324-pin socket for Diamond Rapids appear at Computex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Tom's Hardware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https://www.tomshardware.com/pc-components/cpus/amds-massive-sp7-socket-for-epyc-venice-and-intels-gargantuan-9-324-pin-socket-for-diamond-rapids-appear-at-computex-sp7-and-lga9324-1-sockets-will-power-the-next-generation-of-ai-servers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2020 and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Co., Ltd. / KPMG Taiwan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https://www.lotes.cc/data/finance/file/LOTES Consolidated Financial Statements  2020Q4.pdf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嘉澤伺服器營收占比過半：一萬針 Socket 何時轉成毛利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Weekly (理財周刊)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https://www.moneyweekly.com.tw/ArticleData/Info/Article/248518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(quoteSummary) de Lotes y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https://finance.yahoo.com/quote/3533.TW/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Corporation to Acquire Connectivity and Cable Solutions Business From CommScope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Amphenol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https://www.sec.gov/Archives/edgar/data/820313/000110465925073344/tm2522435d1_ex99-1.htm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3533 嘉澤 澄清媒體報導</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 (aviso de MOPS reproducido)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https://www.ptt.cc/bbs/Stock/M.1702607900.A.388.html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嘉澤財報／2025年 EPS 為70.17元 今年恢復成長</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Daily News (聯合新聞網)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https://udn.com/news/story/7253/9374302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(TPE:3533): estados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https://stockanalysis.com/quote/tpe/3533/financials/cash-flow-statement/?p=quarterly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 la Bolsa de Taiwán: participaciones y pignoraciones de consejeros y directivos (t187ap11_L,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https://openapi.twse.com.tw/v1/opendata/t187ap11_L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 la Bolsa de Taiwán: balance del 2T26 (t187ap07_L_ci)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https://openapi.twse.com.tw/v1/opendata/t187ap07_L_ci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accionariado (insiders e instituciones)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https://finance.yahoo.com/quote/3533.TW/holders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【公告】嘉澤：本公司董事會決議參與子公司嘉基科技股份有限公司現金增資認股案</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nStock (aviso de MOPS)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https://www.nstock.tw/news/article_m?id=529564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3533.TW, 0050.TW y SOXX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https://finance.yahoo.com/quote/3533.TW/history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(TPE:3533): stock forecast (S&amp;P Global Market Intelligence, 16 analistas) y cotización del 20-oct-2026 13:30 CST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https://stockanalysis.com/quote/tpe/3533/forecast/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de Lotes y de sus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https://finance.yahoo.com/quote/3533.TW/analysis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嘉澤法說會：低價庫存耗盡、毛利率急凍</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Weekly (理財周刊)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https://www.moneyweekly.com.tw/_Article?AID=242707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嘉澤AI伺服器營收占比已經超過一半，為什麼市場反而開始擔心毛利率？</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Weekly (理財周刊)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https://www.moneyweekly.com.tw/_Article?AID=248518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3533嘉澤 4月份營收 (aviso de MOPS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https://www.ptt.cc/bbs/Stock/M.1778234632.A.255.html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OpenAPI de la Bolsa de Taiwán: ventas mensuales de septiembre (t187ap05_L)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https://openapi.twse.com.tw/v1/opendata/t187ap05_L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 3533 個股新聞 (lista de atención del 5-jun, conferencias con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MoneyLink / China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https://ww2.money-link.com.tw/TWStock/StockNews.aspx?SymId=3533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10-year government bond yield (2,03 %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USD/TWD (TWD=X), 32,638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 Connectivity acquires Richards Manufacturing in 2.3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https://evertiq.com/news/2025-02-20-te-connectivity-acquires-richards-manufacturing-in-23-billion-deal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Latest acquisition news from Amphenol Corporation is for Carlisle's CIT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WireNet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https://wirenet.org/industry-news/latest-acquisition-news-from-amphenol-corporation-is-for-carlisles-cit-business/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Lotes (TPE:3533): company profile (ISIN, sede, fundación)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https://stockanalysis.com/quote/tpe/3533/company/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嘉澤(3533) 今日股價與討論 (同學風向 56 樂觀, 14-oct 14:00)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CMoney 股市爆料同學會</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https://www.cmoney.tw/forum/stock/3533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88,1 %</w:t>
      </w:r>
      <w:r>
        <w:t xml:space="preserve"> · Secciones con menos del 60 % de campos cubiertos: </w:t>
      </w:r>
      <w:r>
        <w:rPr>
          <w:b/>
          <w:bCs/>
        </w:rPr>
        <w:t xml:space="preserve">gobierno</w:t>
      </w:r>
      <w:r>
        <w:t xml:space="preserve"> · Generado el 20 oct 2026.</w:t>
      </w:r>
    </w:p>
    <w:p>
      <w:pPr>
        <w:pStyle w:val="Nota"/>
        <w:spacing w:after="100"/>
      </w:pPr>
      <w:r>
        <w:t xml:space="preserve">Línea cotizada: 3533 en la Bolsa de Taiwán (TWSE), en TWD; las cuentas también en TWD (NIIF adoptadas en Taiwán), cierre a 31 de diciembre. MOPS (mops.twse.com.tw) no responde desde la nube: no se ha podido leer allí ningún documento. Las cuentas salen de la web de la empresa (lotes.cc): estados financieros consolidados auditados por KPMG de 2019 a 2025 (los de 2025, publicados el 11-mar-2026), cuentas del 1T26 (15-may-2026) e informe anual de 2025 (11-may-2026). El 2T26 (cuenta resumida y balance a 30-jun-2026) sale de los datos abiertos de la Bolsa de Taiwán y el detalle trimestral, de S&amp;P Global vía StockAnalysis; las notas completas del 2T26 no se han leído. El 3T26 solo tiene ventas mensuales oficiales (enero-septiembre: 28.835 M); los resultados salen hacia el 9-nov-2026. Precio: cierre del 20-oct-2026, 1.805 TWD (13:30 de Taipéi, 05:30 UTC), tomado de la cotización de Yahoo y StockAnalysis porque la barra diaria de Yahoo aún no lo trae; la historia de bolsa llega al 19-oct (1.815). No hay estimaciones de consenso para 2028 ni de EBITDA en las fuentes abiertas.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Lotes Co., Ltd. (嘉澤端子工業) (3533.TW)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1.805,00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(1.140,00 – 2.955,00)</c:v>
                </c:pt>
                <c:pt idx="1">
                  <c:v>Precio objetivo de los analistas (1.670,00 – 3.200,00)</c:v>
                </c:pt>
                <c:pt idx="2">
                  <c:v>Comparables: PER NTM (1.690,78 – 2.175,39)</c:v>
                </c:pt>
                <c:pt idx="3">
                  <c:v>Transacciones precedentes (EV/EBITDA) (1.389,38 – 1.691,56)</c:v>
                </c:pt>
                <c:pt idx="4">
                  <c:v>DCF (WACC y g ± 0,5) (1.067,16 – 1.283,95)</c:v>
                </c:pt>
                <c:pt idx="5">
                  <c:v>Escenarios (bajista – alcista) (816,11 – 1.417,61)</c:v>
                </c:pt>
                <c:pt idx="6">
                  <c:v>DCF con la prima implícita del mercado (4,2 %)</c:v>
                </c:pt>
                <c:pt idx="7">
                  <c:v>Precio actual (1.805,00)</c:v>
                </c:pt>
              </c:strCache>
            </c:strRef>
          </c:cat>
          <c:val>
            <c:numRef>
              <c:f>Hoja1!$B$2:$B$9</c:f>
              <c:numCache>
                <c:formatCode>#,##0</c:formatCode>
                <c:ptCount val="8"/>
                <c:pt idx="0">
                  <c:v>1140</c:v>
                </c:pt>
                <c:pt idx="1">
                  <c:v>1670</c:v>
                </c:pt>
                <c:pt idx="2">
                  <c:v>1690.78</c:v>
                </c:pt>
                <c:pt idx="3">
                  <c:v>1389.38</c:v>
                </c:pt>
                <c:pt idx="4">
                  <c:v>1067.16</c:v>
                </c:pt>
                <c:pt idx="5">
                  <c:v>816.11</c:v>
                </c:pt>
                <c:pt idx="6">
                  <c:v>1308.09</c:v>
                </c:pt>
                <c:pt idx="7">
                  <c:v>1795.98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(1.140,00 – 2.955,00)</c:v>
                </c:pt>
                <c:pt idx="1">
                  <c:v>Precio objetivo de los analistas (1.670,00 – 3.200,00)</c:v>
                </c:pt>
                <c:pt idx="2">
                  <c:v>Comparables: PER NTM (1.690,78 – 2.175,39)</c:v>
                </c:pt>
                <c:pt idx="3">
                  <c:v>Transacciones precedentes (EV/EBITDA) (1.389,38 – 1.691,56)</c:v>
                </c:pt>
                <c:pt idx="4">
                  <c:v>DCF (WACC y g ± 0,5) (1.067,16 – 1.283,95)</c:v>
                </c:pt>
                <c:pt idx="5">
                  <c:v>Escenarios (bajista – alcista) (816,11 – 1.417,61)</c:v>
                </c:pt>
                <c:pt idx="6">
                  <c:v>DCF con la prima implícita del mercado (4,2 %)</c:v>
                </c:pt>
                <c:pt idx="7">
                  <c:v>Precio actual (1.805,00)</c:v>
                </c:pt>
              </c:strCache>
            </c:strRef>
          </c:cat>
          <c:val>
            <c:numRef>
              <c:f>Hoja1!$C$2:$C$9</c:f>
              <c:numCache>
                <c:formatCode>#,##0</c:formatCode>
                <c:ptCount val="8"/>
                <c:pt idx="0">
                  <c:v>1815</c:v>
                </c:pt>
                <c:pt idx="1">
                  <c:v>1530</c:v>
                </c:pt>
                <c:pt idx="2">
                  <c:v>484.6099999999999</c:v>
                </c:pt>
                <c:pt idx="3">
                  <c:v>302.17999999999984</c:v>
                </c:pt>
                <c:pt idx="4">
                  <c:v>216.78999999999996</c:v>
                </c:pt>
                <c:pt idx="5">
                  <c:v>601.4999999999999</c:v>
                </c:pt>
                <c:pt idx="6">
                  <c:v>206.2900000000002</c:v>
                </c:pt>
                <c:pt idx="7">
                  <c:v>18.049999999999955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Servidores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5715.9</c:v>
                </c:pt>
                <c:pt idx="1">
                  <c:v>8145.1</c:v>
                </c:pt>
                <c:pt idx="2">
                  <c:v>6495.6</c:v>
                </c:pt>
                <c:pt idx="3">
                  <c:v>10295.3</c:v>
                </c:pt>
                <c:pt idx="4">
                  <c:v>13256.4</c:v>
                </c:pt>
              </c:numCache>
            </c:numRef>
          </c:val>
        </c:ser>
        <c:ser>
          <c:idx val="1"/>
          <c:order val="1"/>
          <c:tx>
            <c:strRef>
              <c:f>Hoja1!$C$1</c:f>
              <c:strCache>
                <c:ptCount val="1"/>
                <c:pt idx="0">
                  <c:v>Sobremesa (DT)</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5643.2</c:v>
                </c:pt>
                <c:pt idx="1">
                  <c:v>7211.6</c:v>
                </c:pt>
                <c:pt idx="2">
                  <c:v>7139.3</c:v>
                </c:pt>
                <c:pt idx="3">
                  <c:v>8303.3</c:v>
                </c:pt>
                <c:pt idx="4">
                  <c:v>9038.3</c:v>
                </c:pt>
              </c:numCache>
            </c:numRef>
          </c:val>
        </c:ser>
        <c:ser>
          <c:idx val="2"/>
          <c:order val="2"/>
          <c:tx>
            <c:strRef>
              <c:f>Hoja1!$D$1</c:f>
              <c:strCache>
                <c:ptCount val="1"/>
                <c:pt idx="0">
                  <c:v>Portátiles (NB)</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3195.5</c:v>
                </c:pt>
                <c:pt idx="1">
                  <c:v>3565.7</c:v>
                </c:pt>
                <c:pt idx="2">
                  <c:v>3273.8</c:v>
                </c:pt>
                <c:pt idx="3">
                  <c:v>3663.5</c:v>
                </c:pt>
                <c:pt idx="4">
                  <c:v>3709</c:v>
                </c:pt>
              </c:numCache>
            </c:numRef>
          </c:val>
        </c:ser>
        <c:ser>
          <c:idx val="3"/>
          <c:order val="3"/>
          <c:tx>
            <c:strRef>
              <c:f>Hoja1!$E$1</c:f>
              <c:strCache>
                <c:ptCount val="1"/>
                <c:pt idx="0">
                  <c:v>Clientes estratégicos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2991.4</c:v>
                </c:pt>
                <c:pt idx="1">
                  <c:v>3487.4</c:v>
                </c:pt>
                <c:pt idx="2">
                  <c:v>3224.6</c:v>
                </c:pt>
                <c:pt idx="3">
                  <c:v>2991.2</c:v>
                </c:pt>
                <c:pt idx="4">
                  <c:v>2991.8</c:v>
                </c:pt>
              </c:numCache>
            </c:numRef>
          </c:val>
        </c:ser>
        <c:ser>
          <c:idx val="4"/>
          <c:order val="4"/>
          <c:tx>
            <c:strRef>
              <c:f>Hoja1!$F$1</c:f>
              <c:strCache>
                <c:ptCount val="1"/>
                <c:pt idx="0">
                  <c:v>Lintes (cable de alta velocidad)</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2162.3</c:v>
                </c:pt>
                <c:pt idx="1">
                  <c:v>2961.5</c:v>
                </c:pt>
                <c:pt idx="2">
                  <c:v>2298.5</c:v>
                </c:pt>
                <c:pt idx="3">
                  <c:v>2229.6</c:v>
                </c:pt>
                <c:pt idx="4">
                  <c:v>1492.3</c:v>
                </c:pt>
              </c:numCache>
            </c:numRef>
          </c:val>
        </c:ser>
        <c:ser>
          <c:idx val="5"/>
          <c:order val="5"/>
          <c:tx>
            <c:strRef>
              <c:f>Hoja1!$G$1</c:f>
              <c:strCache>
                <c:ptCount val="1"/>
                <c:pt idx="0">
                  <c:v>Automoción</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310.1</c:v>
                </c:pt>
                <c:pt idx="1">
                  <c:v>931.9</c:v>
                </c:pt>
                <c:pt idx="2">
                  <c:v>1325.1</c:v>
                </c:pt>
                <c:pt idx="3">
                  <c:v>1924.8</c:v>
                </c:pt>
                <c:pt idx="4">
                  <c:v>2565.8</c:v>
                </c:pt>
              </c:numCache>
            </c:numRef>
          </c:val>
        </c:ser>
        <c:ser>
          <c:idx val="6"/>
          <c:order val="6"/>
          <c:tx>
            <c:strRef>
              <c:f>Hoja1!$H$1</c:f>
              <c:strCache>
                <c:ptCount val="1"/>
                <c:pt idx="0">
                  <c:v>Otros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1373.5</c:v>
                </c:pt>
                <c:pt idx="1">
                  <c:v>796</c:v>
                </c:pt>
                <c:pt idx="2">
                  <c:v>726.6</c:v>
                </c:pt>
                <c:pt idx="3">
                  <c:v>681.4</c:v>
                </c:pt>
                <c:pt idx="4">
                  <c:v>729.8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Servidores</c:v>
                </c:pt>
                <c:pt idx="1">
                  <c:v>Sobremesa (DT)</c:v>
                </c:pt>
                <c:pt idx="2">
                  <c:v>Portátiles (NB)</c:v>
                </c:pt>
                <c:pt idx="3">
                  <c:v>Clientes estratégicos</c:v>
                </c:pt>
                <c:pt idx="4">
                  <c:v>Lintes (cable de alta velocidad)</c:v>
                </c:pt>
                <c:pt idx="5">
                  <c:v>Automoción</c:v>
                </c:pt>
                <c:pt idx="6">
                  <c:v>Otros</c:v>
                </c:pt>
              </c:strCache>
            </c:strRef>
          </c:cat>
          <c:val>
            <c:numRef>
              <c:f>Hoja1!$B$2:$B$8</c:f>
              <c:numCache>
                <c:formatCode>General</c:formatCode>
                <c:ptCount val="7"/>
                <c:pt idx="0">
                  <c:v>39.2</c:v>
                </c:pt>
                <c:pt idx="1">
                  <c:v>26.8</c:v>
                </c:pt>
                <c:pt idx="2">
                  <c:v>11</c:v>
                </c:pt>
                <c:pt idx="3">
                  <c:v>8.9</c:v>
                </c:pt>
                <c:pt idx="4">
                  <c:v>4.4</c:v>
                </c:pt>
                <c:pt idx="5">
                  <c:v>7.6</c:v>
                </c:pt>
                <c:pt idx="6">
                  <c:v>2.2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China continental</c:v>
                </c:pt>
                <c:pt idx="1">
                  <c:v>Taiwán</c:v>
                </c:pt>
                <c:pt idx="2">
                  <c:v>Otros países</c:v>
                </c:pt>
              </c:strCache>
            </c:strRef>
          </c:cat>
          <c:val>
            <c:numRef>
              <c:f>Hoja1!$B$2:$B$4</c:f>
              <c:numCache>
                <c:formatCode>0"%"</c:formatCode>
                <c:ptCount val="3"/>
                <c:pt idx="0">
                  <c:v>68.9</c:v>
                </c:pt>
                <c:pt idx="1">
                  <c:v>10.5</c:v>
                </c:pt>
                <c:pt idx="2">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TWD (conectores, al cambio de 32,638 TWD/USD))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2025e</c:v>
                </c:pt>
              </c:strCache>
            </c:strRef>
          </c:cat>
          <c:val>
            <c:numRef>
              <c:f>Hoja1!$B$2:$B$3</c:f>
              <c:numCache>
                <c:formatCode>#,##0</c:formatCode>
                <c:ptCount val="2"/>
                <c:pt idx="0">
                  <c:v>2822470</c:v>
                </c:pt>
                <c:pt idx="1">
                  <c:v>3044330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Lotes</c:v>
                </c:pt>
                <c:pt idx="1">
                  <c:v>Foxconn Interconnect (FIT Hon Teng)</c:v>
                </c:pt>
                <c:pt idx="2">
                  <c:v>TE Connectivity</c:v>
                </c:pt>
                <c:pt idx="3">
                  <c:v>Amphenol</c:v>
                </c:pt>
                <c:pt idx="4">
                  <c:v>Molex (Koch Industries)</c:v>
                </c:pt>
                <c:pt idx="5">
                  <c:v>BizLink</c:v>
                </c:pt>
                <c:pt idx="6">
                  <c:v>Hirose Electric</c:v>
                </c:pt>
              </c:strCache>
            </c:strRef>
          </c:cat>
          <c:val>
            <c:numRef>
              <c:f>Hoja1!$B$2:$B$8</c:f>
              <c:numCache>
                <c:formatCode>0.0"%"</c:formatCode>
                <c:ptCount val="7"/>
                <c:pt idx="0">
                  <c:v>30.6</c:v>
                </c:pt>
                <c:pt idx="1">
                  <c:v>3.5</c:v>
                </c:pt>
                <c:pt idx="2">
                  <c:v>20.8</c:v>
                </c:pt>
                <c:pt idx="3">
                  <c:v>29.8</c:v>
                </c:pt>
                <c:pt idx="5">
                  <c:v>17.2</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21391.9</c:v>
                </c:pt>
                <c:pt idx="1">
                  <c:v>27099.1</c:v>
                </c:pt>
                <c:pt idx="2">
                  <c:v>24483.5</c:v>
                </c:pt>
                <c:pt idx="3">
                  <c:v>30089</c:v>
                </c:pt>
                <c:pt idx="4">
                  <c:v>33783.4</c:v>
                </c:pt>
                <c:pt idx="5">
                  <c:v>39189</c:v>
                </c:pt>
                <c:pt idx="6">
                  <c:v>47026</c:v>
                </c:pt>
                <c:pt idx="7">
                  <c:v>51729</c:v>
                </c:pt>
                <c:pt idx="8">
                  <c:v>47591</c:v>
                </c:pt>
                <c:pt idx="9">
                  <c:v>49970</c:v>
                </c:pt>
                <c:pt idx="10">
                  <c:v>52469</c:v>
                </c:pt>
                <c:pt idx="11">
                  <c:v>54830</c:v>
                </c:pt>
                <c:pt idx="12">
                  <c:v>57023</c:v>
                </c:pt>
                <c:pt idx="13">
                  <c:v>59019</c:v>
                </c:pt>
                <c:pt idx="14">
                  <c:v>60790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5914.6</c:v>
                </c:pt>
                <c:pt idx="1">
                  <c:v>9537.6</c:v>
                </c:pt>
                <c:pt idx="2">
                  <c:v>9337.5</c:v>
                </c:pt>
                <c:pt idx="3">
                  <c:v>12523.6</c:v>
                </c:pt>
                <c:pt idx="4">
                  <c:v>12954.5</c:v>
                </c:pt>
                <c:pt idx="5">
                  <c:v>13324</c:v>
                </c:pt>
                <c:pt idx="6">
                  <c:v>16930</c:v>
                </c:pt>
                <c:pt idx="7">
                  <c:v>19140</c:v>
                </c:pt>
                <c:pt idx="8">
                  <c:v>16181</c:v>
                </c:pt>
                <c:pt idx="9">
                  <c:v>17490</c:v>
                </c:pt>
                <c:pt idx="10">
                  <c:v>18364</c:v>
                </c:pt>
                <c:pt idx="11">
                  <c:v>19190</c:v>
                </c:pt>
                <c:pt idx="12">
                  <c:v>19958</c:v>
                </c:pt>
                <c:pt idx="13">
                  <c:v>20657</c:v>
                </c:pt>
                <c:pt idx="14">
                  <c:v>21276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40</c:v>
                </c:pt>
                <c:pt idx="1">
                  <c:v>44.1</c:v>
                </c:pt>
                <c:pt idx="2">
                  <c:v>46.9</c:v>
                </c:pt>
                <c:pt idx="3">
                  <c:v>52.4</c:v>
                </c:pt>
                <c:pt idx="4">
                  <c:v>51.3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27.6</c:v>
                </c:pt>
                <c:pt idx="1">
                  <c:v>35.2</c:v>
                </c:pt>
                <c:pt idx="2">
                  <c:v>38.1</c:v>
                </c:pt>
                <c:pt idx="3">
                  <c:v>41.6</c:v>
                </c:pt>
                <c:pt idx="4">
                  <c:v>38.3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20.4</c:v>
                </c:pt>
                <c:pt idx="1">
                  <c:v>26.8</c:v>
                </c:pt>
                <c:pt idx="2">
                  <c:v>28.4</c:v>
                </c:pt>
                <c:pt idx="3">
                  <c:v>34</c:v>
                </c:pt>
                <c:pt idx="4">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16.2</c:v>
                </c:pt>
                <c:pt idx="1">
                  <c:v>23.1</c:v>
                </c:pt>
                <c:pt idx="2">
                  <c:v>22.8</c:v>
                </c:pt>
                <c:pt idx="3">
                  <c:v>30.8</c:v>
                </c:pt>
                <c:pt idx="4">
                  <c:v>23.3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24.8</c:v>
                </c:pt>
                <c:pt idx="1">
                  <c:v>26.3</c:v>
                </c:pt>
                <c:pt idx="2">
                  <c:v>22.3</c:v>
                </c:pt>
                <c:pt idx="3">
                  <c:v>13.1</c:v>
                </c:pt>
                <c:pt idx="4">
                  <c:v>4.4</c:v>
                </c:pt>
                <c:pt idx="5">
                  <c:v>11.6</c:v>
                </c:pt>
                <c:pt idx="6">
                  <c:v>20.1</c:v>
                </c:pt>
                <c:pt idx="7">
                  <c:v>14.8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150</c:v>
                </c:pt>
                <c:pt idx="1">
                  <c:v>144</c:v>
                </c:pt>
                <c:pt idx="2">
                  <c:v>143</c:v>
                </c:pt>
                <c:pt idx="3">
                  <c:v>153</c:v>
                </c:pt>
                <c:pt idx="4">
                  <c:v>153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116</c:v>
                </c:pt>
                <c:pt idx="1">
                  <c:v>86</c:v>
                </c:pt>
                <c:pt idx="2">
                  <c:v>75</c:v>
                </c:pt>
                <c:pt idx="3">
                  <c:v>87</c:v>
                </c:pt>
                <c:pt idx="4">
                  <c:v>97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c:v>
                </c:pt>
                <c:pt idx="1">
                  <c:v>57</c:v>
                </c:pt>
                <c:pt idx="2">
                  <c:v>51</c:v>
                </c:pt>
                <c:pt idx="3">
                  <c:v>72</c:v>
                </c:pt>
                <c:pt idx="4">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-1400</c:v>
                </c:pt>
                <c:pt idx="1">
                  <c:v>3787.7000000000003</c:v>
                </c:pt>
                <c:pt idx="2">
                  <c:v>6186.599999999999</c:v>
                </c:pt>
                <c:pt idx="3">
                  <c:v>6041</c:v>
                </c:pt>
                <c:pt idx="4">
                  <c:v>3274.7999999999993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3472.2</c:v>
                </c:pt>
                <c:pt idx="1">
                  <c:v>6254.3</c:v>
                </c:pt>
                <c:pt idx="2">
                  <c:v>5593</c:v>
                </c:pt>
                <c:pt idx="3">
                  <c:v>9277</c:v>
                </c:pt>
                <c:pt idx="4">
                  <c:v>7866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19.6</c:v>
                </c:pt>
                <c:pt idx="1">
                  <c:v>30.6</c:v>
                </c:pt>
                <c:pt idx="2">
                  <c:v>27</c:v>
                </c:pt>
                <c:pt idx="3">
                  <c:v>37.6</c:v>
                </c:pt>
                <c:pt idx="4">
                  <c:v>31.2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20.6</c:v>
                </c:pt>
                <c:pt idx="1">
                  <c:v>31.5</c:v>
                </c:pt>
                <c:pt idx="2">
                  <c:v>22.1</c:v>
                </c:pt>
                <c:pt idx="3">
                  <c:v>29.1</c:v>
                </c:pt>
                <c:pt idx="4">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-0.48</c:v>
                </c:pt>
                <c:pt idx="2">
                  <c:v>-1.08</c:v>
                </c:pt>
                <c:pt idx="3">
                  <c:v>-1.14</c:v>
                </c:pt>
                <c:pt idx="4">
                  <c:v>-0.96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(TWD,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96.8</c:v>
                </c:pt>
                <c:pt idx="1">
                  <c:v>0</c:v>
                </c:pt>
                <c:pt idx="2">
                  <c:v>54.1</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1376.3</c:v>
                </c:pt>
                <c:pt idx="1">
                  <c:v>1695.6</c:v>
                </c:pt>
                <c:pt idx="2">
                  <c:v>2803.6</c:v>
                </c:pt>
                <c:pt idx="3">
                  <c:v>2898.3</c:v>
                </c:pt>
                <c:pt idx="4">
                  <c:v>4670.2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676.2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Golden Grown Co. (vehículo de Ho, Te-Yu)</c:v>
                </c:pt>
                <c:pt idx="1">
                  <c:v>Jiaming Investment Co. (vehículo de Chu, Te-Hsiang)</c:v>
                </c:pt>
                <c:pt idx="2">
                  <c:v>Dunlin Investment Co. (vinculada a Ho, Te-Yu)</c:v>
                </c:pt>
                <c:pt idx="3">
                  <c:v>Fondo de pensiones laborales de Taiwán (nuevo)</c:v>
                </c:pt>
                <c:pt idx="4">
                  <c:v>Cathay Life Insurance</c:v>
                </c:pt>
                <c:pt idx="5">
                  <c:v>De-Chuang Investment (vinculada a Chu, Te-Hsiang)</c:v>
                </c:pt>
                <c:pt idx="6">
                  <c:v>Fondo de pensiones de funcionarios</c:v>
                </c:pt>
                <c:pt idx="7">
                  <c:v>Fidelity Funds</c:v>
                </c:pt>
                <c:pt idx="8">
                  <c:v>Norges Bank Investment Management</c:v>
                </c:pt>
                <c:pt idx="9">
                  <c:v>Autocartera</c:v>
                </c:pt>
              </c:strCache>
            </c:strRef>
          </c:cat>
          <c:val>
            <c:numRef>
              <c:f>Hoja1!$B$2:$B$11</c:f>
              <c:numCache>
                <c:formatCode>0.0"%"</c:formatCode>
                <c:ptCount val="10"/>
                <c:pt idx="0">
                  <c:v>9.74</c:v>
                </c:pt>
                <c:pt idx="1">
                  <c:v>8.71</c:v>
                </c:pt>
                <c:pt idx="2">
                  <c:v>4.44</c:v>
                </c:pt>
                <c:pt idx="3">
                  <c:v>4.23</c:v>
                </c:pt>
                <c:pt idx="4">
                  <c:v>2.61</c:v>
                </c:pt>
                <c:pt idx="5">
                  <c:v>2.58</c:v>
                </c:pt>
                <c:pt idx="6">
                  <c:v>1.74</c:v>
                </c:pt>
                <c:pt idx="7">
                  <c:v>1.35</c:v>
                </c:pt>
                <c:pt idx="8">
                  <c:v>1.27</c:v>
                </c:pt>
                <c:pt idx="9">
                  <c:v>0.09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-18.4</c:v>
                </c:pt>
                <c:pt idx="1">
                  <c:v>117.1</c:v>
                </c:pt>
                <c:pt idx="2">
                  <c:v>8.9</c:v>
                </c:pt>
                <c:pt idx="3">
                  <c:v>58.4</c:v>
                </c:pt>
                <c:pt idx="4">
                  <c:v>50.5</c:v>
                </c:pt>
                <c:pt idx="5">
                  <c:v>65.1</c:v>
                </c:pt>
                <c:pt idx="6">
                  <c:v>11.3</c:v>
                </c:pt>
                <c:pt idx="7">
                  <c:v>34.8</c:v>
                </c:pt>
                <c:pt idx="8">
                  <c:v>85.9</c:v>
                </c:pt>
                <c:pt idx="9">
                  <c:v>-31.8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19.6</c:v>
                </c:pt>
                <c:pt idx="1">
                  <c:v>18.1</c:v>
                </c:pt>
                <c:pt idx="2">
                  <c:v>-4.9</c:v>
                </c:pt>
                <c:pt idx="3">
                  <c:v>33.5</c:v>
                </c:pt>
                <c:pt idx="4">
                  <c:v>31.1</c:v>
                </c:pt>
                <c:pt idx="5">
                  <c:v>21.9</c:v>
                </c:pt>
                <c:pt idx="6">
                  <c:v>-21.2</c:v>
                </c:pt>
                <c:pt idx="7">
                  <c:v>27.5</c:v>
                </c:pt>
                <c:pt idx="8">
                  <c:v>48.6</c:v>
                </c:pt>
                <c:pt idx="9">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4">
                  <c:v>13.7</c:v>
                </c:pt>
                <c:pt idx="5">
                  <c:v>9</c:v>
                </c:pt>
                <c:pt idx="6">
                  <c:v>11.9</c:v>
                </c:pt>
                <c:pt idx="7">
                  <c:v>16.6</c:v>
                </c:pt>
                <c:pt idx="8">
                  <c:v>10.4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11.9</c:v>
                </c:pt>
                <c:pt idx="1">
                  <c:v>11.9</c:v>
                </c:pt>
                <c:pt idx="2">
                  <c:v>11.9</c:v>
                </c:pt>
                <c:pt idx="3">
                  <c:v>11.9</c:v>
                </c:pt>
                <c:pt idx="4">
                  <c:v>11.9</c:v>
                </c:pt>
                <c:pt idx="5">
                  <c:v>11.9</c:v>
                </c:pt>
                <c:pt idx="6">
                  <c:v>11.9</c:v>
                </c:pt>
                <c:pt idx="7">
                  <c:v>11.9</c:v>
                </c:pt>
                <c:pt idx="8">
                  <c:v>11.9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Connectivity and Cable Solutions de CommScope</c:v>
                </c:pt>
                <c:pt idx="1">
                  <c:v>Richards Manufacturing</c:v>
                </c:pt>
                <c:pt idx="2">
                  <c:v>Carlisle Interconnect Technologies (CIT)</c:v>
                </c:pt>
              </c:strCache>
            </c:strRef>
          </c:cat>
          <c:val>
            <c:numRef>
              <c:f>Hoja1!$B$2:$B$4</c:f>
              <c:numCache>
                <c:formatCode>0.0"x"</c:formatCode>
                <c:ptCount val="3"/>
                <c:pt idx="0">
                  <c:v>11.2</c:v>
                </c:pt>
                <c:pt idx="1">
                  <c:v>16.4</c:v>
                </c:pt>
                <c:pt idx="2">
                  <c:v>11.25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3310</c:v>
                </c:pt>
                <c:pt idx="1">
                  <c:v>5044</c:v>
                </c:pt>
                <c:pt idx="2">
                  <c:v>8688</c:v>
                </c:pt>
                <c:pt idx="3">
                  <c:v>11629</c:v>
                </c:pt>
                <c:pt idx="4">
                  <c:v>9337</c:v>
                </c:pt>
                <c:pt idx="5">
                  <c:v>9769</c:v>
                </c:pt>
                <c:pt idx="6">
                  <c:v>10294</c:v>
                </c:pt>
                <c:pt idx="7">
                  <c:v>10797</c:v>
                </c:pt>
                <c:pt idx="8">
                  <c:v>11269</c:v>
                </c:pt>
                <c:pt idx="9">
                  <c:v>11719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57711</c:v>
                </c:pt>
                <c:pt idx="1">
                  <c:v>63470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1.805,00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816.11</c:v>
                </c:pt>
                <c:pt idx="1">
                  <c:v>1162.61</c:v>
                </c:pt>
                <c:pt idx="2">
                  <c:v>1417.61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1.805,00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(1.140,00 – 2.955,00)</c:v>
                </c:pt>
                <c:pt idx="1">
                  <c:v>Precio objetivo de los analistas (1.670,00 – 3.200,00)</c:v>
                </c:pt>
                <c:pt idx="2">
                  <c:v>Comparables: PER NTM (1.690,78 – 2.175,39)</c:v>
                </c:pt>
                <c:pt idx="3">
                  <c:v>Transacciones precedentes (EV/EBITDA) (1.389,38 – 1.691,56)</c:v>
                </c:pt>
                <c:pt idx="4">
                  <c:v>DCF (WACC y g ± 0,5) (1.067,16 – 1.283,95)</c:v>
                </c:pt>
                <c:pt idx="5">
                  <c:v>Escenarios (bajista – alcista) (816,11 – 1.417,61)</c:v>
                </c:pt>
                <c:pt idx="6">
                  <c:v>DCF con la prima implícita del mercado (4,2 %)</c:v>
                </c:pt>
                <c:pt idx="7">
                  <c:v>Precio actual (1.805,00)</c:v>
                </c:pt>
              </c:strCache>
            </c:strRef>
          </c:cat>
          <c:val>
            <c:numRef>
              <c:f>Hoja1!$B$2:$B$9</c:f>
              <c:numCache>
                <c:formatCode>#,##0</c:formatCode>
                <c:ptCount val="8"/>
                <c:pt idx="0">
                  <c:v>1140</c:v>
                </c:pt>
                <c:pt idx="1">
                  <c:v>1670</c:v>
                </c:pt>
                <c:pt idx="2">
                  <c:v>1690.78</c:v>
                </c:pt>
                <c:pt idx="3">
                  <c:v>1389.38</c:v>
                </c:pt>
                <c:pt idx="4">
                  <c:v>1067.16</c:v>
                </c:pt>
                <c:pt idx="5">
                  <c:v>816.11</c:v>
                </c:pt>
                <c:pt idx="6">
                  <c:v>1308.09</c:v>
                </c:pt>
                <c:pt idx="7">
                  <c:v>1795.98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(1.140,00 – 2.955,00)</c:v>
                </c:pt>
                <c:pt idx="1">
                  <c:v>Precio objetivo de los analistas (1.670,00 – 3.200,00)</c:v>
                </c:pt>
                <c:pt idx="2">
                  <c:v>Comparables: PER NTM (1.690,78 – 2.175,39)</c:v>
                </c:pt>
                <c:pt idx="3">
                  <c:v>Transacciones precedentes (EV/EBITDA) (1.389,38 – 1.691,56)</c:v>
                </c:pt>
                <c:pt idx="4">
                  <c:v>DCF (WACC y g ± 0,5) (1.067,16 – 1.283,95)</c:v>
                </c:pt>
                <c:pt idx="5">
                  <c:v>Escenarios (bajista – alcista) (816,11 – 1.417,61)</c:v>
                </c:pt>
                <c:pt idx="6">
                  <c:v>DCF con la prima implícita del mercado (4,2 %)</c:v>
                </c:pt>
                <c:pt idx="7">
                  <c:v>Precio actual (1.805,00)</c:v>
                </c:pt>
              </c:strCache>
            </c:strRef>
          </c:cat>
          <c:val>
            <c:numRef>
              <c:f>Hoja1!$C$2:$C$9</c:f>
              <c:numCache>
                <c:formatCode>#,##0</c:formatCode>
                <c:ptCount val="8"/>
                <c:pt idx="0">
                  <c:v>1815</c:v>
                </c:pt>
                <c:pt idx="1">
                  <c:v>1530</c:v>
                </c:pt>
                <c:pt idx="2">
                  <c:v>484.6099999999999</c:v>
                </c:pt>
                <c:pt idx="3">
                  <c:v>302.17999999999984</c:v>
                </c:pt>
                <c:pt idx="4">
                  <c:v>216.78999999999996</c:v>
                </c:pt>
                <c:pt idx="5">
                  <c:v>601.4999999999999</c:v>
                </c:pt>
                <c:pt idx="6">
                  <c:v>206.2900000000002</c:v>
                </c:pt>
                <c:pt idx="7">
                  <c:v>18.049999999999955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