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DSV A/S</w:t>
      </w:r>
    </w:p>
    <w:p>
      <w:pPr>
        <w:spacing w:after="60"/>
        <w:rPr>
          <w:color w:val="52514E"/>
          <w:sz w:val="22"/>
          <w:szCs w:val="22"/>
        </w:rPr>
      </w:pPr>
      <w:r>
        <w:rPr>
          <w:color w:val="52514E"/>
          <w:sz w:val="22"/>
          <w:szCs w:val="22"/>
        </w:rPr>
        <w:t xml:space="preserve">DSV · Nasdaq Copenhagen · ISIN DK0060079531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21 oct 2026</w:t>
      </w:r>
      <w:r>
        <w:rPr>
          <w:color w:val="52514E"/>
          <w:sz w:val="18"/>
          <w:szCs w:val="18"/>
        </w:rPr>
        <w:t xml:space="preserve"> · Divisa: </w:t>
      </w:r>
      <w:r>
        <w:rPr>
          <w:b/>
          <w:bCs/>
          <w:color w:val="52514E"/>
          <w:sz w:val="18"/>
          <w:szCs w:val="18"/>
        </w:rPr>
        <w:t xml:space="preserve">DKK</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1.200,00 DKK</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1.492,16 DKK</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+24,9 % (base +29,0 %)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1.316,52 DKK · mercado 1.723,49</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286.024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9,7x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2,5x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DSV A/S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DSV / DK0060079531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Copenhagen</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OMX Copenhagen 25 (OMXC25)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Transporte aéreo de mercancías y logística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Hedehusene (Dinamarca) · 1976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148.405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www.dsv.com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1.200,00 (20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1.130,50 – 1.913,50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238,4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286.024 M DKK</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371.015 M DKK</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745 M DKK/día (569.000 acciones; media de 66 sesiones hasta el 20-oct) [93]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 feb 2027</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1.492,16 DKK</w:t>
      </w:r>
      <w:r>
        <w:t xml:space="preserve"> frente a 1.200,00 · Rentabilidad a 12 meses </w:t>
      </w:r>
      <w:r>
        <w:rPr>
          <w:b/>
          <w:bCs/>
        </w:rPr>
        <w:t xml:space="preserve">+24,9 % (base +29,0 %)</w:t>
      </w:r>
      <w:r>
        <w:t xml:space="preserve"> · Valor intrínseco 1.316,52 DKK · con la prima implícita del mercado: 1.723,49 (+43,6 %) · Alcista / bajista +39,9 % / -32,6 %</w:t>
      </w:r>
    </w:p>
    <w:p>
      <w:pPr>
        <w:spacing w:after="100"/>
      </w:pPr>
      <w:r>
        <w:rPr>
          <w:b/>
        </w:rPr>
        <w:t xml:space="preserve">La recomendación y por qué.</w:t>
      </w:r>
      <w:r>
        <w:t xml:space="preserve"> Mantener, con convicción baja. El objetivo a 12 meses es de 1.492,16 DKK frente al cierre de 1.200 DKK del 20-oct: +24,9 % ponderado y +29,0 % en el base con la regla v3 (v2 de control: +17,1 %). El valor intrínseco es de 1.316,52 DKK (+9,7 %) y el objetivo medio de 21 analistas (1.824,95 DKK), aún sin revisar tras el 3T26, queda un 18 % por encima de nuestro base. La regla da Comprar, pero no la seguimos: el ROIC solo supera al WACC en 0,3 puntos y con un BPA un 10 % peor la ponderada cae al 12,5 %. La convicción es baja porque las reglas del valor intrínseco discrepan (la absoluta da Mantener y la relativa Comprar); subiría si el 4T26 enseña Road sin plusvalías por encima de 500 M y bajaría con una guía de 2027 por debajo de 25.000 M de EBIT.</w:t>
      </w:r>
    </w:p>
    <w:p>
      <w:pPr>
        <w:spacing w:after="100"/>
      </w:pPr>
      <w:r>
        <w:rPr>
          <w:b/>
        </w:rPr>
        <w:t xml:space="preserve">Qué ha cambiado con el 3T26.</w:t>
      </w:r>
      <w:r>
        <w:t xml:space="preserve"> El EBIT antes de partidas especiales sube un 19,5 % a tipo constante, hasta 6.606 M, en línea con el consenso (6.660 M), y la guía de 2026 se estrecha a 24.000-25.000 M con el mismo centro [15, 17]. Pero el trimestre tiene tres grietas: los volúmenes caen un 3 % en mar y en aire con el mercado al alza (pérdida de cuota), Road gana un 35,1 % menos (526 M, 195 M de ellos plusvalías) y las sinergias de Road se retrasan a 2027, ahora «en parte compensadas» por la inflación [15]. Por eso bajamos medio punto la conversión de 2027e-2029e y un punto el crecimiento del margen bruto en 2027e: el EBIT de 2027e pasa de 28.099 a 27.148 M. A favor, la deuda baja a 2,5 veces y vuelve la recompra (1.500 M DKK hasta el 1-feb-2027) [16].</w:t>
      </w:r>
    </w:p>
    <w:p>
      <w:pPr>
        <w:spacing w:after="100"/>
      </w:pPr>
      <w:r>
        <w:rPr>
          <w:b/>
        </w:rPr>
        <w:t xml:space="preserve">El negocio.</w:t>
      </w:r>
      <w:r>
        <w:t xml:space="preserve"> DSV es el primer transitario del mundo, con un 6 % de cuota tras comprar Schenker [1]. Convierte más margen bruto en EBIT que nadie: en el 3T26, un 45,8 % en Air &amp; Sea [15]. El ROIC sin el fondo de comercio es del 29,7 % y con él del 8,6 %: la red rinde, la compra todavía no. La calidad sostiene el crecimiento proyectado (veredicto «Sí»): un 2,8 % anual de los ingresos en 2027e-2035e, poco más que el mercado [29]; lo que pide fe es que la conversión vuelva al 40 %.</w:t>
      </w:r>
    </w:p>
    <w:p>
      <w:pPr>
        <w:spacing w:after="100"/>
      </w:pPr>
      <w:r>
        <w:rPr>
          <w:b/>
        </w:rPr>
        <w:t xml:space="preserve">Valoración.</w:t>
      </w:r>
      <w:r>
        <w:t xml:space="preserve"> El DCF da 1.334,74 DKK (+11,2 %) con un WACC del 8,32 % y los escenarios 1.289,20. El precio descuenta un crecimiento del 1,4 % anual o un margen EBITDA del 13,7 % (base: 14,5 %), con una rentabilidad implícita del 8,8 %. A 16,7 veces el beneficio de los próximos 12 meses cotiza muy por debajo de Kuehne+Nagel (24,2) y Expeditors (24,5) [76, 97]. Nuestro BPA de 2028e (87,09) queda un 8,8 % por debajo de un consenso que aún no recoge el trimestre, porque retrasamos Road y no suponemos desapalancamiento ni recompras.</w:t>
      </w:r>
    </w:p>
    <w:p>
      <w:pPr>
        <w:spacing w:after="100"/>
      </w:pPr>
      <w:r>
        <w:rPr>
          <w:b/>
        </w:rPr>
        <w:t xml:space="preserve">Riesgos y catalizadores.</w:t>
      </w:r>
      <w:r>
        <w:t xml:space="preserve"> Road: si sus sinergias no llegan en 2027, el EBIT de 2027e baja de los 27.148 M. Fletes: el bajista vale 808,44 DKK (−32,6 %), una caída como la de 2023. Tasa: con un WACC del 8,8 % el DCF baja a 1.203,73 DKK, casi el precio. Calidad del beneficio: sin inmuebles, el EBIT del trimestre queda algo por debajo del consenso [103, 104]. El mercado celebró el trimestre (+8 % a media mañana del 21-oct) y los foros pasan de pesimistas a aliviados [94, 98].</w:t>
      </w:r>
    </w:p>
    <w:p>
      <w:pPr>
        <w:spacing w:after="100"/>
      </w:pPr>
      <w:r>
        <w:rPr>
          <w:b/>
        </w:rPr>
        <w:t xml:space="preserve">Qué cambiaría la decisión.</w:t>
      </w:r>
      <w:r>
        <w:t xml:space="preserve"> Las pruebas de rentabilidad (v3, v2 y BPA −10 %) pasan por debajo de 1.174,55 DKK; con la excepción de calidad del usuario, eso sería nivel A, y entre 1.174,55 y 1.227,96 DKK nivel B1 (números aflojados). Venderíamos por encima de 1.665,73 DKK, o si la guía de 2027 deja el EBIT antes de partidas especiales por debajo de 25.000 M.</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Objetivo a 12 meses: </w:t>
      </w:r>
      <w:r>
        <w:rPr>
          <w:b/>
          <w:bCs/>
        </w:rPr>
        <w:t xml:space="preserve">1.492,16 DKK</w:t>
      </w:r>
      <w:r>
        <w:t xml:space="preserve"> (rentabilidad +24,9 % (base +29,0 %)) · Valor intrínseco: 1.316,52 DKK (+9,7 % sobre 1.200,00) · con la prima implícita del mercado: 1.723,49 (+43,6 %)</w:t>
      </w:r>
    </w:p>
    <w:p>
      <w:pPr>
        <w:spacing w:after="100"/>
      </w:pPr>
      <w:r>
        <w:t xml:space="preserve">DSV es el mayor transitario del mundo tras comprar Schenker por 14.300 M EUR, a 14,0 veces su EBIT [13]. Su ventaja histórica es la productividad: convierte en EBIT más margen bruto que sus rivales (45,8 % en Air &amp; Sea en el 3T26) y ha sabido subir la conversión de cada compra, del 28,0 % al 43,1 % tras Panalpina [6, 15]. Schenker promete 9.000 M de sinergias, ahora con las de Road retrasadas a 2027 [15].</w:t>
      </w:r>
    </w:p>
    <w:p>
      <w:pPr>
        <w:spacing w:after="100"/>
      </w:pPr>
      <w:r>
        <w:t xml:space="preserve">A 1.200 DKK, el mercado se cree una parte de esa historia. El DCF inverso descuenta un crecimiento del 1,4 % anual o un margen EBITDA del 13,7 %, por debajo del 14,5 % de nuestro caso base. DSV cotiza a 11,0 veces el EBITDA de los últimos 12 meses, un 30 % por debajo de su media de ocho años, y a 16,7 veces el beneficio de los próximos 12 meses frente a 24,2 de Kuehne+Nagel [76, 97]. Los tropiezos de Road, el miedo a la IA de febrero y el contrato de AWS que Amazon dio a Kuehne+Nagel explican el castigo [2, 32, 91].</w:t>
      </w:r>
    </w:p>
    <w:p>
      <w:pPr>
        <w:spacing w:after="100"/>
      </w:pPr>
      <w:r>
        <w:t xml:space="preserve">Para invertir hay que creer dos cosas: que la pérdida de volumen del 3T26 es la salida deliberada de negocio de poco margen que dice la empresa y no clientes perdidos, y que las sinergias llevan la conversión hacia el 40 % de 2023. Con eso, el precio de hoy deja un 24,9 % a 12 meses por la vuelta parcial del PER. Pero el valor intrínseco solo deja un 9,7 % de margen, el ROIC apenas cubre el coste de capital y el beneficio del trimestre se apoya en ventas de inmuebles: el mercado acierta en cobrar el riesgo, aunque quizá lo cobre de más.</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1.492,16 DKK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 × 52,32 = 742,94 · 17,7x × 87,09 = 1.541,49 · 21,6x × 99,20 = 2.142,72</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24,9 % / 29,0 %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1.824,95 (nuestro base -15,5 %)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1.316,52 DKK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39,9 % / -32,6 %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 frente a 8,3 % y 7,2 %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7,2 %)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1.723,49 DKK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6,88x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 frente a 2,3 %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(5,0 %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Mantener, relativa Comprar))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1.303,62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1.303,62 y 1.665,73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1.665,73 (ponderada a 12 meses ≤ -10 %)</w:t>
            </w:r>
          </w:p>
        </w:tc>
      </w:tr>
    </w:tbl>
    <w:p>
      <w:pPr>
        <w:spacing w:after="160" w:before="0"/>
      </w:pPr>
    </w:p>
    <w:p>
      <w:pPr>
        <w:spacing w:after="100"/>
      </w:pPr>
      <w:r>
        <w:rPr>
          <w:b/>
          <w:bCs/>
        </w:rPr>
        <w:t xml:space="preserve">Por qué la recomendación se aparta de la regla.</w:t>
      </w:r>
    </w:p>
    <w:p>
      <w:pPr>
        <w:spacing w:after="100"/>
      </w:pPr>
      <w:r>
        <w:t xml:space="preserve">La regla a 12 meses da Comprar (ponderada del 24,9 % y base del 29,0 % con la v3, y valor intrínseco de 1.316,52 DKK por encima del cierre de 1.200 DKK), pero nos apartamos por tres motivos que la regla no recoge. Primero, la calidad: el ROIC de 2025 (8,6 %) solo supera al WACC (8,32 %) en 0,3 puntos, lejos de los 5 que pide el método para comprar; Schenker aún no rinde su coste (el usuario concedió el 20-oct una excepción de calidad para DSV, que permite comprar solo si los números aguantan). Segundo, el control: con la historia al cierre (v2) la ponderada es del 17,1 %, pero con un BPA un 10 % peor cae al 12,5 % y la compra deja de aguantar. Tercero, la calidad del trimestre: el EBIT del 3T26 lleva 300 M de plusvalías inmobiliarias y el flujo libre de nueve meses 3.189 M de ventas de inmuebles [15].</w:t>
      </w:r>
    </w:p>
    <w:p>
      <w:pPr>
        <w:pStyle w:val="Heading2"/>
      </w:pPr>
      <w:r>
        <w:t xml:space="preserve">Qué cambiaría la recomendación</w:t>
      </w:r>
    </w:p>
    <w:p>
      <w:pPr>
        <w:pStyle w:val="ListParagraph"/>
        <w:numPr>
          <w:ilvl w:val="0"/>
          <w:numId w:val="2"/>
        </w:numPr>
        <w:spacing w:after="60"/>
      </w:pPr>
      <w:r>
        <w:t xml:space="preserve">Si la guía de 2027 (2-feb-2027) deja el EBIT antes de partidas especiales por debajo de 25.000 M, pasaríamos a Vender; por encima de 28.000 M, con Road recuperado, revisaríamos la calidad para volver a Comprar.</w:t>
      </w:r>
    </w:p>
    <w:p>
      <w:pPr>
        <w:pStyle w:val="ListParagraph"/>
        <w:numPr>
          <w:ilvl w:val="0"/>
          <w:numId w:val="2"/>
        </w:numPr>
        <w:spacing w:after="60"/>
      </w:pPr>
      <w:r>
        <w:t xml:space="preserve">Si el precio baja de 1.174,55 DKK sin cambios en las cifras, la compra pasaría las pruebas de rentabilidad (v3, v2 y BPA −10 %); la calidad (ROIC − WACC ≥ 5 puntos) seguiría sin cumplirse, salvo la excepción del usuario.</w:t>
      </w:r>
    </w:p>
    <w:p>
      <w:pPr>
        <w:pStyle w:val="ListParagraph"/>
        <w:numPr>
          <w:ilvl w:val="0"/>
          <w:numId w:val="2"/>
        </w:numPr>
        <w:spacing w:after="60"/>
      </w:pPr>
      <w:r>
        <w:t xml:space="preserve">Si el 4T26 vuelve a enseñar volúmenes negativos en mar y aire, rebajaríamos el crecimiento del margen bruto de 2028e y la compra se alejaría.</w:t>
      </w:r>
    </w:p>
    <w:p>
      <w:pPr>
        <w:pStyle w:val="ListParagraph"/>
        <w:numPr>
          <w:ilvl w:val="0"/>
          <w:numId w:val="2"/>
        </w:numPr>
        <w:spacing w:after="60"/>
      </w:pPr>
      <w:r>
        <w:t xml:space="preserve">Si el precio sube por encima de 1.665,73 DKK sin cambios en las cifras, pasaríamos a Vender.</w:t>
      </w:r>
    </w:p>
    <w:p>
      <w:pPr>
        <w:pStyle w:val="ListParagraph"/>
        <w:numPr>
          <w:ilvl w:val="0"/>
          <w:numId w:val="2"/>
        </w:numPr>
        <w:spacing w:after="60"/>
      </w:pPr>
      <w:r>
        <w:t xml:space="preserve">Si DSV anuncia una compra grande antes de bajar de 2,0 veces de deuda neta sobre EBITDA, revisaríamos la tesis a la baja.</w:t>
      </w:r>
    </w:p>
    <w:p>
      <w:pPr>
        <w:pStyle w:val="Heading2"/>
      </w:pPr>
      <w:r>
        <w:t xml:space="preserve">Dónde discrepamos del mercado</w:t>
      </w:r>
    </w:p>
    <w:p>
      <w:pPr>
        <w:keepNext/>
        <w:spacing w:after="100"/>
      </w:pPr>
      <w:r>
        <w:rPr>
          <w:b/>
          <w:bCs/>
        </w:rPr>
        <w:t xml:space="preserve">Lo que descuenta el precio.</w:t>
      </w:r>
    </w:p>
    <w:p>
      <w:pPr>
        <w:spacing w:after="100"/>
      </w:pPr>
      <w:r>
        <w:t xml:space="preserve">Que Schenker ha dañado la máquina de DSV durante años: el PER sobre nuestro beneficio de 2027e es de 16,1 veces, frente a una mediana de 21,2 en su historia. Aun así, el DCF inverso ya incorpora buena parte de las sinergias (margen EBITDA del 13,7 %).</w:t>
      </w:r>
    </w:p>
    <w:p>
      <w:pPr>
        <w:keepNext/>
        <w:spacing w:after="100"/>
      </w:pPr>
      <w:r>
        <w:rPr>
          <w:b/>
          <w:bCs/>
        </w:rPr>
        <w:t xml:space="preserve">Lo que creemos nosotros.</w:t>
      </w:r>
    </w:p>
    <w:p>
      <w:pPr>
        <w:spacing w:after="100"/>
      </w:pPr>
      <w:r>
        <w:t xml:space="preserve">La integración avanza (8.700 M de los ≈11.000 M de costes ya reconocidos, deuda en 2,5 veces) pero más despacio en Road, y el volumen cae: con las sinergias en la cuenta, la conversión de 2027 rondará el 33,5 % y la de 2030 el 40,5 %, por debajo del objetivo de la empresa. Discrepamos del consenso en el precio, que para nosotros vale 1.316,52 DKK y no los 1.824,95 que esperan los analistas.</w:t>
      </w:r>
    </w:p>
    <w:p>
      <w:pPr>
        <w:keepNext/>
        <w:spacing w:after="100"/>
      </w:pPr>
      <w:r>
        <w:rPr>
          <w:b/>
          <w:bCs/>
        </w:rPr>
        <w:t xml:space="preserve">Por qué podemos tener razón.</w:t>
      </w:r>
    </w:p>
    <w:p>
      <w:pPr>
        <w:spacing w:after="100"/>
      </w:pPr>
      <w:r>
        <w:t xml:space="preserve">Porque DSV ya lo ha hecho tres veces (UTi, Panalpina y GIL) y en las tres la conversión y el ROIC acabaron por encima del punto de partida [6]; pero esta vez el fondo de comercio es mucho mayor y el ROIC con él está en el WACC, así que la vuelta al PER histórico exige demostrar primero la rentabilidad sobre lo pagado. Sin esa prueba, el valor intrínseco a una tasa del 8,32 % deja poco margen.</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DKK) · precio actual 1.200,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1.334,74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1.137,39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1.289,20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El precio descuenta menos que el caso base</w:t>
      </w:r>
      <w:r>
        <w:t xml:space="preserve">: un crecimiento del 1,4 % anual frente al 2,8 %, y un margen EBITDA del 13,7 % frente al 14,5 %.</w:t>
      </w:r>
    </w:p>
    <w:p>
      <w:pPr>
        <w:pStyle w:val="ListParagraph"/>
        <w:numPr>
          <w:ilvl w:val="0"/>
          <w:numId w:val="2"/>
        </w:numPr>
        <w:spacing w:after="60"/>
      </w:pPr>
      <w:r>
        <w:rPr>
          <w:b/>
        </w:rPr>
        <w:t xml:space="preserve">Múltiplo bajo su historia</w:t>
      </w:r>
      <w:r>
        <w:t xml:space="preserve">: 11,0 veces el EBITDA de los últimos 12 meses frente a una media de 15,8 veces (percentil 13).</w:t>
      </w:r>
    </w:p>
    <w:p>
      <w:pPr>
        <w:pStyle w:val="ListParagraph"/>
        <w:numPr>
          <w:ilvl w:val="0"/>
          <w:numId w:val="2"/>
        </w:numPr>
        <w:spacing w:after="60"/>
      </w:pPr>
      <w:r>
        <w:rPr>
          <w:b/>
        </w:rPr>
        <w:t xml:space="preserve">Sinergias en la cuenta</w:t>
      </w:r>
      <w:r>
        <w:t xml:space="preserve">: costes un 2,1 % más bajos en el 3T26 y conversión de Air &amp; Sea del 45,8 % frente al 38,6 % [15].</w:t>
      </w:r>
    </w:p>
    <w:p>
      <w:pPr>
        <w:pStyle w:val="ListParagraph"/>
        <w:numPr>
          <w:ilvl w:val="0"/>
          <w:numId w:val="2"/>
        </w:numPr>
        <w:spacing w:after="60"/>
      </w:pPr>
      <w:r>
        <w:rPr>
          <w:b/>
        </w:rPr>
        <w:t xml:space="preserve">Desapalancamiento y recompra</w:t>
      </w:r>
      <w:r>
        <w:t xml:space="preserve">: deuda en 2,5 veces el EBITDA y 1.500 M DKK de recompra hasta el 1-feb-2027, la primera desde Schenker [15, 16].</w:t>
      </w:r>
    </w:p>
    <w:p>
      <w:pPr>
        <w:pStyle w:val="ListParagraph"/>
        <w:numPr>
          <w:ilvl w:val="0"/>
          <w:numId w:val="2"/>
        </w:numPr>
        <w:spacing w:after="60"/>
      </w:pPr>
      <w:r>
        <w:rPr>
          <w:b/>
        </w:rPr>
        <w:t xml:space="preserve">Historial de integrador</w:t>
      </w:r>
      <w:r>
        <w:t xml:space="preserve">: la conversión subió del 28,0 % al 43,1 % en dos años tras Panalpina [6].</w:t>
      </w:r>
    </w:p>
    <w:p>
      <w:pPr>
        <w:pStyle w:val="Heading2"/>
      </w:pPr>
      <w:r>
        <w:t xml:space="preserve">En contra</w:t>
      </w:r>
    </w:p>
    <w:p>
      <w:pPr>
        <w:pStyle w:val="ListParagraph"/>
        <w:numPr>
          <w:ilvl w:val="0"/>
          <w:numId w:val="2"/>
        </w:numPr>
        <w:spacing w:after="60"/>
      </w:pPr>
      <w:r>
        <w:rPr>
          <w:b/>
        </w:rPr>
        <w:t xml:space="preserve">Pierde cuota</w:t>
      </w:r>
      <w:r>
        <w:t xml:space="preserve">: volúmenes del −3 % en mar y en aire en el 3T26 con el mercado creciendo [15].</w:t>
      </w:r>
    </w:p>
    <w:p>
      <w:pPr>
        <w:pStyle w:val="ListParagraph"/>
        <w:numPr>
          <w:ilvl w:val="0"/>
          <w:numId w:val="2"/>
        </w:numPr>
        <w:spacing w:after="60"/>
      </w:pPr>
      <w:r>
        <w:rPr>
          <w:b/>
        </w:rPr>
        <w:t xml:space="preserve">Road sigue fallando</w:t>
      </w:r>
      <w:r>
        <w:t xml:space="preserve">: EBIT −35,1 % en el 3T26 (526 M, 195 M de plusvalías) y sinergias retrasadas a 2027 [15].</w:t>
      </w:r>
    </w:p>
    <w:p>
      <w:pPr>
        <w:pStyle w:val="ListParagraph"/>
        <w:numPr>
          <w:ilvl w:val="0"/>
          <w:numId w:val="2"/>
        </w:numPr>
        <w:spacing w:after="60"/>
      </w:pPr>
      <w:r>
        <w:rPr>
          <w:b/>
        </w:rPr>
        <w:t xml:space="preserve">Schenker aún no paga su coste</w:t>
      </w:r>
      <w:r>
        <w:t xml:space="preserve">: ROIC del 8,6 % en 2025 frente a un WACC del 8,32 %.</w:t>
      </w:r>
    </w:p>
    <w:p>
      <w:pPr>
        <w:pStyle w:val="ListParagraph"/>
        <w:numPr>
          <w:ilvl w:val="0"/>
          <w:numId w:val="2"/>
        </w:numPr>
        <w:spacing w:after="60"/>
      </w:pPr>
      <w:r>
        <w:rPr>
          <w:b/>
        </w:rPr>
        <w:t xml:space="preserve">Beneficio con inmuebles</w:t>
      </w:r>
      <w:r>
        <w:t xml:space="preserve">: 300 M de plusvalías en el EBIT del 3T26 y 6.405 M de ventas de inmovilizado en el flujo de nueve meses [15].</w:t>
      </w:r>
    </w:p>
    <w:p>
      <w:pPr>
        <w:pStyle w:val="ListParagraph"/>
        <w:numPr>
          <w:ilvl w:val="0"/>
          <w:numId w:val="2"/>
        </w:numPr>
        <w:spacing w:after="60"/>
      </w:pPr>
      <w:r>
        <w:rPr>
          <w:b/>
        </w:rPr>
        <w:t xml:space="preserve">Muy sensible a la tasa</w:t>
      </w:r>
      <w:r>
        <w:t xml:space="preserve">: con un WACC del 8,8 % el DCF baja a 1.203,73 DKK, el precio de hoy.</w:t>
      </w:r>
    </w:p>
    <w:p>
      <w:pPr>
        <w:pStyle w:val="Heading2"/>
      </w:pPr>
      <w:r>
        <w:t xml:space="preserve">Qué tiene que pasar para que la tesis funcione</w:t>
      </w:r>
    </w:p>
    <w:p>
      <w:pPr>
        <w:spacing w:after="100"/>
      </w:pPr>
      <w:r>
        <w:t xml:space="preserve">La tesis depende de que la conversión del grupo suba hacia el 33-34 % en 2027 a medida que entran las sinergias retrasadas de Road. La señal de que no se cumple sería un 4T26 con Road por debajo de 500 M sin plusvalías inmobiliarias, otro trimestre de volumen negativo con el mercado al alza, o una guía de 2027 (2-feb-2027) con el EBIT antes de partidas especiales por debajo de 26.000 M. La deuda debe seguir bajando hacia 2,0 veces el EBITDA en 2027.</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Conversión del grupo (EBIT antes de partidas especiales / margen bruto)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32,6 % (3T26: 6.606 / 20.253)</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31 % en el 4T26 sin plusvalías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medida directa de las sinergias; el caso base pide 33,5 % en 2027.</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EBIT de Road sin plusvalías inmobiliarias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 M en el 3T26 (526 M con 195 M de plusvalías)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500 M por trimestre en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Road es donde ha fallado la integración y donde se retrasan las sinergias.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de mar y aire frente al mercado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 y −3 % en el 3T26, con el mercado al alza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Otro trimestre negativo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la salida de negocio de poco margen de la pérdida de clientes.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 con arrendamientos / EBITDA (definición de DSV)</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 (sep-26)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2,5x a fin de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bajar no siguen las recompras y el rating A− queda en riesgo.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ROIC con fondo de comercio (después de impuestos)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8,6 %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9 % a fin de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 el requisito de calidad que hoy impide comprar: tiene que acercarse al WACC + 5 puntos.</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11,0x / 9,7x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36,6x / 16,7x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15,9x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(2016-2025)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2,4x · 2,5x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DSV nace en 1976 como «De Sammensluttede Vognmænd», una agrupación de diez transportistas daneses por carretera liderada por Leif Tullberg [21]. Su modelo de crecimiento ha sido comprar e integrar: la compra de DFDS Dan Transport en 2000 marcó el salto fuera de la carretera danesa y en 2001 la empresa se organizó en las tres divisiones que mantiene hoy (Road, Air &amp; Sea y Contract Logistics) [21]. Frans Maas (2006) y ABX (2008) la hicieron europea y global; UTi (2016), Panalpina (2019) y GIL de Agility (2021) la llevaron al podio mundial; y Schenker, comprada a Deutsche Bahn y cerrada a finales de abril de 2025, es la mayor operación de su historia y la convierte en el primer transitario del mundo [2, 21]. Jens H. Lund es consejero delegado desde 2024 [21]. En mayo de 2026 presentó la estrategia «Leverage to Lead» con objetivos para 2030 [20].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de De Sammensluttede Vognmænd af 13-7 1976 A/S por Leif Tullberg y nueve transportistas independientes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DFDS Dan Transport Group, «un paso decisivo» que abre la etapa internacional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Organización en tres divisiones: Road, Air &amp; Sea y Contract Logistics, la estructura actual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Frans Maas (Países Bajos), refuerzo de la red europea de carretera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ABX Logistics: DSV pasa a ser una empresa global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UTi Worldwide (EE. UU.), gran salto en aire y mar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Panalpina: cuarto grupo de transporte y logística del mundo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Global Integrated Logistics (GIL) de Agility: entre los tres primeros del mundo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Jens H. Lund, consejero delegado del grupo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compra de Schenker a Deutsche Bahn a finales de abril, la mayor de su historia; integración prevista para finales de 2026 y sinergias anuales de unos 9.000 M DKK con efecto pleno en 2027 [2,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Día del inversor (12 de mayo): estrategia «Leverage to Lead» con objetivo de conversión del grupo de ~45 % y ROIC antes de impuestos de ~20 % en 2030, y ~9.000 M DKK adicionales de productividad por IA y red [20].</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DSV organiza el transporte de mercancías de terceros por aire, mar y carretera y gestiona almacenes y distribución, sobre todo entre empresas (B2B) [1]. El transporte lo hacen terceros (navieras, aerolíneas, transportistas por carretera y ferrocarril) y los almacenes son en su mayoría alquilados: es un modelo de pocos activos [1]. Tiene tres divisiones: </w:t>
      </w:r>
      <w:r>
        <w:rPr>
          <w:b/>
        </w:rPr>
        <w:t xml:space="preserve">Air &amp; Sea</w:t>
      </w:r>
      <w:r>
        <w:t xml:space="preserve"> (transitario aéreo y marítimo, con aduanas, consolidación y servicios de valor añadido; 3,70 millones de TEU y 2,01 millones de toneladas en 2025, y 3,03 millones de TEU y 1,64 millones de toneladas en los nueve primeros meses de 2026), </w:t>
      </w:r>
      <w:r>
        <w:rPr>
          <w:b/>
        </w:rPr>
        <w:t xml:space="preserve">Road</w:t>
      </w:r>
      <w:r>
        <w:t xml:space="preserve"> (grupaje y cargas completas, líder en Europa, en más de 50 países) y </w:t>
      </w:r>
      <w:r>
        <w:rPr>
          <w:b/>
        </w:rPr>
        <w:t xml:space="preserve">Contract Logistics</w:t>
      </w:r>
      <w:r>
        <w:t xml:space="preserve"> (unos 17 millones de m² en más de 1.200 centros) [1, 2, 15]. Trabaja con unas 150.000 personas (148.405 empleados equivalentes a tiempo completo a 30 de septiembre de 2026, frente a 159.490 un año antes, por las sinergias de Schenker) en más de 90 países y se organiza por sectores de cliente: aeroespacial y defensa, automoción, consumo, salud, industria y tecnología [1, 15]. En el 3T26 agrupó productos globales (ferias y eventos, paquetería y aduanas) en una unidad del grupo de unas 3.000 personas [15].</w:t>
      </w:r>
    </w:p>
    <w:p>
      <w:pPr>
        <w:pStyle w:val="Heading2"/>
      </w:pPr>
      <w:r>
        <w:t xml:space="preserve">Cómo gana dinero</w:t>
      </w:r>
    </w:p>
    <w:p>
      <w:pPr>
        <w:spacing w:after="100"/>
      </w:pPr>
      <w:r>
        <w:t xml:space="preserve">El margen bruto es la diferencia entre lo que DSV cobra al cliente y lo que paga a la naviera, aerolínea o transportista, más las tarifas de aduanas y servicios [1]. Por eso los ingresos se mueven con los fletes: en el 3T26 los ingresos de Air &amp; Sea subieron un 15,9 % a divisa constante mientras su margen bruto quedó plano y el margen bruto porcentual bajó al 20,5 % desde el 23,7 % por el traspaso de fletes y combustible [15]. Lo que importa es el margen bruto por unidad: 4.274 DKK por TEU y 8.242 DKK por tonelada en 2025 (4.752 y 8.551 en 2024), y 4.142 DKK por TEU y 8.936 DKK por tonelada en el 3T26 (4.118 y 8.196 en el 3T25) [1, 15]. El beneficio depende de convertir ese margen bruto en EBIT: la conversión del grupo fue del 29,3 % en 2025 (37,5 % en 2024) y la de Air &amp; Sea del 40,2 % (48,1 %); en el 3T26 la de Air &amp; Sea subió al 45,8 % (38,6 %) por las sinergias de costes, con 31.573 empleados en la división frente a 37.646 un año antes [1, 15]. El coste es sobre todo personal, lo que da apalancamiento operativo con el volumen; la integración de Schenker y las sinergias de unos 9.000 M DKK (las de Road y algunas funciones de grupo, retrasadas a 2027) son hoy la palanca principal [15].</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Air &amp; Sea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137.320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Road</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77.977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Contract Logistics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43.463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Global Products, grupo y eliminaciones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-11.429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DK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Air &amp; Sea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131.901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174.431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92.972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104.496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137.320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Road</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35.416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41.507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38.155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40.507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77.977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Contract Logistics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18.734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24.409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23.140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25.624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43.463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Global Products, grupo y eliminaciones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-3.745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-4.682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-3.482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-3.521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-11.429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DSV dice no depender de ningún gran cliente: ninguno supera el 5 % de los ingresos del grupo [1]. No publica la cuota de los diez primeros ni tasas de renovación. Combina grandes cuentas globales, gestionadas por sectores, con una base amplia de pequeñas y medianas empresas, que la propia compañía considera central [2]. En el 3T26, con el foco en proteger a los grandes clientes durante la integración, bajó la actividad de las pymes en Air &amp; Sea, sobre todo en Europa, y DSV lanzó iniciativas comerciales para recuperarla; la satisfacción bajó en Road por los problemas operativos y se mantuvo alta en Air &amp; Sea y Contract Logistics, donde ganó negocio sobre todo con grandes cuentas globales [15]. Como referencia del sector, en C.H. Robinson los cien primeros clientes suponen ~40 % de los ingresos y el primero ~2 % [25]. El poder de precios es limitado y se ve en el margen por unidad, no en el porcentaje: el margen bruto por TEU de DSV cayó de 4.752 a 4.274 DKK en 2025 y a 4.026 DKK en los nueve primeros meses de 2026, en parte por la mezcla de Schenker, de menor margen; en aire, en cambio, subió a 8.638 DKK por tonelada (8.514) con disciplina de precios y recargos [1, 15].</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marítimo (TEU)</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2.686.009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3.695.424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Schenker 8 meses. Serie: 1.389.611 (2017), 1.442.348 (2018), 2.204.902 (2020), 2.493.951 (2021), 2.665.147 (2022), 2.519.295 (2023). 9M26: 3.029.414 TEU (+13 %); 3T26: 1.045.436 (−3 % frente a 1.072.808), por Oriente Medio y la integración en Alemania [1, 2, 4, 6, 7, 15].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por TEU (DKK)</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4.752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4.274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Schenker aporta rendimientos más bajos: 4.026 DKK en 9M26 frente a 4.454 en 9M25; en el 3T26, 4.142 frente a 4.118 [1, 15].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aéreo (toneladas)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1.398.398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2.013.127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635.655 (2017), 689.045 (2018), 1.272.405 (2020), 1.510.833 (2021), 1.557.972 (2022), 1.305.827 (2023). 9M26: 1.637.146 t (+15 %); 3T26: 560.890 t (−3 % frente a 578.569) [1, 2, 4, 6, 7, 15].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por tonelada aérea (DKK)</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8.551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8.242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9M26: 8.638 frente a 8.514; 3T26: 8.936 frente a 8.196 por la escasez de capacidad y los recargos ligados a Oriente Medio [1, 15].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Ratio de conversión del grupo (EBIT/margen bruto)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división en 2025: Air &amp; Sea 40,2 % (48,1 %), Road 16,5 % (24,2 %), Contract Logistics 20,4 % (23,2 %). Máximo de 48,3 % en 2022. 3T26: grupo 32,6 % (27,9 %), Air &amp; Sea 45,8 %, Road 11,7 %, Contract Logistics 28,1 %; 9M26: 29,8 %. Objetivo 2030 de al menos el 45 % [1, 15].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ROIC antes de impuestos (con fondo de comercio)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21,5 % (2016), 23,4 % (2017), 26,7 % (2018), 13,4 % (2019), 14,3 % (2020), 19,6 % (2021), 25,1 % (2022), 17,8 % (2023); 10,8 % LTM jun-26 y 11,4 % LTM sep-26 (Air &amp; Sea 13,5 %, Road 7,3 %, Contract Logistics 10,9 %). Sin fondo de comercio ni relaciones con clientes: 77,9 % (2021), 105,1 % (2022), 76,3 % (2023), 57,7 % (2024), 48,1 % (2025), 43,5 % LTM sep-26 [1, 2, 6, 7, 15].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Empleados (FTE a cierre)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73.338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151.751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148.405 FTE a 30-sep-2026 (159.490 un año antes); más de 8.000 puestos de oficina menos desde el inicio de la integración (a jun-26) [1, 2, 15].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EBIT antes de partidas especiales por división (3T26, M DKK)</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Air &amp; Sea 3.532; Road 798; Contract Logistics 1.098 (3T25)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Air &amp; Sea 4.278; Road 526; Contract Logistics 1.673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+18,9 %; −35,1 %; +50,3 % (tipo constante)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del 3T26: Air &amp; Sea 45.645 M (+15,9 %), Road 23.375 M (−1,0 %), Contract Logistics 14.280 M (+7,3 %); margen bruto 9.342 M (+0,2 %), 4.498 M (−11,2 %) y 5.956 M (+1,0 %). Road y Contract Logistics incluyen 195 M y 105 M de plusvalías inmobiliarias. Por geografía, Europa es el 53,4 % de los ingresos de servicios del 3T26 [15].</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transitario mundial (organización de transporte aéreo y marítimo internacional, con aduanas y servicios asociados), que pesa la mayor parte del beneficio de DSV (Air &amp; Sea fue el 66 % del EBIT antes de partidas especiales de 2025) [1]. Se mide por ingresos netos de los transitarios (Transport Intelligence) y por volumen: 25,2 millones de toneladas de carga aérea de exportación y 69,0 millones de TEU marítimos controlados por transitarios en 2025 (DHL, con WorldACD y CTS) [23, 29]. El tamaño en valor usa Ti; el volumen sirve de contraste. Quedan fuera la carretera europea y la logística por contrato, donde DSV también compite.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208.100 M EUR en 2025 (≈ 1,55 billones de DKK al tipo del BCE de cierre de 2025), +4,4 % en términos reales [28, 29]. En volumen: 25,2 M t de carga aérea y 69,0 M TEU marítimos controlados por transitarios [23].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Fragmentada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es de millones de EUR (Ti, transitario mundial))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Comercio mundial y PIB</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demanda de carga aérea creció un 3,4 % en 2025 (CTK) y IATA espera un 2,4 % en 2026; la OMC prevé un 1,9 % de crecimiento del comercio de mercancías en 2026 [29, 30]. En el 3T26 DSV estima que el mercado aéreo creció a un dígito medio y el marítimo a un dígito bajo o medio, con la demanda frenada por la incertidumbre macro, la energía cara y la inflación; Europa siguió débil y el transpacífico creció con fuerza [15].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Tarifas de flete y combustible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Suben los ingresos y el margen absoluto pero diluyen el margen porcentual: en el 3T26 el margen bruto de Air &amp; Sea cayó al 20,5 % (23,7 %) por el traspaso de fletes y combustible, y los fletes marítimos medios subieron «significativamente» frente al 3T25 y al 2T26 [15]. El WCI de Drewry estaba en 4.485 USD por FEU el 15-oct-2026 (+3 % en la semana; Shanghái-Rotterdam 3.522 USD, Shanghái-Los Ángeles 7.884 USD), con Asia-Europa al alza tras 13 semanas seguidas de bajadas y más capacidad por la vuelta a Suez [31], frente a 1.420 USD de media en 2019 y un máximo de 10.377 USD en septiembre de 2021 [33]. En aire, el índice Baltic (BAI00, TAC Index) bajó un 2,1 % en la semana al 12-oct-2026 por la Semana Dorada china, pero estaba un 24,3 % por encima de un año antes; el queroseno, un 111,2 % más caro que un año antes [34].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de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Adelantaron envíos en 2025 y distorsionaron la estacionalidad [1]; el fin de la exención de minimis redujo la demanda aérea China-EE. UU. en el 2S25 [24]. A cambio, la complejidad aduanera elevó un 13 % los ingresos de aduanas y otros servicios de Expeditors [24]. La tregua arancelaria EE. UU.-China se prolonga hasta el 10-ene-2027, las devoluciones de aranceles IEEPA (CAPE) se abrieron el 6-oct-2026 con requisitos estrictos y siguen pendientes las determinaciones de la sección 301 sobre dieciséis economías de Asia-Pacífico y México [36]. DSV cita los aranceles y Oriente Medio como sus dos incertidumbres principales [15].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Conflictos y cierres de rutas (Mar Rojo, Oriente Medio)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conflicto de Oriente Medio iniciado a finales de febrero de 2026 recortó un 22 % la capacidad aérea mundial y un 39 % las rutas Asia-Europa por la región [29]. En el 3T26 siguió desviando vuelos y buques, alargando tránsitos y hundiendo la actividad en las rutas de la región, y subió las tarifas aéreas y el margen por tonelada de DSV [15]. A la vez, la capacidad por el mar Rojo mejora poco a poco y la vuelta a Suez añade capacidad a Asia-Europa [15, 31].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Consolidación y complejidad de las cadenas de suministro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20 primeros transitarios tienen ~40 % del mercado y DSV ~6 % tras Schenker; DSV prevé que la consolidación siga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Tecnología, IA y demanda de centros de datos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Kuehne+Nagel cita la fuerte demanda aérea de los hiperescaladores en el 4T25 [22]; en el 3T26 la demanda de tecnología y nube sostuvo el aéreo en Asia-Pacífico y Norteamérica y la logística por contrato en Norteamérica (centros de datos) [15]; DSV espera ~9.000 M DKK de productividad por IA y red hasta 2030 [20].</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 fragmentado (los cinco primeros, ~19 %; los veinte primeros, ~40 %) con precios muy competidos [1]. En 2025 la conversión de Kuehne+Nagel en mar cayó del 41,1 % al 25,8 % y el EBIT de DHL Global Forwarding, Freight un 29,6 % [22, 23].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muy repartidos (ninguno supera el 5 % de los ingresos de DSV) [1], pero los grandes cargadores reparten su carga entre varios proveedores logísticos [24].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navieras ofrecen puerta a puerta y son a la vez proveedoras y competidoras [1]; las crisis de capacidad (−22 % de capacidad aérea en 2026) encarecen la compra, aunque se trasladan al cliente con retraso [2, 29].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transitarios digitales cotizan y reservan en línea pero tienen poca capacidad logística [1]; competir en compras exige escala: DSV es uno de los mayores compradores de transporte del mundo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integración vertical de las navieras (puerta a puerta) y la logística propia de grandes cargadores sustituyen parte del servicio [1]; el transporte en sí no tiene sustituto.</w:t>
            </w:r>
          </w:p>
        </w:tc>
      </w:tr>
    </w:tbl>
    <w:p>
      <w:pPr>
        <w:spacing w:after="160" w:before="0"/>
      </w:pPr>
    </w:p>
    <w:p>
      <w:pPr>
        <w:pStyle w:val="Heading2"/>
      </w:pPr>
      <w:r>
        <w:t xml:space="preserve">Ciclo</w:t>
      </w:r>
    </w:p>
    <w:p>
      <w:pPr>
        <w:spacing w:after="100"/>
      </w:pPr>
      <w:r>
        <w:t xml:space="preserve">Los fletes siguen altos por Oriente Medio (WCI 4.485 USD/FEU el 15-oct-2026; índice aéreo Baltic un 24,3 % por encima de un año antes) pero Asia-Europa bajó 13 semanas seguidas hasta principios de octubre y la vuelta a Suez añade capacidad [31, 34]; Ti prevé que el mercado crezca solo un 2,5 % en 2026 [29]. En el 3T26 DSV describe un mercado «en general favorable» con volúmenes al alza, aunque los suyos cayeron un 3 % [15]. En el último ciclo el beneficio del sector se multiplicó y volvió: el EBIT de Kuehne+Nagel pasó de 1.070 M CHF en 2020 a 3.763 M en 2022 y a 1.242 M en 2025, y su conversión del 14,3 % al 33,9 % y al 14,1 % [22]; el resultado de explotación de Expeditors, de 940 M USD en 2020 a 1.909 M en 2021 y a 940 M en 2023 [27]. El WCI tocó 10.377 USD/FEU en septiembre de 2021, frente a una media de 1.420 USD en 2019 [33]; el de hoy triplica aún la media de 2019. En 2020 el beneficio aguantó (Kuehne+Nagel, de 1.061 a 1.070 M CHF) y el salto llegó en 2021-22; 2023 devolvió la mitad. No hemos documentado 2008-09.</w:t>
      </w:r>
    </w:p>
    <w:p>
      <w:pPr>
        <w:pStyle w:val="Heading2"/>
      </w:pPr>
      <w:r>
        <w:t xml:space="preserve">Regulación</w:t>
      </w:r>
    </w:p>
    <w:p>
      <w:pPr>
        <w:spacing w:after="100"/>
      </w:pPr>
      <w:r>
        <w:t xml:space="preserve">Lo que más mueve las cifras es la política comercial de EE. UU.: los aranceles de 2025 y la retirada de la exención de minimis cambiaron los flujos (adelantos de carga, menor demanda aérea China-EE. UU. en el 2S25) y elevaron la demanda de servicios aduaneros [1, 24]. A octubre de 2026, la tregua EE. UU.-China dura hasta el 10-ene-2027, las devoluciones de aranceles IEEPA se tramitan desde el 6-oct con requisitos estrictos y quedan pendientes aranceles de la sección 301 sin tope ni caducidad sobre dieciséis economías de Asia-Pacífico y México [36]; DSV los cita como incertidumbre principal de su previsión [15]. En descarbonización, DSV se ha fijado reducir un 50 % las emisiones de alcances 1 y 2 y un 30 % las de alcance 3 en 2030 frente a 2019 (objetivos validados por SBTi en 2023), y casi todo su inventario es transporte subcontratado [1]. En EE. UU., C.H. Robinson opera como agente de cargas con licencia del Departamento de Transporte [25]; Expeditors considera que la regulación no supone una restricción económica significativa [24].</w:t>
      </w:r>
    </w:p>
    <w:p>
      <w:pPr>
        <w:pStyle w:val="Heading2"/>
      </w:pPr>
      <w:r>
        <w:t xml:space="preserve">Tendencias y disrupción</w:t>
      </w:r>
    </w:p>
    <w:p>
      <w:pPr>
        <w:spacing w:after="100"/>
      </w:pPr>
      <w:r>
        <w:t xml:space="preserve">Tres tendencias: la regionalización de la producción y el doble aprovisionamiento, que alargan y complican las cadenas [1]; la digitalización e IA, que DSV quiere aprovechar con su plataforma de datos, la automatización de cotizaciones spot y unos 9.000 M DKK de ahorros en 2030 [15, 20]; y la entrada de navieras en el puerta a puerta, que compiten con sus clientes transitarios [1]. Los transitarios digitales no han ganado cuota relevante por su limitada capacidad logística [1]. El comercio electrónico transfronterizo y la carga de centros de datos sostienen el aéreo [22, 29], aunque en el 3T26 el comercio electrónico Asia-Europa bajó y parte de la carga pasó del avión al barco en las cuentas de DSV, mientras en el transpacífico la congestión empujaba carga del barco al avión [15, 36]. Ti espera que el marítimo crezca a un 2,9 % anual hasta 2030 y el aéreo a un 1,6 % [29]. A DSV la escala le favorece en compras y tecnología, pero la integración resta foco comercial a corto plazo: en el 3T26 perdió volumen con pymes europeas y en Asia-Europa [15].</w:t>
      </w:r>
    </w:p>
    <w:p>
      <w:pPr>
        <w:pStyle w:val="Heading1"/>
      </w:pPr>
      <w:r>
        <w:t xml:space="preserve">4. Posición competitiva y foso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transitario mundial: ~6 % del mercado según la estimación de DSV sobre ingresos de 2024 proforma con Schenker, por delante de DHL (~5 %) y Kuehne+Nagel (~4 %) [1]. En volumen de 2025 (Schenker solo desde mayo), 3,70 M TEU frente a 69,0 M controlados por transitarios (≈5,4 %) y 2,01 M t frente a 25,2 M t de carga aérea de exportación (≈8,0 %) (estimación propia con [1, 23]). En el 3T26, primer trimestre comparable con Schenker en ambos años, perdió cuota: sus volúmenes cayeron un 3 % en aire (560.890 t) y en mar (1.045.436 TEU) mientras estima que el mercado creció a un dígito medio en aire y bajo o medio en mar, por la débil actividad comercial en Asia-Europa (sobre todo Alemania), la gestión de márgenes y las pymes europeas [15]. En carretera es líder en Europa, pero con volúmenes a la baja en Alemania, Francia y Benelux [15].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Kuehne+Nagel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KNIN.SW</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196.273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netos de 24.476 M CHF y EBIT de 1.242 M (conversión del 14,1 %) en 2025 [22]. Se declara primero del mundo en mar y en aire. Mar: 4,33 M TEU con 483 CHF de margen bruto por TEU (≈ 3.871 DKK, frente a 4.274 de DSV) y conversión del 25,8 % (41,1 % en 2024); 2,24 M t aéreas con 776 CHF por tonelada (≈ 6.224 DKK) y conversión del 24,7 % [1, 22]. En el 1S26, EBIT recurrente de 689 M CHF (760 M), con el mar a la baja (2,10 M TEU, −1,9 %; 442 CHF por TEU frente a 511; EBIT −31 %) y el aire al alza (1,10 M t, +1,7 %; EBIT +15 %); en el 2T26, 439 CHF por TEU (≈ 3.550 DKK, frente a 4.142 de DSV en el 3T26) y 850 CHF por tonelada aérea (≈ 6.880 DKK, frente a 8.936) [35, 37]. En julio subió su previsión de EBIT recurrente de 2026 a 1.350-1.550 M CHF (antes 1.250-1.400) y dice ganar cuota en aire [35]. Publica el 3T26 el 22-oct-2026. En septiembre de 2026 firmó un acuerdo de hasta siete años con Amazon para la logística de infraestructura de AWS [32].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DHL Global Forwarding, Freight (DHL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DHL.DE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139.243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División de DHL Group: 18.643 M EUR de ingresos y EBIT de 756 M EUR (−29,6 %, con 84 M de reestructuración); conversión del 16,9 % en la división y del 24,1 % en Global Forwarding [23]. Volúmenes de 2025: 1,77 M t aéreas (−1,0 %) y 3,27 M TEU (−1,2 %), con salida deliberada de negocio de bajo margen [23]. Cita a DSV y Kuehne+Nagel como sus competidores clave [23]. El 3T26 de DHL Group aún no está publicado a 21-oct.</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Expeditors International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EXPD</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70.360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diferencia de los rivales que crecieron comprando, opera un único sistema integrado en todas sus oficinas [24]. Ingresos de 11.069 M USD y resultado de explotación de 1.053 M en 2025; margen neto de transporte (ingresos menos costes directos) de 3.667 M USD, conversión del 28,7 % [24]. Aduanas y otros servicios ya son el 39 % de los ingresos [24]. Aún no ha publicado el 3T26 (suele hacerlo a primeros de noviembre).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 Robinson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CHRW</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103.185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Sobre todo intermediación de carretera en Norteamérica (NAST); Global Forwarding facturó 3.090 M USD con 184 M de resultado del segmento [25]. Margen bruto ajustado del grupo de 2.729 M USD y resultado de explotación de 795 M: conversión del 29,1 % [25]. Publica el 3T26 hacia el 29-oct-2026.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DHL Supply Chain (DHL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DHL.DE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132.782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competidor en logística por contrato: 17.778 M EUR de ingresos (+3,7 % sin divisa) y EBIT de 1.161 M EUR en 2025; 7.500 M EUR de contratos nuevos [23].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GXO Logistics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GXO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83.766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Logística por contrato pura: 13.178 M USD de ingresos y 245 M de resultado de explotación en 2025; 1.043 centros y 221 millones de pies cuadrados [26].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DSV se define como plataforma cuyo valor crece con la red (más de 90 países, grupaje europeo) [1]; la densidad abarata la consolidación, pero los clientes pueden usar varias redes a la vez.</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grandes cargadores reparten la carga entre varios proveedores logísticos [7]; ningún cliente supera el 5 % de los ingresos de DSV [1]. Algo más altos en logística por contrato e integraciones informáticas.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patentes ni licencias que excluyan: las licencias de agente o NVOCC son accesibles [7, 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Conversión de Air &amp; Sea del 48,1 % en 2024, del 40,2 % en 2025 y del 45,8 % en el 3T26, frente al 41,1 % y 25,8 % de Kuehne+Nagel en mar en 2024-25 y al 29,2 % en el 2T26 [1, 5, 17, 19]; margen EBIT del grupo del 7,9 % en 2025 frente al 5,1 % de Kuehne+Nagel y el 4,1 % de DHL Global Forwarding, Freight [1, 5, 6]; margen bruto por TEU y por tonelada superiores a los de Kuehne+Nagel [17, 19].</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Primer transitario del mundo y uno de los mayores compradores de transporte [1]; la escala no impide que el mercado siga fragmentado (top 20 ~40 %) ni la entrada de competidores regionales [1].</w:t>
            </w:r>
          </w:p>
        </w:tc>
      </w:tr>
    </w:tbl>
    <w:p>
      <w:pPr>
        <w:spacing w:after="160" w:before="0"/>
      </w:pPr>
    </w:p>
    <w:p>
      <w:pPr>
        <w:pStyle w:val="Heading2"/>
      </w:pPr>
      <w:r>
        <w:t xml:space="preserve">Amenazas</w:t>
      </w:r>
    </w:p>
    <w:p>
      <w:pPr>
        <w:spacing w:after="100"/>
      </w:pPr>
      <w:r>
        <w:t xml:space="preserve">Primero, la ejecución: la integración de Schenker hundió la productividad y el volumen de Road (EBIT del 3T26 −35,1 % a divisa constante; Alemania, Francia y Benelux) y retrasa a 2027 parte de las sinergias; el servicio se normalizó a finales de septiembre [15]. Segundo, la pérdida de cuota mientras DSV integra: en el 3T26 sus volúmenes de aire y mar cayeron un 3 % con el mercado al alza, y bajó la actividad de las pymes europeas [15]; Kuehne+Nagel cerró con Amazon un acuerdo de hasta siete años para la logística de AWS y la acción de DSV cayó un 4,2 % ese día, aunque nadie confirmó que DSV pujara [32], y dice ganar cuota en aire [35]. Tercero, la normalización de fletes tras Oriente Medio, que ya presiona el margen por TEU (4.026 DKK en los nueve primeros meses de 2026) [15, 31]. Cuarto, las navieras con oferta puerta a puerta [1].</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67.747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74.901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79.053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94.701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10.292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115.932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13.559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9.520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182.306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20.417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16.223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11.205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235.665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30.275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25.204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17.568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150.785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22.997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17.723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12.315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167.106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21.831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16.096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10.109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247.331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28.244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19.611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8.095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34,30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t xml:space="preserve">Crecimiento anual compuesto 2016-2025: ingresos </w:t>
      </w:r>
      <w:r>
        <w:rPr>
          <w:b/>
          <w:bCs/>
        </w:rPr>
        <w:t xml:space="preserve">15,5 %</w:t>
      </w:r>
      <w:r>
        <w:t xml:space="preserve">, EBITDA </w:t>
      </w:r>
      <w:r>
        <w:rPr>
          <w:b/>
          <w:bCs/>
        </w:rPr>
        <w:t xml:space="preserve">23,4 %</w:t>
      </w:r>
      <w:r>
        <w:t xml:space="preserve">, BPA </w:t>
      </w:r>
      <w:r>
        <w:rPr>
          <w:b/>
          <w:bCs/>
        </w:rPr>
        <w:t xml:space="preserve">16,2 %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DKK,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Tres saltos de perímetro explican casi todo el crecimiento: UTi (2016), Panalpina (ago-2019), GIL (16-ago-2021) y Schenker (desde el 1-may-2025). Los ingresos pasan de 67.747 M DKK en 2016 a 247.331 M en 2025 [1, 7], pero con el ciclo de fletes en medio: 2021-2022 inflaron ingresos y margen (EBIT antes de partidas especiales de 25.204 M en 2022, margen operativo 10,7 %, conversión 48,3 %) y 2023-2024 los devolvieron (16.096 M en 2024) [1, 4]. En 2025 el EBIT antes de partidas especiales sube un 21,8 % a 19.611 M, pero el margen operativo cae de 9,6 % a 7,9 % y la conversión (EBIT/margen bruto) de 37,5 % a 29,3 % por la dilución de Schenker [1]. Sin Schenker y a tipo de cambio constante, el EBIT del 3T25 cayó un 7,3 % [11]. Proforma con Schenker desde el 1-ene-2025, los ingresos de 2025 habrían sido unos 293.368 M y el beneficio unos 8.644 M [1]. El LTM a sep-26 (299.491 M de ingresos, 33.748 M de EBITDA y 23.308 M de EBIT antes de partidas especiales) tiene Schenker los doce meses y compara limpio con el LTM a jun-26 (290.772 M y 22.136 M) [2, 15]. En el 3T26 los ingresos suben un 10,5 % a tipo constante y sin cambio de perímetro (Schenker ya estaba en el 3T25), pero el margen bruto solo un 2,3 %: el margen bruto sobre ventas cae de 27,1 % a 25,1 % porque los fletes y el combustible más caros se repercuten sin margen; el EBIT antes de partidas especiales sube un 19,5 % (margen operativo de 7,5 % a 8,2 %, conversión de 27,9 % a 32,6 %) por las sinergias, que bajan los costes en 427 M, y por 300 M de plusvalías inmobiliarias [15]. 2016 y 2019 vienen de las tablas de cinco años (sin desglose de costes) y 2017-2018 no están reexpresados por NIIF 16 [6, 7].</w:t>
      </w:r>
    </w:p>
    <w:p>
      <w:pPr>
        <w:pStyle w:val="Heading2"/>
      </w:pPr>
      <w:r>
        <w:t xml:space="preserve">Ajustes y partidas no recurrentes</w:t>
      </w:r>
    </w:p>
    <w:p>
      <w:pPr>
        <w:spacing w:after="100"/>
      </w:pPr>
      <w:r>
        <w:t xml:space="preserve">DSV presenta el EBITDA y el EBIT antes de partidas especiales (special items); en la cuenta de esta nota van esas cifras tal como las publica, y las partidas especiales quedan entre el EBIT y el beneficio antes de impuestos (por eso bai = ebit + resultado financiero − partidas especiales) y no dentro del EBITDA; por eso no se declaran como no recurrentes dentro del EBITDA. Partidas especiales (M DKK): 2016 1.002 (UTi); 2017 525; 2018 0; 2019 800 (Panalpina); 2020 2.164 (Panalpina); 2021 478 (GIL); 2022 1.117; 2023 0; 2024 853 (Schenker, de ellas 196 de costes de transacción); 2025 4.527 (Schenker; 554 de transacción) [1, 4, 6, 7]. 9M26: 4.197 (1.276 en el 3T26), todo integración de Schenker; acumulado desde la compra unos 8.700 M de un total previsto de unos 11.000 M; para 2026 se esperan ahora unos 5.500 M (antes 6.500 M) y el resto en 2027 [15]. Se repiten en cada compra grande: son recurrentes para un consolidador. Dentro del EBIT antes de partidas especiales sí van plusvalías por venta de inmuebles de Schenker: unos 250 M en el 2T26 y 300 M en el 3T26 (550 M en 9M26), y la guía de 2026 cuenta con otras parecidas en el 4T26 [2, 15]; no se restan aquí porque el consenso y la guía las incluyen, pero son el 4,5 % del EBIT del 3T26 y no se repetirán cuando acabe la venta de inmuebles. 2025 incluye una pérdida de actividades interrumpidas de 291 M [1]. LTM sep-26 calculado como 2025 − 9M25 + 9M26 con cifras antes de partidas especiales; el beneficio atribuido LTM (7.824 M) cuadra con el BPA básico LTM publicado (32,9 DKK × 237,924 M acciones) y el BPA diluido LTM (32,81) es ese beneficio entre 238,430 M acciones diluidas medias [1, 11, 15]. El BPA diluido ajustado LTM que publica DSV (antes de partidas especiales y de amortización de intangibles comprados) es 56,1 DKK (50,3 un año antes) [15]. El FCF LTM (14.101 M) es el flujo libre ajustado de DSV (después de arrendamientos, antes de partidas especiales pagadas y de compras): 16.335 M de 2025 − 10.976 M de 9M25 + 8.742 M de 9M26; incluye 6.405 M de venta de inmovilizado en 9M26 [1, 15]. Para 2016 y 2019, bai e impuestos derivados de la tabla de cinco años [6, 7]. Los crecimientos trimestrales se calculan sobre los ingresos del mismo trimestre del año anterior publicados en cada informe, y el EBITDA del 4T como el anual menos los nueve meses [1, 3, 8, 9, 10, 11, 12, 15]. Desde 2027 DSV aplicará la NIIF 18, que reclasificará líneas de la cuenta y redefinirá sus indicadores clave [15].</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43.514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41.680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61.983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71.983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71.685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8.060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70.416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7.472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76.688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80.702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9.314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En línea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La conferencia del 3T26 (21-oct, 11:00 CEST) es posterior a esta nota; se comparan los informes del 2T26 y del 3T26 [2, 15]. Frente al consenso previo que recoge Investing.com (sin citar proveedor), superó en ingresos (74.700 M) y en beneficio ajustado (3.850 M) y quedó un 0,8 % por debajo en EBIT (6.660 M) [17]; en el 2T26 el EBIT (6.255 M) había batido los 6.100 M del consenso de S&amp;P Global Market Intelligence [18]. Cambian cuatro mensajes. La guía de EBIT antes de partidas especiales de 2026 se estrecha a 24.000-25.000 M (antes 23.500-25.500 M): sube el suelo, baja el techo y el punto medio sigue en 24.500 M, con plusvalías inmobiliarias en el 4T incluidas [15]. Las sinergias siguen «al nivel» de 9.000 M anuales, pero ahora en parte compensadas por la inflación y por los costes del crecimiento de Contract Logistics, y las de Road y algunas funciones de grupo se retrasan a 2027; por eso las partidas especiales de 2026 bajan a unos 5.500 M (antes 6.500 M), con el total de unos 11.000 M intacto y unos 8.700 M ya reconocidos [2, 15]. En Road, que en el 2T26 llevó a cambiar equipos y a poner al COO al frente, el EBIT cae un 35,1 % (526 M, 195 M de ellos plusvalías) con volumen negativo, aunque la operativa «se normalizó» al final del trimestre [2, 15]. Y con el apalancamiento en 2,5x DSV lanza su primera recompra desde Schenker (1.500 M DKK hasta el 1-feb-2027) [15, 16]. Lo flojo: volumen aéreo y marítimo del −3 % [15].</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40.367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13.416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38.388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14.835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38.812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32.250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14.561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97.557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49.430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96.250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96.141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8.881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47.385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161.395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151.724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16.121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21.465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15.288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28.454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74.103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159.045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153.967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12.984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22.212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16.767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71.519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147.110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152.880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10.564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22.143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68.703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236.545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154.522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16.064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61.144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21.673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114.182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290.373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298.394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20.934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67.005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30.930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84.756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117.414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(2016: UTi Worldwide, comprada en enero de 2016: casi todo el año en la cuenta; la plantilla pasa de 22.783 a 44.779 FTE y 2015 no es comparable.; 2019: Panalpina, consolidada desde agosto de 2019 (canje de acciones): unos cinco meses en la cuenta y año completo en el balance; además entra la NIIF 16 (2017-2018 sin reexpresar).; 2021: GIL de Agility, consolidada desde el 16-ago-2021 (pago en acciones): unos 4,5 meses en la cuenta y completa en el balance.; 2024: Balance inflado por la financiación de Schenker antes del cierre: 83.576 M de caja (ampliación de 36.605 M y bonos) sin el negocio comprado; deuda neta negativa.; 2025: Schenker, cerrada el 30-abr-2025 y consolidada desde el 1-may-2025: ocho meses en la cuenta y completa en el balance; casi duplica ingresos, activo y plantilla.).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neta con arrendamientos (definición de DSV, que incluye pensiones) pasó de −529 M DKK a cierre de 2024 (caja de la ampliación y los bonos aún sin usar) a 86.624 M a cierre de 2025, 87.331 M a 30-jun-2026 y 82.868 M a 30-sep-2026 (88.985 M un año antes) [1, 2, 15]. El apalancamiento (deuda neta / EBITDA de 12 meses) baja de 2,8x a cierre de 2025 y 2,7x en jun-26 a 2,5x en sep-26 [15]. Antes de Schenker se movía entre 18.000 y 35.000 M (29.245 M en 2021, 34.583 M en 2023) [1, 6]. El circulante neto que publica DSV sube a 10.926 M en sep-26 (5.018 M en sep-25; 3,4 % de las ventas anuales estimadas, 3,0 % sin los cobros pendientes por inmuebles vendidos, frente al objetivo de 2-3 %) por fletes y combustible más caros [15]. A 30-sep-2026: bonos 61.038 M y créditos 989 M (deuda financiera 62.027 M: 48.232 M a largo y 13.795 M a corto), arrendamientos 32.951 M, caja 13.753 M, pensiones 1.844 M, patrimonio de la dominante 129.297 M y minoritarios 375 M; clientes 56.173 M, activos de contrato 14.311 M, existencias 1.625 M, proveedores 27.275 M y coste devengado de servicios 14.433 M [15]. La contabilidad de la compra de Schenker quedó cerrada en 2026 (fondo de comercio de 74.986 M) [15].</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10.276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11.205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17.568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92,50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10.178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12.315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11.651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10.109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21.481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6.078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8.095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54,26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DK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2016-2025: FCF </w:t>
      </w:r>
      <w:r>
        <w:rPr>
          <w:b/>
          <w:bCs/>
        </w:rPr>
        <w:t xml:space="preserve">77.611</w:t>
      </w:r>
      <w:r>
        <w:t xml:space="preserve">, conversión </w:t>
      </w:r>
      <w:r>
        <w:rPr>
          <w:b/>
          <w:bCs/>
        </w:rPr>
        <w:t xml:space="preserve">110 %</w:t>
      </w:r>
      <w:r>
        <w:t xml:space="preserve"> del beneficio neto; adquisiciones 76.682, dividendos 8.940, recompras 71.137.</w:t>
      </w:r>
    </w:p>
    <w:p>
      <w:pPr>
        <w:spacing w:after="100"/>
      </w:pPr>
      <w:r>
        <w:t xml:space="preserve">DSV clasifica todos los intereses (también los de arrendamientos) y las partidas especiales pagadas dentro del flujo de explotación, así que el flujo operativo ya es después de intereses: en 2025 descontó 2.865 M de partidas especiales, 1.669 M de intereses de arrendamientos y 2.163 M de otros intereses [1]. El capex es bajo (entre el 1 % y el 1,6 % de los ingresos; 2.588 M en 2025) porque los almacenes y terminales se alquilan: el capex real de la red está en las altas de derechos de uso, que fueron 3.211 M (2020), 3.715 M (2021, más 2.375 M de GIL), 5.045 M (2022), 5.514 M (2023), 7.582 M (2024) y 7.781 M (2025, más 8.642 M de Schenker) [1, 4, 5, 6]. El flujo libre ajustado que publica DSV (tras arrendamientos y antes de partidas especiales y compras) fue de 8.746 M (2020), 8.659 M (2021), 22.810 M (2022), 11.471 M (2023), 5.550 M (2024) y 16.335 M (2025, una conversión del 117 % ayudada por la reducción del circulante) [1, 4, 6]. En el 2T26 cayó a 786 M (conversión ajustada del 36,9 %) por la subida temporal del circulante [2]; en el 3T26 subió a 6.439 M (conversión del 128,6 %) gracias a 3.189 M de caja de la venta de inmuebles de Schenker [15]. En 9M26 el flujo libre ajustado es de 8.742 M (10.976 M en 9M25): flujo operativo de 5.705 M, lastrado por −10.329 M de circulante y 4.649 M de partidas especiales pagadas, más 6.405 M de venta de inmovilizado, menos 2.716 M de capex y 5.339 M de arrendamientos [15]. Sin la venta de inmuebles, el flujo libre de 2026 sería muy inferior al de 2025: la caja de 2026 depende de desinversiones que no se repetirán. El circulante es la gran fuente de volatilidad: −4.604 M en 2021 y −4.212 M en 2024, +2.840 M en 2022 y +5.029 M en 2025 [1, 4, 6]. En 2021 la compra de GIL, pagada en acciones, aportó caja neta (+1.631 M por la caja adquirida), que aquí no se resta como adquisición [6]. En 2024 la emisión incluye la ampliación de 36.605 M para Schenker [1]. 2016 y 2019 solo tienen flujo operativo, dividendos y recompras (tablas de cinco años) [6, 7].</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Statsautoriseret Revisionspartnerselskab</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gris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2025: con un cambio de perímetro, los índices de activos, amortización y ventas (AQI, DEPI, SGI) comparan grupos distintos y el umbral de −1,78 no sirve.</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PwC audita a DSV desde la junta del 9-mar-2017 (nueve ejercicios hasta 2025) y emitió opinión favorable sobre 2025; la asignación del precio de compra de Schenker fue cuestión clave de auditoría [1]. La contabilidad de Schenker quedó cerrada en 2026 (ajustes de 120 M en el periodo de medición): de 86.807 M DKK pagados, el fondo de comercio es 75.106 M (87 %) y las relaciones con clientes solo 1.627 M, valoradas con un modelo de beneficios excedentes y un WACC de 8,25 % [1]; el fondo de comercio definitivo es 74.986 M [2, 15]. Un intangible amortizable tan pequeño reduce la amortización futura y favorece el EBIT y el ROIC «sin fondo de comercio» frente a compras anteriores. Las partidas especiales (costes de integración por debajo del EBIT) se repiten en cada compra: 1.002 M (2016), 2.964 M (2019-2020), 478 M (2021), 1.117 M (2022) y unos 11.000 M previstos para Schenker [1, 2, 6, 7]. DSV no publica el impacto en resultados de Schenker por separado porque ya no lleva contabilidad de los dos perímetros [1]. El tipo impositivo efectivo subió al 30,3 % en 2025 y se espera en torno al 28 % en 2026 [1, 2]. En el 2T26, unos 250 M del EBIT de Road (999 M) vienen de ventas de inmuebles, y en el 3T26 son 300 M del EBIT del grupo (195 M en Road y 105 M en Contract Logistics), contabilizados dentro del margen bruto [2, 15]. Los minoritarios se llevan 375 M del beneficio de 9M26 frente a 60 M en 9M25 (solo 11 M en el 3T26), un salto que el informe no explica [15].</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Poco intangible amortizable en la compra de Schenker</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ya definitiva: relaciones con clientes de 1.627 M frente a 74.986 M de fondo de comercio; menos amortización futura y más riesgo de deterioro si la integración falla [1, 15].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Partidas especiales recurrentes fuera del EBIT</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Aparecen en 2016-2017, 2019-2022 y 2024-2026; unos 11.000 M para Schenker, ~8.700 M ya reconocidos a sep-26 y parte desplazada a 2027. El EBIT «antes de partidas especiales» sobrestima el beneficio de un consolidador en serie [1, 15].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de caja muy dependiente del circulante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Conversión ajustada del 117 % en 2025, 36,9 % en el 2T26 y 128,6 % en el 3T26, este gracias a 3.189 M de venta de inmuebles; el circulante resta 10.329 M en 9M26 [1, 2, 15].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Plusvalías por venta de inmuebles dentro del EBIT antes de partidas especiales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250 M en el 2T26 y 300 M en el 3T26 (550 M en 9M26; el 4,5 % del EBIT del 3T26), y la guía de 2026 cuenta con más en el 4T26 [2, 15].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cifras separadas de Schenker</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DSV no puede aislar el resultado de Schenker; las sinergias declaradas no se pueden verificar con datos contables [1,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Actividades interrumpidas en 2025</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Pérdida de 291 M por una parte de Schenker clasificada para la venta (parte del negocio de carretera de EE. UU.)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Salto del beneficio atribuido a minoritarios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375 M en 9M26 frente a 60 M en 9M25, con 341 M de dividendos a minoritarios; el informe no da la causa [15].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Cambio de presentación con la NIIF 18 en 2027</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reclasificará líneas de la cuenta y redefinirá sus indicadores clave; las series de EBIT y conversión pueden no ser comparables desde 2027 [15].</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13.378</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16.913</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266,2 %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20.480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83,6 %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34.916</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56.858</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76,8 %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83.564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101.646</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73,9 %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101.582</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108.174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158.095</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147.440 M en 2025 (el 71 % del capital invertido medio); ha subido más de un 5 % en 3 de 7 años: comprador en serie. ROIC publicado 8,6 %; sin fondo de comercio, 29,7 %. En un comprador en serie el fondo de comercio es el precio de su crecimiento: juzga el publicado.</w:t>
      </w:r>
    </w:p>
    <w:p>
      <w:pPr>
        <w:spacing w:after="100"/>
      </w:pPr>
      <w:r>
        <w:rPr>
          <w:b/>
          <w:bCs/>
        </w:rPr>
        <w:t xml:space="preserve">ROIC incremental</w:t>
      </w:r>
      <w:r>
        <w:t xml:space="preserve"> (variación del NOPAT sobre variación del capital invertido en el periodo): 7,7 % · </w:t>
      </w:r>
      <w:r>
        <w:rPr>
          <w:b/>
          <w:bCs/>
        </w:rPr>
        <w:t xml:space="preserve">WACC</w:t>
      </w:r>
      <w:r>
        <w:t xml:space="preserve">: 8,3 %.</w:t>
      </w:r>
    </w:p>
    <w:p>
      <w:pPr>
        <w:spacing w:after="100"/>
      </w:pPr>
      <w:r>
        <w:rPr>
          <w:b/>
        </w:rPr>
        <w:t xml:space="preserve">DSV crea valor sobre sus activos operativos, pero todavía no sobre lo que pagó por Schenker.</w:t>
      </w:r>
      <w:r>
        <w:t xml:space="preserve"> El ROIC después de impuestos del informe cae del 22,9 % de 2017 y el 18,9 % de 2022 al 11,3 % en 2024 y al 8,6 % en 2025, ya casi en el WACC del 8,32 %; el ROIC incremental de la década es del 7,7 %. La propia DSV da el ROIC antes de impuestos de los últimos 12 meses a jun-26: </w:t>
      </w:r>
      <w:r>
        <w:rPr>
          <w:b/>
        </w:rPr>
        <w:t xml:space="preserve">10,8 % con el fondo de comercio</w:t>
      </w:r>
      <w:r>
        <w:t xml:space="preserve"> y las relaciones con clientes y </w:t>
      </w:r>
      <w:r>
        <w:rPr>
          <w:b/>
        </w:rPr>
        <w:t xml:space="preserve">40,4 % sin ellos</w:t>
      </w:r>
      <w:r>
        <w:t xml:space="preserve"> [2]. Después de impuestos (24 %, estimación propia) son un 8,2 % y un 30,7 %: el negocio rinde mucho sobre los almacenes alquilados y el circulante, y casi nada sobre los 75.106 M de fondo de comercio de Schenker [1]. Lo que mueve el ROIC es el margen, no la rotación: la conversión del grupo bajó del 37,5 % al 29,3 % con Schenker [1]. Frente a sus rivales, Expeditors (57,0 %) y C.H. Robinson (21,9 %) rinden más sin compras grandes y Kuehne+Nagel queda en el 16,3 %; DHL (9,2 %) y GXO (3,5 %), con más activos, por debajo [84, 85, 86, 87, 88]. El objetivo de 2030 es un ROIC antes de impuestos del ~20 % con el fondo de comercio [20]: es la cifra que diría si Schenker ha creado valor.</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sep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81.225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3.391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84.616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30-sep-2026: caja 13.753 M DKK y líneas de crédito comprometidas no dispuestas de 13.500 M DKK (1.800 M EUR), más líneas no comprometidas; bonos por 13.100 M DKK (1.750 M EUR) vencen en los 12 meses siguientes; en 9M26 se devolvieron 7.547 M de préstamos y se tomaron 2.159 M [15]. A 30-jun-2026: caja 10.058 M y 11.800 M de líneas comprometidas [2]. A 31-dic-2025: caja 13.179 M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A− (rebajó la perspectiva a negativa al anunciarse Schenker en septiembre de 2024; la búsqueda cita una vuelta a estable el 11-may-2026 que no se ha podido leer en el original) [109]. Moody’s: A3 [111]; Moody’s publicó una opinión de crédito actualizada el 7-oct-2026, que no se ha podido abrir. La política propia es deuda neta con arrendamientos por debajo de 2,0x el EBITDA antes de partidas especiales (2,5x a sep-26) [15].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DK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Pensiones de prestación definida netas de 2.098 M DKK a cierre de 2025 (457 M en 2024), casi todas heredadas de Schenker (2.044 M en la compra) [1]. Provisiones de 12.417 M (5.928 M a largo y 6.489 M a corto; 5.290 M en 2024), con 8.108 M que entraron con Schenker [1]. «Accrued cost of services» (12.726 M) es coste de fletes devengado aún no facturado por los transportistas: en esta nota se suma a proveedores porque es la contrapartida de los activos de contrato [1]. No hay pagos aplazados ni contraprestación contingente por Schenker [1]. El seguro de crédito cubre el 48 % de los clientes a cobrar [1]. No se han localizado covenants financieros en los documentos leídos. El objetivo propio es deuda neta con arrendamientos por debajo de 2,0x el EBITDA antes de partidas especiales; estaba en 2,8x a cierre de 2025 (ajustado con Schenker los 12 meses) y en 2,7x a 30-jun-2026, con la meta de volver por debajo de 2,0x en el 1S27 [1, 2].</w:t>
      </w:r>
    </w:p>
    <w:p>
      <w:pPr>
        <w:pStyle w:val="Heading1"/>
      </w:pPr>
      <w:r>
        <w:t xml:space="preserve">12. Asignación de capital</w:t>
      </w:r>
    </w:p>
    <w:p>
      <w:pPr>
        <w:pStyle w:val="Confianza"/>
        <w:spacing w:after="100"/>
      </w:pPr>
      <w:r>
        <w:t xml:space="preserve">Confianza: Alta</w:t>
      </w:r>
    </w:p>
    <w:p>
      <w:pPr>
        <w:spacing w:after="100"/>
      </w:pPr>
      <w:r>
        <w:t xml:space="preserve">Orden de prioridades declarado para el flujo libre: 1) reducir deuda cuando el apalancamiento supera el objetivo (deuda neta con arrendamientos por debajo de 2,0x el EBITDA antes de partidas especiales); 2) compras e inversiones que creen valor; 3) devolver capital, sobre todo con recompras y con un dividendo de aproximadamente el 10 % del beneficio neto [1]. El dividendo pagado en 2026 por el ejercicio 2025 fue de 7,00 DKK por acción (1.683 M), igual que en 2023 y 2024 [1, 15]. Las recompras se suspendieron al anunciar Schenker (sep-2024); con el apalancamiento en 2,5x a sep-26 (2,8x a cierre de 2025) y la integración casi terminada, el 21-oct-2026 DSV lanzó una recompra de hasta 1.500 M DKK y 2,6 millones de acciones (1,09 % del capital) hasta el 1-feb-2027, para ajustar la estructura de capital y cubrir planes de incentivos; las acciones que no se usen se propondrán amortizar [15, 16]. Entre 2021 y 2023 DSV recompró acciones por 52.151 M DKK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17.841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10.178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13.997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38.107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75.790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DK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UTi Worldwide (transitario de EE. UU.)</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 (importe no localizado en los documentos leídos)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Duplicó la plantilla (22.783 a 44.779 FTE); partidas especiales de 1.002 M en 2016 y 525 M en 2017; el ROIC antes de impuestos se recuperó al 23,4 % en 2017 y al 26,7 % en 2018 [7].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Panalpina (transitario suizo)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Oferta de canje en acciones nuevas de DSV (de 188 a 235 millones de acciones emitidas)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Partidas especiales de 800 M (2019) y 2.164 M (2020); el ROIC antes de impuestos bajó al 13,4 % en 2019 y volvió al 19,6 % en 2021; la conversión del grupo subió del 28,0 % (2019) al 43,1 % (2021)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GIL, Global Integrated Logistics de Agility</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30.675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acciones nuevas de DSV (de 230 a 240 millones de acciones emitidas); valor empresa de las adquiridas de 30.675 M DKK</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Cerrada el 16-ago-2021; coincidió con el pico de fletes: EBIT de 25.204 M y ROIC del 25,1 % en 2022 [1,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DB Schenker (Deutsche Bahn)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107.000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Todo en efectivo: 86.807 M DKK de contraprestación (75.595 M netos de caja). Captados 10.000 M EUR (75.000 M DKK) a partes iguales entre ampliación de capital (26,4 millones de acciones nuevas, 36.605 M DKK, oct-2024) y bonos; el resto, con préstamos a plazo y 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Cerrada el 30-abr-2025 [14]. Valor empresa anunciado de 14.300 M EUR (unos 107.000 M DKK): 0,77x ventas y 14,0x EBIT de los últimos 12 meses [13]. Fondo de comercio definitivo de 74.986 M [15]. Sinergias de unos 9.000 M DKK al año, ahora en parte compensadas por la inflación y con las de Road y algunas funciones de grupo retrasadas a 2027; costes de integración de ~11.000 M, ~8.700 M ya reconocidos a sep-26 [15]. ROIC antes de impuestos del 11,4 % LTM sep-26 frente al 15,4 % de 2024; Road con EBIT −35,1 % en el 3T26 por problemas operativos en Alemania, Francia y Benelux, normalizados a final de trimestre [15].</w:t>
            </w:r>
          </w:p>
        </w:tc>
      </w:tr>
    </w:tbl>
    <w:p>
      <w:pPr>
        <w:spacing w:after="160" w:before="0"/>
      </w:pPr>
    </w:p>
    <w:p>
      <w:pPr>
        <w:spacing w:after="100"/>
      </w:pPr>
      <w:r>
        <w:t xml:space="preserve">DSV ha sido un consolidador disciplinado: cada gran compra (UTi, Panalpina, GIL) hundió primero el ROIC y la conversión y en dos o tres años los llevó por encima del punto de partida, y entre compras devolvió casi todo el flujo libre con recompras (17.841 M en 2021, 20.313 M en 2022, 13.997 M en 2023) [1, 6, 7]. Schenker rompe la pauta en tamaño: casi duplica el grupo, se pagó en efectivo y se financió en parte con 26,4 millones de acciones nuevas (las emitidas pasan de 219,0 millones en 2023 a 240,4 millones en 2024) [1, 3]. El beneficio por acción diluido de 2025 (34,3 DKK) está por debajo del de 2021 (48,2 DKK) y el ROIC antes de impuestos (12,8 %) en mínimos de la serie [1]. A 30-sep-2026 hay 240,445 millones de acciones emitidas, 1,666 millones en autocartera (igual a 20-oct) y 238,353 millones diluidas; en 9M26 DSV vendió autocartera por 2.838 M para opciones ejercidas [15]. La recompra de 1.500 M anunciada el 21-oct-2026 compensa algo más que esa venta y no reduce el número de acciones de forma relevante [16]. El juicio sobre la compra depende de las sinergias de 2026-2027, retrasadas en parte, y de recuperar Road.</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Jens H. Lund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del grupo (Group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comité ejecutivo desde 2002: director financiero hasta 2021, director de operaciones (COO) de 2021 a 2024 y consejero delegado desde el 1 de febrero de 2024, sucesión anunciada en octubre de 2023 [40, 41]. Con él al frente, DSV cumplió la guía de EBIT antes de partidas especiales de 2024 (16.096 M DKK) y 2025 (19.611 M DKK), cerró la compra de Schenker el 30 de abril de 2025 y en el 3T26 acotó la guía de 2026 a 24.000-25.000 M DKK [1, 15, 42]. Tenía 48.135 acciones y 331.545 opciones a 31-12-2025 y compró 3.514 acciones en julio de 2026 [43, 56].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Michael Ebbe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(Group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en el comité ejecutivo como director financiero el 26 de octubre de 2021, procedente de otro puesto dentro de DSV [43]. Ha financiado la compra de Schenker (ampliación de 37.300 M DKK en octubre de 2024) y el desapalancamiento posterior: más de 7.000 M DKK de reducción de deuda neta desde el cierre [1, 44]. Tenía 1.250 acciones y 153.315 opciones a 31-12-2025 [43].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Brian Ejsing</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de operaciones (Group COO) y consejero delegado de la división Road</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DSV desde 1986; consejero delegado de DSV Solutions (hoy Contract Logistics) de 2012 a 2024 y COO del grupo y miembro del comité ejecutivo desde el 1 de febrero de 2024 [41]. En 2026 asumió además la dirección de la división Road tras los problemas de productividad y comerciales de la integración en Alemania, Francia y Benelux [2]. En el 3T26 el EBIT antes de partidas especiales de Road cayó un 35,1 % (526 M DKK, con 195 M de plusvalías inmobiliarias), aunque el servicio se normalizó al final del trimestre [15]. Tenía 100 acciones y 87.215 opciones a 31-12-2025 [43].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Thomas Plenborg</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desde marzo de 2011 y presidente; catedrático de contabilidad y auditoría en la Copenhagen Business School [1, 39]. Preside además ECIT AS y es consejero de Better Collective y Menzies Aviation [39]. No se considera independiente por llevar más de 12 años en el consejo [1]. Tenía 5.099 acciones a 31-12-2025 [43].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Frank Sobotka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delegado de la división Air &amp; Sea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DSV desde hace unos 14 años a 2024; director general de Air &amp; Sea Alemania y vicepresidente ejecutivo para Europa central, oriental y del sur antes de asumir la división el 1 de mayo de 2024, en sustitución de Carsten Trolle [41]. Air &amp; Sea aportó el 48 % del beneficio bruto de 2025 [1].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 antes de partidas especiales: 13.750-14.500 M DKK (guía vigente antes de la revisión), elevada a 15.250-16.000 M DKK el 20-oct-2021 [45]. La guía inicial de febrero de 2021 no se ha consultado.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16.223 M DKK [46]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Inicial 18.000-20.000 M DKK [46]; elevada a 23.000-25.000 y después a 24.500-25.500 M DKK en octubre [47].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25.204 M DKK [48]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Inicial 16.000-18.000 M DKK [48]; elevada a 17.000-18.500 M DKK en julio [49]; último rango 17.500-18.500 M DKK [50].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17.723 M DKK [50]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Inicial 15.000-17.000 M DKK [50]; rango de 15.500-17.000 acotado a 16.000-17.000 M DKK en octubre [51].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16.096 M DKK, en la parte baja del rango [42]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Inicial 15.500-17.500 M DKK sin Schenker [42]; revisada con Schenker en el 1T25 (mínimo 19.500 M DKK) y último rango 19.500-20.500 M DKK [1, 43].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19.611 M DKK, en la parte baja del rango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Inicial 23.000-25.500 M DKK con al menos 4.000 M DKK de sinergias incrementales de Schenker [1]; reiterada el 29-abr-2026 [66]; acotada a 23.500-25.500 M DKK el 22-jul [2] y a 24.000-25.000 M DKK el 21-oct, con plusvalías inmobiliarias del 4T26 incluidas en el rango [15]. En el 3T26 dejó de repetir la cifra de 4.000 M DKK de sinergias en 2026: las de Road y de algunas funciones del grupo se retrasan a 2027, y los costes de integración de 2026 bajan de 6.500 a ~5.500 M DKK por el mismo retraso [15, 66].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curso: 17.716 M DKK en 9M26, de ellos 550 M DKK de plusvalías por venta de inmuebles [15]. El nuevo rango exige 6.284-7.284 M DKK en el 4T26, frente a 5.592 M DKK en el 4T25 (19.611 del año menos 14.019 de 9M25) (estimación propia a partir de [1, 15]).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Pendiente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2030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Objetivos «Leverage to Lead» (día del inversor, 12-may-2026): conversión del grupo ~45 % y ROIC antes de impuestos ~20 %; Air &amp; Sea &gt;55 %/&gt;20 %, Road &gt;35 %/&gt;20 %, Contract Logistics &gt;35 %/&gt;15 %; ~9.000 M DKK de sinergias de Schenker con pleno efecto desde 2027 y ~9.000 M DKK de productividad adicional hasta 2030 [52].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Objetivo a medio plazo, sin resultado aún. En el 3T26 DSV mantiene los ~9.000 M DKK anuales de sinergias, pero retrasa a 2027 las de Road y de algunas funciones del grupo, y las compensa en parte con inflación y costes de la mayor actividad de Contract Logistics [15].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Pendiente</w:t>
            </w:r>
          </w:p>
        </w:tc>
      </w:tr>
    </w:tbl>
    <w:p>
      <w:pPr>
        <w:spacing w:after="160" w:before="0"/>
      </w:pPr>
    </w:p>
    <w:p>
      <w:pPr>
        <w:spacing w:after="100"/>
      </w:pPr>
      <w:r>
        <w:t xml:space="preserve">La dirección ha cumplido la guía anual de EBIT antes de partidas especiales cinco años seguidos (2021-2025), aunque en 2024 y 2025 lo hizo en la parte baja del rango y en 2021-2023 con revisiones al alza ayudadas por el ciclo de fletes [42, 45, 46, 47, 48, 49, 50, 51]. La guía de 2026 se ha ido estrechando (23.000-25.500 en febrero, 24.000-25.000 M DKK en octubre) y el punto medio sube, pero con ayuda de plusvalías inmobiliarias (550 M DKK en 9M26, más las previstas en el 4T26) y con parte de las sinergias de Road retrasadas a 2027 [1, 15]. La sucesión del consejero delegado fue ordenada y todo el equipo es de la casa [40, 41]. El punto débil sigue siendo Road, que dirige el propio COO [2, 15]. La participación accionarial del equipo es pequeña (el consejero delegado, 0,02 % del capital) y su alineamiento descansa sobre todo en opciones [43].</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Thomas Plenborg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 Nombramientos; miembro de Auditoría y Remuneración (composición de 2025)</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Lars Søren Rasmussen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publicadas tras la junta de 2026</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Beat Walti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 (2025)</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Benedikte Leroy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 Remuneración (2025)</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Natalie Shaverdian Riise-Knudsen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 Auditoría (2025)</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Sabine Bendiek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Nombramientos (2025)</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Tan Chong Meng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publicadas tras la junta de 2026</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Tarek Sultan Al-Essa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Ninguna (2025)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63 %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Thomas Plenborg</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6,66 / ventas 265,25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Ernst Göhner Stiftung (Suiza)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su presidente, Beat Walti, es consejero de DSV</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notificaciones de cambio en 2024-2026; última cifra notificada recogida en el informe anual 2025 [1, 39]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Agility Global PLC (grupo Agility, Kuwait)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Industrial; su presidente, Tarek Sultan Al-Essa, es consejero de DSV</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19.304.348 acciones; reorganización interna en julio de 2025 (de Agility K.S.C.P a Agility Global PLC) sin cambio de participación [57]</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 Group Companies (EE. UU.)</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 fondos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Inversor ancla con ~700 M USD en la ampliación de octubre de 2024 [1, 44]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 (EE. UU.)</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 fondos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Subió al 6,36 % el 9-oct-2024 tras ser ancla con 1.100 M USD en la ampliación; bajó del 5 % el 27-oct-2025 [44, 58, 59]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Acciones propias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1,666 M de acciones a 30-sep y a 20-oct-2026 (0,69 % de 240,445 M emitidas), frente a 3,7 M a 31-12-2025: la autocartera se ha usado para opciones (venta de acciones propias por 2.838 M DKK en 9M26) [1, 15]. El 21-oct-2026 arrancó la primera recompra desde Schenker: hasta 1.500 M DKK y 2,6 M de acciones (1,09 % del capital) hasta el 1-feb-2027, para ajustar la estructura de capital y cubrir los planes de incentivos; lo que no se use se propondrá amortizar [65].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Michael Ebbe (CFO): ejercicio de opciones a 1.325 DKK y venta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Brian Ejsing (COO): ejercicio de opciones a 1.325 DKK y venta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Brian Ejsing (COO): ejercicio de opciones a 1.485 DKK y venta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Michael Ebbe (CFO): ejercicio de opciones a 1.485 DKK y venta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Jens H. Lund (CEO): ejercicio de opciones a 1.325 DKK y venta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122,14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23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Michael Ebbe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Jens H. Lund (CEO)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3.514</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4,90</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17,50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15,30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consejero delegado cobró 39,0 M DKK en 2025, un 37,8 % más que en 2024 (28,3 M) (salario medio de DSV A/S: +7,4 %); 137 veces el sueldo mediano del grupo [1, 43]. El nuevo bono anual (hasta el 10 % del paquete) pesa EBIT 40 % (mínimo 19.500 M DKK, rango revisado con Schenker), acción frente a rivales a dos años 40 % y emisiones 20 %; se cumplió entero [43]. Aparte, el presidente concedió 6,1 M DKK discrecionales al comité ejecutivo por la compra de Schenker (2,7 M al consejero delegado). </w:t>
      </w:r>
      <w:r>
        <w:rPr>
          <w:b/>
        </w:rPr>
        <w:t xml:space="preserve">No hay métrica de sinergias</w:t>
      </w:r>
      <w:r>
        <w:t xml:space="preserve"> en el variable [43]. El largo plazo son opciones con tres años de consolidación y </w:t>
      </w:r>
      <w:r>
        <w:rPr>
          <w:b/>
        </w:rPr>
        <w:t xml:space="preserve">sin condiciones de rendimiento</w:t>
      </w:r>
      <w:r>
        <w:t xml:space="preserve"> [43]. Política reformada en la junta de 2025; recuperación (clawback) a dos años y preaviso de hasta 24 meses sin indemnización adicional [43, 60].</w:t>
      </w:r>
    </w:p>
    <w:p>
      <w:pPr>
        <w:pStyle w:val="Heading2"/>
      </w:pPr>
      <w:r>
        <w:t xml:space="preserve">Operaciones vinculadas, estructura de control y defensas</w:t>
      </w:r>
    </w:p>
    <w:p>
      <w:pPr>
        <w:spacing w:after="100"/>
      </w:pPr>
      <w:r>
        <w:t xml:space="preserve">DSV no tiene accionista de control: 101.343 accionistas registrados y los 25 mayores suman ~60 % del capital flotante [1]. Una sola clase de acciones, un voto por acción y sin restricciones estatutarias de voto ni de transmisión [1, 39]. Los dos mayores accionistas, Ernst Göhner Stiftung (9,7 %) y Agility (8,0 %), tienen a sus presidentes en el consejo, aunque DSV los califica de independientes [1, 39]. No consta ninguna notificación de participación de Deutsche Bahn: la compra de Schenker se financió en parte con una ampliación de 37.300 M DKK a 1.410,50 DKK por acción sin derecho de suscripción preferente [44]. El consejo tiene autorización hasta marzo de 2030 para emitir hasta 48,1 M de acciones (un 20 % del capital) con o sin preferente [1] y para recomprar hasta 24,044 M de acciones hasta el 20-mar-2030, que usa desde el 21-oct-2026 en una recompra de hasta 1.500 M DKK [65]. En 2025 no hubo operaciones vinculadas con consejeros ni directivos [1].</w:t>
      </w:r>
    </w:p>
    <w:p>
      <w:pPr>
        <w:pStyle w:val="Heading2"/>
      </w:pPr>
      <w:r>
        <w:t xml:space="preserve">Señales de alerta</w:t>
      </w:r>
    </w:p>
    <w:p>
      <w:pPr>
        <w:pStyle w:val="ListParagraph"/>
        <w:numPr>
          <w:ilvl w:val="0"/>
          <w:numId w:val="2"/>
        </w:numPr>
        <w:spacing w:after="60"/>
      </w:pPr>
      <w:r>
        <w:t xml:space="preserve">Dos consejeros calificados de independientes presiden a los dos mayores accionistas: Beat Walti (Ernst Göhner Stiftung, 9,7 %) y Tarek Sultan Al-Essa (Agility Global, 8,0 %) [1, 39, 57].</w:t>
      </w:r>
    </w:p>
    <w:p>
      <w:pPr>
        <w:pStyle w:val="ListParagraph"/>
        <w:numPr>
          <w:ilvl w:val="0"/>
          <w:numId w:val="2"/>
        </w:numPr>
        <w:spacing w:after="60"/>
      </w:pPr>
      <w:r>
        <w:t xml:space="preserve">El presidente, Thomas Plenborg, no es independiente (más de 12 años en el consejo, desde 2011), negocia personalmente los sueldos del comité ejecutivo y desde 2025 puede conceder compensaciones extraordinarias discrecionales; en 2025 pagó 6,1 M DKK por la compra de Schenker [1, 43].</w:t>
      </w:r>
    </w:p>
    <w:p>
      <w:pPr>
        <w:pStyle w:val="ListParagraph"/>
        <w:numPr>
          <w:ilvl w:val="0"/>
          <w:numId w:val="2"/>
        </w:numPr>
        <w:spacing w:after="60"/>
      </w:pPr>
      <w:r>
        <w:t xml:space="preserve">Ventas de directivos por 265 M DKK en 12 meses, todas por ejercicio de opciones (las de febrero de 2026, a 1.828-1.851 DKK); tras el 1S26 solo hubo compras simbólicas de 6,7 M DKK, a ~1.400 DKK, y no hay operaciones nuevas hasta el 21-oct-2026 [53, 54, 55, 56, 64, 67].</w:t>
      </w:r>
    </w:p>
    <w:p>
      <w:pPr>
        <w:pStyle w:val="ListParagraph"/>
        <w:numPr>
          <w:ilvl w:val="0"/>
          <w:numId w:val="2"/>
        </w:numPr>
        <w:spacing w:after="60"/>
      </w:pPr>
      <w:r>
        <w:t xml:space="preserve">Posición corta agregada (posiciones ≥0,1 %) del 2,10 % del capital a 31-jul-2026, frente al 1,62 % de octubre de 2025; ninguna posición individual ≥0,5 % publicada desde mayo de 2019. A 21-oct-2026 la Finanstilsynet no ha publicado fichero posterior al de julio [62, 63, 68].</w:t>
      </w:r>
    </w:p>
    <w:p>
      <w:pPr>
        <w:pStyle w:val="ListParagraph"/>
        <w:numPr>
          <w:ilvl w:val="0"/>
          <w:numId w:val="2"/>
        </w:numPr>
        <w:spacing w:after="60"/>
      </w:pPr>
      <w:r>
        <w:t xml:space="preserve">Provisiones por litigios y disputas de 2.508 M DKK a cierre de 2025 (2.100 M incorporados con Schenker); DSV no detalla pasivos contingentes individuales y reconoce consultas de autoridades de competencia sin impacto material, según la dirección [1].</w:t>
      </w:r>
    </w:p>
    <w:p>
      <w:pPr>
        <w:pStyle w:val="ListParagraph"/>
        <w:numPr>
          <w:ilvl w:val="0"/>
          <w:numId w:val="2"/>
        </w:numPr>
        <w:spacing w:after="60"/>
      </w:pPr>
      <w:r>
        <w:t xml:space="preserve">Road sigue siendo el problema de la integración: el COO del grupo dirige también la división desde 2026, su EBIT antes de partidas especiales cayó un 35,1 % en el 3T26 y las sinergias de Road y de algunas funciones del grupo se retrasan a 2027; el variable de la cúpula no tiene métrica de sinergias [2, 15, 43].</w:t>
      </w:r>
    </w:p>
    <w:p>
      <w:pPr>
        <w:pStyle w:val="ListParagraph"/>
        <w:numPr>
          <w:ilvl w:val="0"/>
          <w:numId w:val="2"/>
        </w:numPr>
        <w:spacing w:after="60"/>
      </w:pPr>
      <w:r>
        <w:t xml:space="preserve">La guía de 2026 incluye plusvalías por venta de inmuebles (550 M DKK en 9M26 y más previstas en el 4T26), que no son recurrentes y ayudan a cumplir el EBIT, métrica que pesó el 40 % del bono anual de 2025 [15, 43].</w:t>
      </w:r>
    </w:p>
    <w:p>
      <w:pPr>
        <w:pStyle w:val="ListParagraph"/>
        <w:numPr>
          <w:ilvl w:val="0"/>
          <w:numId w:val="2"/>
        </w:numPr>
        <w:spacing w:after="60"/>
      </w:pPr>
      <w:r>
        <w:t xml:space="preserve">Auditor: PwC desde el 9 de marzo de 2017 (nueve ejercicios), reelegido en las juntas de 2024, 2025 y 2026 [1, 38, 60, 61].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El 21 de octubre de 2026, con el 3T26, DSV estrechó otra vez la guía del año: EBIT antes de partidas especiales de 24.000-25.000 M DKK (antes, 23.500-25.500 M; en julio, 23.000-25.500 M), que incluye plusvalías por venta de inmuebles en el 4T similares a las de los últimos trimestres (300 M en el 3T) [15]. Las partidas especiales de integración bajan a unos 5.500 M en 2026 (antes, 6.500 M) porque parte de las sinergias de Road se retrasan a 2027; el coste total de la integración sigue en unos 11.000 M y las sinergias anuales, en unos 9.000 M [15]. Tipo efectivo de alrededor del 28 % [15]. A medio plazo, el día del inversor del 12 de mayo de 2026 fijó para 2030 una ratio de conversión de ~45 % y un ROIC antes de impuestos de ~20 %, con otros ~9.000 M de productividad por IA, tecnología y red, y deuda neta con arrendamientos por debajo de 2,0 veces el EBITDA [20]. A 30 de septiembre la ratio era de 2,5 veces (2,7 en junio) y DSV lanzó una recompra de 1.500 M DKK, la primera desde Schenker [15, 65].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298.086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34.739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24.262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de 21 analistas, consultado el 21-oct-2026 (aún sin revisiones tras el 3T26) [70]</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302.976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39.120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28.504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79,42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de 21 analistas, consultado el 21-oct-2026 (aún sin revisiones tras el 3T26) [70]</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311.666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42.444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31.610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95,46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consenso de 21 analistas, consultado el 21-oct-2026 (aún sin revisiones tras el 3T26) [70]</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308.100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298.086</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35.586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34.739</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299.966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302.976</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37.646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39.120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311.965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311.666</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41.679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42.444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 / 2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1.824,95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1.250,00 – 2.300,00</w:t>
            </w:r>
          </w:p>
        </w:tc>
      </w:tr>
    </w:tbl>
    <w:p>
      <w:pPr>
        <w:spacing w:after="160" w:before="0"/>
      </w:pPr>
    </w:p>
    <w:p>
      <w:pPr>
        <w:pStyle w:val="Heading2"/>
      </w:pPr>
      <w:r>
        <w:t xml:space="preserve">Revisiones de estimaciones</w:t>
      </w:r>
    </w:p>
    <w:p>
      <w:pPr>
        <w:spacing w:after="100"/>
      </w:pPr>
      <w:r>
        <w:t xml:space="preserve">El consenso todavía no recoge el 3T26: a media mañana del 21-oct MarketScreener y Stock Analysis muestran las mismas cifras que el 19-oct (EBIT de 24.262, 28.504 y 31.610 M DKK y BPA contable de 40,67, 79,42 y 95,46 DKK en 2026e-2028e; objetivo medio 1.824,95 DKK, entre 1.250 y 2.300) [70, 71, 72]. Frente a lo esperado, el 3T26 batió en ventas (80.702 M frente a 74.700 M) y en beneficio ajustado (4.065 M frente a 3.850 M), quedó en línea en EBIT antes de partidas especiales (6.606 M frente a 6.660 M, con 300 M de plusvalías inmobiliarias) y el centro de la nueva guía (24.500 M) queda algo por encima del consenso del año (24.410 M) [15, 94]. Lo previsible es que 2026e se mueva poco y que el recorte llegue en 2027e por el retraso de sinergias de Road, como anticipó JPMorgan (EBIT 2027e de 26.400 M, un 14 % menos, y BPA 2027-2031 un 20 % menor) [95]. En los tres meses previos los objetivos cayeron sin pausa: MarketScreener registra una veintena de recortes desde el 1S26 (22-jul), entre ellos HSBC 2.250 → 1.840, Oddo 2.160 → 1.960 y BNP Paribas 2.100 → 1.900 en septiembre, y siete casas más entre el 8 y el 15-oct (Barclays 1.800, JPMorgan 1.400 con rebaja a neutral, Nordea 1.670, Jyske 1.600, UBS 1.805, Deutsche Bank 1.425 y RBC, que empieza con «sector perform» y 1.250) [71, 74, 90]. Stock Analysis (S&amp;P Global) cuenta 15 compra fuerte, 4 compra y 2 mantener, con BPA ajustado de 2026e de 61,95 DKK [72]. No hay historial gratuito de revisiones de BPA a 3 y 12 meses.</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2,1 %</w:t>
            </w:r>
          </w:p>
        </w:tc>
      </w:tr>
    </w:tbl>
    <w:p>
      <w:pPr>
        <w:spacing w:after="160" w:before="0"/>
      </w:pPr>
    </w:p>
    <w:p>
      <w:pPr>
        <w:spacing w:after="100"/>
      </w:pPr>
      <w:r>
        <w:t xml:space="preserve">Hasta el 19-oct, DSV pierde un 24,7 % en el año con dividendos frente al +10,6 % del STOXX Europe 600 y el +8,3 % del sectorial de bienes y servicios industriales, y un 9,6 % en doce meses frente al +14,4 % del índice [69]. El 20-oct cerró a 1.200 DKK, un 37 % por debajo del máximo de 1.913,5 DKK del 9 de febrero y un 6 % sobre el mínimo de 1.130,5 DKK del 9 de octubre [93]. Las tres peores sesiones del año tienen causa conocida: el −14,2 % del 22 de julio con el 1S26 (problemas de Road tras integrar Schenker), el −10,5 % del 12 de febrero por el miedo a la IA en los intermediarios de transporte y el −7,6 % del 4 de mayo, sin anuncio propio [2, 69, 91]. A diez años sigue por delante (14,2 % anual frente al 9,4 % del índice), pero a tres y cinco años rinde 3,3 % y −3,9 % anual frente al 17,0 % y 9,3 % del mercado [69]. Volatilidad de un año del 35,9 % y caída máxima a cinco años del 44,6 % (noviembre de 2021 a septiembre de 2022) [69]. El 21-oct, con el 3T26 y la recompra, sube un 6-8 % [93, 94].</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+6,4 % / -9,2 % / -25,0 % / +0,4 %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-32,8 % / +12,4 %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bajista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2027-02-02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dic-2025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 del 10,1 % en diciembre de 2025 (de 1.467,5 a 1.615 DKK) sin anuncio propio: la lista de MFN solo tiene la convocatoria del día del inversor (12-dic) y la de la conferencia anual (19-dic); no se localizó otra causa [64, 93].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12-feb cayó un 10,5 % en la sesión, con Kuehne+Nagel (−13 %) y C.H. Robinson (−15 %), por el comunicado de Algorhythm (SemiCab, antes una empresa de karaokes) que decía mover un 300-400 % más de carga con IA sin más plantilla; no fue un hecho de DSV, pero muestra que el mercado cotiza el riesgo de la IA en los intermediarios [91, 92, 93].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abr-2026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 del 11,4 % en el mes hasta el 28-abr, la víspera del 1T26 y con los fletes al alza por el conflicto de Oriente Próximo; sin anuncio propio en esas fechas [64, 69].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del 7,6 % el 4-may sin causa propia localizada: no hay anuncios entre el 1T26 (29-abr) y el día del inversor (12-may) [64, 93].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jul-ago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22-jul cayó un 14,2 % con el 1S26: problemas de productividad y de red en Road (Alemania, Francia y Países Bajos) tras integrar Schenker y guía estrechada por arriba; en el mes hasta el 11-ago perdió un 19,7 % [2, 69]. Es el riesgo central del informe, y el 3T26 dice que la operativa se normalizó a final del trimestre [15].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sep-2026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Septiembre cerró con −14,0 % (de 1.357,5 a 1.168 DKK): −5,6 % el 21-sep, el día en que Kuehne+Nagel anunció el contrato de logística de AWS con Amazon (nadie confirmó que DSV compitiera por él), y −4,3 % el 24-sep, en plena ola de recortes de objetivo (HSBC, Oddo, Barclays, Morgan Stanley, DNB Carnegie y BNP Paribas entre el 22 y el 30-sep) [32, 71, 93].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oct-2026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Del mínimo intradía del 9-oct (1.130,5 DKK) al cierre del 20-oct (1.200 DKK), +6,1 %, con +3,4 % el 15-oct y +3,1 % el 16-oct, cuando DHL adelantó un 3T mejor de lo esperado y subió su guía; el 21-oct, con el 3T26 (ventas y beneficio ajustado por encima del consenso, guía estrechada a 24.000-25.000 M con el centro algo por encima de lo esperado) y la primera recompra desde Schenker, sube un 8,0 % a las 9:40 (1.296 DKK) y un 6,5 % a media mañana [15, 93, 94, 96].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3T26: EBIT antes de partidas especiales de 6.606 M DKK (+19,5 %, con 300 M de plusvalías inmobiliarias), en línea con el consenso (6.660 M); ventas de 80.702 M y beneficio ajustado de 4.065 M, por encima (74.700 y 3.850 M). Road cae un 35 % en EBIT pero su operativa se normalizó a final de septiembre; guía de 2026 estrechada a 24.000-25.000 M; parte de las sinergias de Road se retrasan a 2027 [15, 94].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ampliación o convertible</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 de hasta 1.500 M DKK y 2,6 millones de acciones (1,09 % del capital) del 21-oct-2026 al 1-feb-2027, la primera desde la compra de Schenker; es demanda de acciones, no oferta [65].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Ola de recortes antes del 3T: Barclays 1.900 → 1.800 (8-oct), JPMorgan rebaja a neutral con 1.400 (9-oct), Nordea 1.840 → 1.670 (13-oct), Jyske 2.100 → 1.600 y UBS 1.945 → 1.805 (14-oct), Deutsche Bank 1.823 → 1.425 y RBC inicia en «sector perform» con 1.250 (15-oct), por la pérdida de clientes y volumen en Road [71, 74, 90, 95]. El 3T26 no confirma el peor escenario (la guía no baja), pero JPMorgan espera recortes del consenso de 2027e [95].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2026-09-21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rumor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 de AWS de Amazon con Kuehne+Nagel: la prensa danesa lo ligó a DSV sin confirmación de que compitiera por él [32].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2026-07-28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directivos tras ejercer opciones (anuncios 1171 y 1172, julio); ninguna operación nueva comunicada hasta el 21-oct [56, 64].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Ningún aviso de participación significativa desde el de BlackRock (30-oct-2025) y ninguna colocación anunciada o en estudio publicada [64].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2026-07-31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Posición corta agregada del 2,10 % del capital (julio, último dato de la Finanstilsynet consultado), sin demandas ni expedientes de reguladores en los anuncios [62, 64].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2027-02-02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Próximos resultados: anuales de 2026 (4T26) el 2-feb-2027 a las 7:30, según el calendario financiero de 2027 [64].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acción pierde un 25 % en seis meses y cotiza un 16 % por debajo de su media de 200 sesiones (aviso P5), pero cada caída fuerte tiene una causa que el informe recoge: Road tras integrar Schenker (julio), el miedo a la IA en los intermediarios (febrero) y el contrato de Amazon con Kuehne+Nagel y la ola de recortes de objetivos (septiembre y octubre). El 3T26 del 21-oct no trae la caída de guía que temía parte del mercado: estrecha el rango a 24.000-25.000 M, dice que Road se normalizó y lanza una recompra, y la acción sube un 6-8 %. Lo pendiente es el retraso de sinergias de Road a 2027, que puede recortar el consenso de 2027e, pero no es un hecho con fecha que mueva el precio más de un 5 % en contra. No hay colocaciones, ampliaciones ni decisiones de reguladores pendientes. Veredicto global: no cambia.</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Precios de cierre de cada ejercicio de Yahoo Finance [69]; los múltiplos los calcula el informe con las cuentas de cada año. No hay serie gratuita de múltiplos de los próximos 12 meses (`null`). El precio del informe (1.200 DKK, cierre del 20-oct [93]) está por debajo de los cierres de 2021, 2023, 2024 y 2025 y solo por encima del de 2022 (1.096,5 DKK) [69], mientras el beneficio antes de partidas especiales es mayor por la compra de Schenker (BPA ajustado diluido de 12 meses de 56,1 DKK a septiembre, +11,5 %) [1, 15]. Ojo al comparar: el perímetro cambió tres veces (Panalpina en 2019, GIL en 2021 y Schenker en 2025) y el BPA contable de 2025-2026 lleva los costes de integración (unos 11.000 M DKK en total), así que los años 2019-2021 y 2025-2026 no miden el mismo negocio que los intermedios.</w:t>
      </w:r>
    </w:p>
    <w:p>
      <w:pPr>
        <w:pStyle w:val="Heading1"/>
      </w:pPr>
      <w:r>
        <w:t xml:space="preserve">18. Comparables cotizados</w:t>
      </w:r>
    </w:p>
    <w:p>
      <w:pPr>
        <w:pStyle w:val="Confianza"/>
        <w:spacing w:after="100"/>
      </w:pPr>
      <w:r>
        <w:t xml:space="preserve">Confianza: Media</w:t>
      </w:r>
    </w:p>
    <w:p>
      <w:pPr>
        <w:spacing w:after="100"/>
      </w:pPr>
      <w:r>
        <w:t xml:space="preserve">Siete cotizadas de transitario y logística contractual, con el consenso de MarketScreener del 19-oct-2026 (nadie ha publicado resultados desde entonces) llevado al cierre del 20-oct con la variación de cada acción (NX Holdings, Tokio, del 20-oct; DHL e ID Logistics, cierre anterior que da Yahoo el 21-oct) [76, 77, 78, 79, 80, 81, 82, 97]: los dos rivales globales asset-light directos (Kuehne+Nagel y Expeditors), el mayor intermediario de carretera y transitario de EE. UU. (C.H. Robinson), DHL Group (dueño de DHL Global Forwarding), NX Holdings (transitario japonés global) y dos de logística contractual (GXO e ID Logistics), comparables con el almacén que trajo Schenker. Capitalización en millones de DKK al tipo del BCE del 20-oct [89]; el valor empresa se mueve con la capitalización y la deuda neta no cambia. Múltiplos de los próximos 12 meses con el 20 % de 2026e y el 80 % de 2027e; EV/EBITDA de los últimos 12 meses, margen y ROIC del 7-oct [84, 85, 86, 87, 88]. Fuera Sinotrans (acciones A y H a precios distintos), Kintetsu World Express (no cotiza) y Kerry Logistics (sin consenso completo gratis).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DSV</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DK</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286.024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Kuehne+Nagel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220.831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DHL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477.425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Expeditors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173.580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 Robinson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108.281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GXO Logistics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36.760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NX Holdings (Nippon Express)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58.096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 Logistics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16.318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38.268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6,3x / 7,3x / 13,3x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646,88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815,46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1.778,78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33.748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 / 8,4x / 15,3x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669,94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832,77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1.802,65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 / 20,3x / 24,4x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1.236,46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1.459,32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1.750,46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299.491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 / 1,0x / 1,1x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661,19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887,36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1.044,42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(7 comparables): múltiplo = 10,9 + -0,15 × crecimiento; R² = 0,01. El crecimiento explica poco los múltiplos de estos comparables (R² &lt; 0,3): la regresión no se usa en la valoración.</w:t>
      </w:r>
    </w:p>
    <w:p>
      <w:pPr>
        <w:spacing w:after="100"/>
      </w:pPr>
      <w:r>
        <w:t xml:space="preserve">Los múltiplos se separan en dos grupos: los transitarios asset-light (Kuehne+Nagel 12,3x, C.H. Robinson 14,3x y Expeditors 18,0x de EV/EBITDA de los próximos 12 meses) y los de activos pesados o logística contractual (DHL 7,0x, GXO 7,3x, NX 5,5x e ID Logistics 4,9x), con una mediana de 7,3x y un PER mediano de 20,3x [76, 77, 78, 79, 80, 81, 82, 97]. Al cierre del 20-oct (1.200 DKK) y con el puente del 30-sep, DSV cotiza a unas 9,7 veces el EBITDA de los próximos 12 meses del consenso y 16,7 veces su BPA contable (estimación propia: valor empresa de ≈369.300 M DKK sobre un EBITDA de ≈38.240 M, con el consenso de MarketScreener [70] y el balance del 3T26 [15]): con descuento frente a sus rivales asset-light y con prima frente a los de activos. Con Schenker, la mezcla de DSV tiene más carretera y logística contractual [15], así que una parte del descuento es estructural; con el 3T26, Air &amp; Sea (conversión del 45,8 %) se parece más a Kuehne+Nagel y Road, a los de activos. Dos cautelas: las americanas (US GAAP) restan el alquiler antes del EBITDA y su múltiplo sale más alto que el de las que aplican NIIF 16; y el margen de C.H. Robinson y Expeditors es sobre ingresos brutos de transporte. El 21-oct, con DSV a ≈1.280 DKK, los múltiplos de DSV suben un 5-7 %.</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780"/>
        <w:gridCol w:w="1676"/>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Schenker (DB Schenker)</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DSV</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0,77x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14.300 M EUR (≈107.000 M DKK) y valor de las acciones de 11.000 M EUR; DSV publicó 0,77x ventas y 14,0x EBIT de los 12 meses a junio de 2024, no el EBITDA [13]. Cerrada en 2025.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Bolloré Logistics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CMA CGM</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36.252</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0,68x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4.850 M EUR con la deuda y la caja estimadas al cierre (29-feb-2024); EV/ventas con la facturación de 2022 (7.100 M EUR) que cita la prensa, estimación propia [83]. Convertido a DKK al tipo del BCE del 20-oct-2026 [89].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2021-08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Integrated Logistics (GIL) de Agility</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30.675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Valor empresa de las adquiridas en 2021 según el informe anual de DSV (30.675 M DKK; GIL es casi toda la cifra); pagada sobre todo con acciones de DSV. No se publicó múltiplo [6].</w:t>
            </w:r>
          </w:p>
        </w:tc>
      </w:tr>
    </w:tbl>
    <w:p>
      <w:pPr>
        <w:spacing w:after="160" w:before="0"/>
      </w:pPr>
    </w:p>
    <w:p>
      <w:pPr>
        <w:spacing w:after="160" w:before="0"/>
      </w:pPr>
    </w:p>
    <w:p>
      <w:pPr>
        <w:spacing w:after="100"/>
      </w:pPr>
      <w:r>
        <w:t xml:space="preserve">Las operaciones del sector rara vez publican el EBITDA: la única con múltiplo oficial es la propia compra de Schenker por DSV, a 0,77 veces ventas y 14,0 veces EBIT [13], y Bolloré Logistics salió por unas 0,68 veces ventas de 2022 [83]. Con 0,77x ventas pagadas en 2024, DSV cotiza hoy a un valor empresa en torno a 1,2 veces las ventas de los últimos 12 meses (estimación propia: ≈369.300 M DKK de valor empresa con el puente del 30-sep sobre ≈299.500 M de ventas de los últimos 12 meses [15]), con un margen mayor que el de Schenker. DSV es comprador, no objetivo: su tamaño (≈286.000 M DKK de capitalización al cierre del 20-oct) y un accionariado sin control lo hacen improbable como objetivo, así que el método de transacciones aporta poco al valor objetivo.</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El DCF no proyecta ingresos sino margen bruto, porque los ingresos de un transitario suben y bajan con las tarifas que repercute al cliente (en 2023 cayeron un 36,0 % con un EBIT que bajó un 29,7 %) [4]. 2026e se fija con nueve meses publicados: margen bruto de 59.433 M a sep-26 y unos 79.800 M en el año, con ingresos de 308.108 M (+24,6 % por los cuatro meses más de Schenker y los fletes caros que se repercuten: en el 3T26 los ingresos subieron un 12,1 % y el margen bruto solo un 2,3 %) [15]. Para 2027e, +1,5 % de margen bruto (antes +2,5 %): DSV perdió volumen en el 3T26 (−3 % en mar y en aire con el mercado al alza) y las tarifas que subieron con Oriente Medio se normalizarán [15]. Después, +4 % anual hasta 2030 (volumen de 2-3 % más precio) y bajada al 2,5 % en 2035. Transport Intelligence prevé un mercado que crece un 2,3 % anual hasta 2030 [29]. Los ingresos de 2027e caen un 2,6 % porque el margen bruto sobre ventas vuelve del 25,9 % al 27 % de un año normal.</w:t>
      </w:r>
    </w:p>
    <w:p>
      <w:pPr>
        <w:keepNext/>
        <w:spacing w:after="100"/>
      </w:pPr>
      <w:r>
        <w:rPr>
          <w:b/>
          <w:bCs/>
        </w:rPr>
        <w:t xml:space="preserve">Márgenes.</w:t>
      </w:r>
    </w:p>
    <w:p>
      <w:pPr>
        <w:spacing w:after="100"/>
      </w:pPr>
      <w:r>
        <w:t xml:space="preserve">El margen se construye como conversión del margen bruto en EBIT antes de partidas especiales: 30,7 % en 2026e (EBIT ≈ 24.500 M, el centro de la guía estrechada a 24.000-25.000 M el 21-oct) [15], 33,5 % en 2027e (antes 34,5 %), 36,5 % en 2028e y 40,5 % en 2030e, para quedarse en el 41 %. Rebajamos medio punto 2027e-2029e porque las sinergias de Road y de algunas funciones de grupo se retrasan a 2027 y la empresa dice ahora que las 9.000 M de sinergias quedan «en parte compensadas» por la inflación y los costes del crecimiento de Contract Logistics [15]. No proyectamos desde el pico, que fue de todo el sector: Kuehne+Nagel pasó de 1.070 M CHF de EBIT en 2020 a 3.763 M en 2022 y a 1.242 M en 2025 [22, 27]. En DSV la conversión fue del 48,3 % en 2022 y del 40,4 % en 2023, ya con fletes normales; el caso base vuelve a la de 2023 con un grupo de doble tamaño y queda por debajo del objetivo de ~45 % de la empresa para 2030 [1, 20]. El margen EBITDA pasa del 11,4 % de 2025 al 14,5 %. El EBIT de 2027e (27.148 M) queda un 4,8 % por debajo del consenso previo a los resultados (28.504 M) [70]. Los costes de integración que faltan (≈2.300 M) no van en el margen sino en el puente.</w:t>
      </w:r>
    </w:p>
    <w:p>
      <w:pPr>
        <w:keepNext/>
        <w:spacing w:after="100"/>
      </w:pPr>
      <w:r>
        <w:rPr>
          <w:b/>
          <w:bCs/>
        </w:rPr>
        <w:t xml:space="preserve">Inversión y circulante.</w:t>
      </w:r>
    </w:p>
    <w:p>
      <w:pPr>
        <w:spacing w:after="100"/>
      </w:pPr>
      <w:r>
        <w:t xml:space="preserve">Con NIIF 16, el alquiler de los almacenes está fuera del EBITDA y su pasivo en la deuda, así que el capex del DCF incluye las altas de derechos de uso: 7.781 M en 2025 (más 8.642 M que entraron con Schenker) y 7.582 M en 2024, un 3-4,5 % de los ingresos, sobre un capex propio del 1,0-1,6 % [1]. El caso base usa un 4,1 % hasta 2028 (la logística por contrato sigue abriendo almacenes para centros de datos) y un 3,9 % desde 2031, frente a unas amortizaciones del 3,6 % que bajan al 3,5 %: la diferencia financia el crecimiento. El circulante es el 8,5 % de las ventas (clientes y activos de contrato menos proveedores y coste de fletes devengado), el de 2025; a jun-26 estaba más alto por los fletes caros y 1.800 M por cobrar de la venta de inmuebles de Schenker [2]. Impuestos: 28 % en 2026e (guía, por costes de integración no deducibles), 25 % en 2027e y 24 % después, el tipo de 2022-2024 [1, 2].</w:t>
      </w:r>
    </w:p>
    <w:p>
      <w:pPr>
        <w:keepNext/>
        <w:spacing w:after="100"/>
      </w:pPr>
      <w:r>
        <w:rPr>
          <w:b/>
          <w:bCs/>
        </w:rPr>
        <w:t xml:space="preserve">Coste del capital.</w:t>
      </w:r>
    </w:p>
    <w:p>
      <w:pPr>
        <w:spacing w:after="100"/>
      </w:pPr>
      <w:r>
        <w:t xml:space="preserve">Tasa libre del 3,48 %: el Bund alemán a 10 años del 20-oct-2026 [73]; la corona está anclada al euro y el riesgo país de Dinamarca (AAA) es nulo. El informe del 7-oct usó el bono danés de agosto (3,1 %), que no tiene dato diario oficial; el Bund es la referencia que fija el método para las divisas del euro y sus anclas. </w:t>
      </w:r>
      <w:r>
        <w:rPr>
          <w:b/>
        </w:rPr>
        <w:t xml:space="preserve">Beta de 1,20</w:t>
      </w:r>
      <w:r>
        <w:t xml:space="preserve"> tras comparar tres referencias: frente al STOXX 600 da 1,36 mensual a cinco años, 1,15 semanal a cinco y 1,21 semanal a dos (1,24 y 1,10 ajustadas); el OMXC25 pesa mucho en Novo Nordisk, y la sectorial (0,98) mide la sensibilidad al sector y no al mercado [69]. Prima de mercado del 5,5 % sin prima adicional (rating A−, país AAA). Coste de la deuda del 4,0 % antes de impuestos: bonos en euros de grado de inversión y arrendamientos, cuyo interés (2.124 M anualizados) es más caro [2]. Peso de la deuda del 25 % a valor de mercado (95.527 M de deuda y arrendamientos frente a 289.764 M de capitalización). Coste del capital del 10,08 % y WACC del 8,32 %.</w:t>
      </w:r>
    </w:p>
    <w:p>
      <w:pPr>
        <w:keepNext/>
        <w:spacing w:after="100"/>
      </w:pPr>
      <w:r>
        <w:rPr>
          <w:b/>
          <w:bCs/>
        </w:rPr>
        <w:t xml:space="preserve">Valor terminal.</w:t>
      </w:r>
    </w:p>
    <w:p>
      <w:pPr>
        <w:spacing w:after="100"/>
      </w:pPr>
      <w:r>
        <w:t xml:space="preserve">Gordon con un crecimiento del 2,25 %: la corona sigue al euro, con una inflación esperada del 2 %, y el Bund del 3,48 % pone el techo en el 3,0 %. El valor terminal equivale a 9,0 veces el EBITDA de 2035e, por debajo de las 11,0 veces actuales y de la media histórica de 15,8 veces, y pesa un 61 % del valor. La reinversión del último año (0,6 % de las ventas: capex sobre amortización y circulante) sostiene el 2,25 % con una rentabilidad marginal del ~31 % (estimación propia), coherente con el ROIC sin fondo de comercio: el crecimiento orgánico solo necesita circulante y almacenes alquilados, no compras. No se usa la etapa de transición: medido con el fondo de comercio de Schenker (8,6 % en 2025), el ROIC no supera al WACC (8,32 %) en los cinco puntos que exige el método, y los diez años explícitos ya bajan el crecimiento hasta el 2,5 %.</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7,15 %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308.100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299.966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18.201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311.965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17.889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324.444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8.098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18.237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337.421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8.859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18.541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349.231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9.278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18.288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361.454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17.484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372.298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9.891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16.701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383.467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10.188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15.882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393.053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56.875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10.443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30.288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15.108</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DK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510.210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625.623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158.423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244.708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403.131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-81.225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318.140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1.334,74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DK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1,3 %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1,8 %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2,3 %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2,8 %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3,3 %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1.443,67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1.549,01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1.675,12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1.828,84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2.020,32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1.302,15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1.388,12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1.489,53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1.610,93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1.758,90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1.180,91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1.251,97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1.334,74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1.432,37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1.549,26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1.075,90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1.135,29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1.203,73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1.283,43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1.377,45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984,10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1.034,22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1.091,42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1.157,33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1.234,10</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846,01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918,19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994,81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1.076,12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1.162,34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993,54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1.076,54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1.164,78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1.258,54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1.358,14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1.141,06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1.234,89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1.334,74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1.440,97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1.553,93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1.288,59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1.393,24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1.504,71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1.623,40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1.749,73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1.436,12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1.551,58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1.674,67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1.805,83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1.945,52</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30.959 M (11 %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 (reinvierte el 55 %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 (histórico: 7,7 %)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 frente al 5,0 %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La proyección apenas necesita inversión neta de la amortización (reinversión acumulada de 30.959 M, el 11 % del NOPAT, con un capex bruto medio del 4,0 % de las ventas). En un negocio de activos ligeros, el crecimiento medio del 5,0 %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comprado: Schenker consolida doce meses frente a ocho en 2025; con los ingresos proforma de 2025 (293.368 M) el crecimiento es de un 5 % [1, 15]. En el 3T26 los ingresos crecen un 10,5 % a tipo constante con volúmenes del −3 % en mar y en aire: es precio, fletes más caros por Oriente Medio y el combustible que se repercuten sin margen (el margen bruto solo sube un 2,3 %) [15]. Reparto: estimación propia.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por debajo del mercado (Ti: +2,9 % marítimo y +1,6 % aéreo al año hasta 2030) [29], porque DSV pierde cuota en el 3T26 (−3 % en TEU y en toneladas con el mercado al alza) [15]; los fletes se normalizan tras Oriente Medio (WCI de 4.485 USD por contenedor de 40 pies el 15-oct) y bajan los ingresos repercutidos; el margen bruto crece un 1,5 % [34].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 2-3 % y precio en línea con la inflación; sin compras nuevas en el DCF. Ingresos a +0,7 % del consenso del 19-oct [70].</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 al +2,3 % anual hasta 2030 [29]: el caso base supone una ganancia de cuota pequeña, como tras Panalpina y GIL [1].</w:t>
            </w:r>
          </w:p>
        </w:tc>
      </w:tr>
    </w:tbl>
    <w:p>
      <w:pPr>
        <w:spacing w:after="160" w:before="0"/>
      </w:pPr>
    </w:p>
    <w:p>
      <w:pPr>
        <w:spacing w:after="100"/>
      </w:pPr>
      <w:r>
        <w:t xml:space="preserve">Sí: el crecimiento orgánico proyectado (3,2 % anual en 2027e-2035e) apenas supera al del mercado (2,3 % según Ti) [29] y no hay crecimiento comprado gratis: Schenker ya está en el balance y no se proyectan compras. El foso es estrecho y de costes (escala en compras de transporte y una conversión de margen bruto en EBIT superior a la de Kuehne+Nagel y DHL) [1, 22, 23]; el poder de precios es escaso (el margen bruto por TEU cayó de 4.752 a 3.964 DKK) [1, 2], así que crece por volumen. La cuota en volumen (5,4 % en TEU, 8,0 % aérea) pasaría a ≈ 5,6 % en 2035: verosímil. La apuesta del caso base no es el crecimiento sino la conversión, y la prueba de cuota se hace a mano porque la cuota publicada (6 %) no tiene el perímetro del mercado de Ti.</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1,4 % (base: 2,8 %)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13,7 % (base: 14,5 %)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8,8 % (WACC: 8,3 %)</w:t>
            </w:r>
          </w:p>
        </w:tc>
      </w:tr>
    </w:tbl>
    <w:p>
      <w:pPr>
        <w:spacing w:after="160" w:before="0"/>
      </w:pPr>
    </w:p>
    <w:p>
      <w:pPr>
        <w:spacing w:after="100"/>
      </w:pPr>
      <w:r>
        <w:t xml:space="preserve">El DCF da </w:t>
      </w:r>
      <w:r>
        <w:rPr>
          <w:b/>
        </w:rPr>
        <w:t xml:space="preserve">1.334,74 DKK por acción</w:t>
      </w:r>
      <w:r>
        <w:t xml:space="preserve">, un 11,2 % sobre el cierre de 1.200 DKK, con un valor terminal que pesa el 61 % y equivale a 9,0 veces el EBITDA final. Frente al informe del 19-oct (1.317,93 DKK) sube algo pese a rebajar la conversión de 2027e-2029e: el puente de sep-26 tiene menos deuda neta y menos costes de integración pendientes. Lo importante es el DCF inverso: </w:t>
      </w:r>
      <w:r>
        <w:rPr>
          <w:b/>
        </w:rPr>
        <w:t xml:space="preserve">al precio del 20-oct el mercado descuenta un crecimiento de los ingresos del 1,4 % anual en 2027e-2035e</w:t>
      </w:r>
      <w:r>
        <w:t xml:space="preserve"> (2,8 % en el caso base y 2,3 % previsto para el mercado) </w:t>
      </w:r>
      <w:r>
        <w:rPr>
          <w:b/>
        </w:rPr>
        <w:t xml:space="preserve">o un margen EBITDA del 13,7 %</w:t>
      </w:r>
      <w:r>
        <w:t xml:space="preserve"> en vez del 14,5 % (13,1 % en 2024 y 15,3 % en 2023, sin Schenker). El precio ya supone que buena parte de las sinergias llega y duda de que la conversión vuelva al 40 % de 2023. La rentabilidad implícita es del 8,8 %, frente a un WACC del 8,32 %. Con un WACC del 8,8 % (beta sin ajustar), el DCF baja a 1.203,73 DKK, el precio: la diferencia viene sobre todo de la tasa.</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808,44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problemas de Road en Alemania, Francia y Países Bajos se extienden y Air &amp; Sea sigue perdiendo volumen, como en el 3T26 (−3 %): las sinergias se quedan en unos 6.000 M y la conversión se estanca en torno al 35 %. En 2028 llega una caída de fletes como la de 2023 (EBIT −29,7 % en un año) y el crecimiento a largo plazo baja al 1,5 %.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1.334,74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DSV cumple el centro de la guía de 2026, cobra en 2027 las sinergias retrasadas de Road y vuelve en 2030 a la conversión de 2023 (≈40 %) con un grupo de doble tamaño, sin llegar al objetivo del 45 %. El margen bruto crece un 4 % anual con el mercado y algo de cuota.</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1.678,87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integración termina en 2026 como promete la dirección, la productividad por IA y red se suma a las sinergias y la conversión se acerca al 45 % de 2030. Contract Logistics sigue creciendo con los centros de datos y el margen bruto crece un punto más al año.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DKK) · precio actual 1.200,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1.289,20 DKK (+7,4 %).</w:t>
      </w:r>
    </w:p>
    <w:p>
      <w:pPr>
        <w:spacing w:after="100"/>
      </w:pPr>
      <w:r>
        <w:t xml:space="preserve">El alcista vale 1.678,87 DKK (+39,9 %) y el bajista 808,44 DKK (−32,6 %), una asimetría de 1,22 veces; el valor ponderado (25/50/25) es de 1.289,20 DKK. El bajista no es cosmético: suma un fallo parcial de la integración, que ya se ve en Road (EBIT −35,1 % en el 3T26) y en la pérdida de volumen [15], y una caída de fletes como la de 2023, cuando el EBIT de DSV bajó un 29,7 % en un año [4]. El alcista solo exige que se cumplan los objetivos de 2030 de la propia empresa [20], que DSV ha cumplido en sus compras anteriores (la conversión pasó del 28,0 % al 43,1 % entre 2019 y 2021 tras Panalpina) [6]. Con 1,22 coronas de ganancia por cada corona de pérdida, el valor intrínseco compensa poco el riesgo de ejecución.</w:t>
      </w:r>
    </w:p>
    <w:p>
      <w:pPr>
        <w:pStyle w:val="Heading1"/>
      </w:pPr>
      <w:r>
        <w:t xml:space="preserve">22. Suma de partes</w:t>
      </w:r>
    </w:p>
    <w:p>
      <w:pPr>
        <w:pStyle w:val="Confianza"/>
        <w:spacing w:after="100"/>
      </w:pPr>
      <w:r>
        <w:t xml:space="preserve">Confianza: Media</w:t>
      </w:r>
    </w:p>
    <w:p>
      <w:pPr>
        <w:spacing w:after="100"/>
      </w:pPr>
      <w:r>
        <w:t xml:space="preserve">No aplica. Las tres divisiones comparten red, clientes, sistemas y almacenes (Contract Logistics vende sobre todo a los clientes de Air &amp; Sea), y DSV no publica balances separados que permitan una deuda por división. Los comparables puros por división darían múltiplos de transitario a Air &amp; Sea y de logística de almacén a Road y Contract Logistics, que es justo la mezcla que ya recogen el DCF y el comentario de comparables.</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DKK) · precio actual 1.200,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1.130,50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1.913,50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1.824,95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815,46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1.778,78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1.236,46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1.459,32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1.750,46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1.135,29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1.334,74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1.610,93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1.289,20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1.678,87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1.548,74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1.746,92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1.990,51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1.194,00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1.200,00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1.206,00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1.334,74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1.137,39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1.289,20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1.316,52 DKK (+9,7 % sobre 1.200,00).</w:t>
      </w:r>
    </w:p>
    <w:p>
      <w:pPr>
        <w:spacing w:after="100"/>
      </w:pPr>
      <w:r>
        <w:t xml:space="preserve">El valor intrínseco es de </w:t>
      </w:r>
      <w:r>
        <w:rPr>
          <w:b/>
        </w:rPr>
        <w:t xml:space="preserve">1.316,52 DKK</w:t>
      </w:r>
      <w:r>
        <w:t xml:space="preserve"> (+9,7 %): DCF 60 % y escenarios ponderados 40 %. El DCF manda porque DSV está en mitad de una integración que cambia su margen durante varios años y ningún múltiplo actual lo recoge; los escenarios ponen el riesgo de que falle. Los comparables no pesan por la mezcla de modelos y normas contables (815,46 DKK por EV/EBITDA frente a 1.459,32 por PER) y las transacciones tampoco: la única con múltiplo oficial es la propia compra de Schenker (0,77 veces ventas y 14,0 veces EBIT) [13], y DSV es comprador, no objetivo. El puente resta la deuda financiera (62.027 M), los arrendamientos (32.951 M), las pensiones (1.844 M, en bruto) y los minoritarios (375 M) y suma la caja (13.753 M) del 30-sep-2026 [15]; en otros ajustes, −201 M de activos con interés que DSV resta en su deuda neta y +1.748 M de costes de integración que quedan (≈2.300 M de los ≈11.000 M totales, netos de impuestos; estimación propia) [15]. Deuda neta ajustada: 84.616 M. Con la prima del mercado (4,20 %), el objetivo sube a 1.723,49 DKK; el consenso de 21 analistas, aún sin revisar tras el 3T26, está en 1.824,95 DKK [71].</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742,94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(16.1x) × 1.1 (tope: la mediana de 5 años, 21.2x,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1.541,49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99,20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histórica larga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2.142,72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+79,1 %</w:t>
            </w:r>
          </w:p>
        </w:tc>
      </w:tr>
    </w:tbl>
    <w:p>
      <w:pPr>
        <w:spacing w:after="160" w:before="0"/>
      </w:pPr>
    </w:p>
    <w:p>
      <w:pPr>
        <w:spacing w:after="100"/>
      </w:pPr>
      <w:r>
        <w:rPr>
          <w:b/>
          <w:bCs/>
        </w:rPr>
        <w:t xml:space="preserve">Objetivo a 12 meses (ponderado):</w:t>
      </w:r>
      <w:r>
        <w:t xml:space="preserve"> 1.492,16 DKK · rentabilidad +24,9 % (base +29,0 %) · señal Comprar.</w:t>
      </w:r>
    </w:p>
    <w:p>
      <w:pPr>
        <w:spacing w:after="100"/>
      </w:pPr>
      <w:r>
        <w:t xml:space="preserve">Para comparar, con la regla v2 (historia al cierre, mismo precio): 13,7x / 16,1x / 20,9x, 17,1 % Comprar; con el tope anterior del base (×1,3, 14-oct mediodía): 28,5 % Comprar.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2028e (87,09 DKK) queda un 8,8 % por debajo del consenso (95,46), que aún no recoge el 3T26: el EBIT queda un 2,7 % por debajo (30.761 frente a 31.610 M) porque retrasamos medio punto de conversión por Road, y el resto son los intereses, que mantenemos sin desapalancamiento, y las recompras, que no suponemos. Nuestro BPA de 2027e (74,57) está un 6,1 % por debajo del consenso (79,42), en la línea de los recortes de 2027 que anticipaba J.P. Morgan [95]. El precio base de la regla queda muy por debajo del objetivo medio (1.824,95 DKK): la regla parte del PER de hoy (16,1x) y solo lo deja subir un 10 %, y los analistas suponen la vuelta al PER histórico (20-25x). No se acerca la cifra al consenso.</w:t>
      </w:r>
    </w:p>
    <w:p>
      <w:pPr>
        <w:keepNext/>
        <w:spacing w:after="100"/>
      </w:pPr>
      <w:r>
        <w:rPr>
          <w:b/>
          <w:bCs/>
        </w:rPr>
        <w:t xml:space="preserve">Del valor intrínseco al objetivo a 12 meses.</w:t>
      </w:r>
    </w:p>
    <w:p>
      <w:pPr>
        <w:spacing w:after="100"/>
      </w:pPr>
      <w:r>
        <w:t xml:space="preserve">El objetivo a 12 meses queda cerca del valor intrínseco y los dos por encima del precio. Para cerrar la distancia en el año tiene que pasar que Road deje de restar en el 4T26 y que la guía de 2027 (2-feb-2027) recoja las sinergias retrasadas: con eso el PER de hoy (16,1x sobre 2027e) puede subir hacia su historia. El BPA base de 2028e (87,09) supone un 15,9 % anual desde el BPA diluido ajustado de los últimos 12 meses (56,1 DKK) [15], con las sinergias y sin costes de integración en 2028. El riesgo del 3T26 es la calidad: 300 M de plusvalías inmobiliarias en el EBIT del trimestre y 3.189 M en el flujo libre ajustado de nueve meses [15].</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4T26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trimestre en que Road debería enseñar las sinergias retrasadas a 2027 y primera guía sin la mayor parte de los costes de integración. La guía de 2026 (24.000-25.000 M de EBIT antes de partidas especiales) exige 6.284-7.284 M en el 4T26, frente a 5.592 M en el 4T25, con plusvalías inmobiliarias incluidas [15].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Dic-2026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 de la integración de Schenker</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prevé cerrar la integración a finales de 2026 (antes, a finales de 2028). Con ella terminan las partidas especiales (≈11.000 M en total, ≈8.700 M a sep-26; ≈5.500 M en 2026) y el flujo libre deja de cargar ≈6.500 M anuales [1, 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Informe anual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guía con las sinergias completas (9.000 M anuales con impacto pleno en 2027) y sin costes de integración: es el año en que el beneficio por acción ajustado debería saltar [1, 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21-oct-2026 a 1-feb-2027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 de 1.500 M DKK</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recompra desde Schenker (hasta 2,6 M de acciones, el 1,09 % del capital), con la deuda en 2,5 veces el EBITDA; sirve para planes de incentivos y lo sobrante se propondrá amortizar [16].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 meses</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Vencimiento de bonos por 13.100 M (1.750 M EUR)</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Refinanciación de los bonos que vencen en los próximos doce meses, con 11.800 M de líneas comprometidas sin disponer [2].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Normalización de los fletes tras el conflicto de Oriente Medio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tarifas aéreas y marítimas subieron en el 2T26 por el conflicto y el combustible; su vuelta reduce los ingresos pero no necesariamente el margen bruto por unidad, que es lo que gana el transitario [2].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integración de Road no se recupera y contagia a Air &amp; Sea: pérdida de clientes y de productividad en Alemania, Francia y Países Bajos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−12,9 % por cada punto de margen EBITDA permanente (1.147,80 DKK en la tabla de sensibilidad)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Cambio de dirección (Ejsing, COO, al frente de Road); historial de integraciones de UTi, Panalpina y GIL [2]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Conversión de Road y volumen marítimo Asia-Europa en el 3T26 y el 4T26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Sinergias por debajo de los 9.000 M o comidas por la inflación de costes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−12,9 % por cada 3.000 M de EBITDA anual perdidos (≈1 punto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8.000 empleados de oficina menos ya a jun-26; integración prevista para fin de 2026 [2]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2027 en febrero: EBIT antes de partidas especiales por debajo de 28.000 M</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Caída de fletes y volúmenes tras el pico del conflicto de Oriente Medio, o recesión del comercio por aranceles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 y ciclo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 791,72 DKK (−34,6 %) con una caída de un año como la de 2023</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margen bruto por unidad se mueve mucho menos que los ingresos; costes variables y plantilla ajustable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por TEU por debajo de 3.800 DKK; índice WCI y volúmenes de IATA [30, 31]</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 grandes contratos frente a Kuehne+Nagel y otros (Amazon/AWS en septiembre)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−7,5 % si el crecimiento es un punto menor cada año (1.218,54 DKK en la tabla de sensibilidad)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Ningún cliente supera el 5 % de los ingresos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Contract Logistics y del vertical de tecnología; anuncios de contratos de rivales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de descuento más alta: beta sin ajustar o subida del Bund</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−9,9 % con un WACC del 8,8 % (1.186,88 DKK)</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Rating A− y deuda que baja con un flujo libre ajustado de 16.335 M en 2025 [1, 109]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Bund a 10 años por encima del 3,75 %; deuda neta sobre EBITDA que no baja de 2,5x a fin de 2026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compra grande antes de desapalancar o de demostrar la integración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cuantificable: dilución y nuevos costes especiales (Schenker costará ≈11.000 M) [2]</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Política de deuda por debajo de 2,0x antes de compras o recompras [20]</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Anuncios de compras en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Retribución que no exige rentabilidad: opciones sin condiciones de rendimiento y bono sin métrica de sinergias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efecto directo en el valor; resta credibilidad a los objetivos de 2030</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Bono ligado al EBIT (40 %) y a la cotización frente a rivales (40 %) [43]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Votos en contra en la junta de 2027; nueva política de remuneración</w:t>
            </w:r>
          </w:p>
        </w:tc>
      </w:tr>
    </w:tbl>
    <w:p>
      <w:pPr>
        <w:spacing w:after="160" w:before="0"/>
      </w:pPr>
    </w:p>
    <w:p>
      <w:pPr>
        <w:pStyle w:val="Heading2"/>
      </w:pPr>
      <w:r>
        <w:t xml:space="preserve">Pre-mortem</w:t>
      </w:r>
    </w:p>
    <w:p>
      <w:pPr>
        <w:spacing w:after="100"/>
      </w:pPr>
      <w:r>
        <w:t xml:space="preserve">Octubre de 2029: la acción vale unos 680 DKK, un 40 % menos. Lo que pasó empezó en Road. Los problemas de productividad del 2T26 en Alemania, Francia y Países Bajos no eran un bache: la red de grupaje unificada perdió puntualidad, los clientes medianos se fueron a transportistas locales y la división pasó 2027 por debajo del 15 % de conversión. La dirección compensó con cierres de almacenes, y Contract Logistics perdió dos contratos grandes de centros de datos frente a Kuehne+Nagel. En Air &amp; Sea, los grandes clientes globales, que exigían licitar cada año, aprovecharon la caída de fletes de 2027-2028 tras el fin del conflicto de Oriente Medio para bajar precios: el margen bruto por TEU cayó por debajo de 3.500 DKK. Las sinergias se anunciaron completas, pero la inflación salarial y los costes de sistemas se las comieron: la conversión se quedó en el 33 % y el ROIC con fondo de comercio en el 7 %, por debajo del WACC. El mercado dejó de pagar por la historia de integrador: EV/EBITDA de 8 veces. Los indicadores que lo habrían anticipado eran visibles en 2026: la conversión de Road del 3T26 y el 4T26, el volumen marítimo de Asia-Europa por debajo del mercado y una guía de 2027 sin el salto de EBIT que prometen las sinergias.</w:t>
      </w:r>
    </w:p>
    <w:p>
      <w:pPr>
        <w:pStyle w:val="Heading2"/>
      </w:pPr>
      <w:r>
        <w:t xml:space="preserve">Riesgo de inteligencia artificial</w:t>
      </w:r>
    </w:p>
    <w:p>
      <w:pPr>
        <w:spacing w:after="100"/>
      </w:pPr>
      <w:r>
        <w:rPr>
          <w:b/>
          <w:bCs/>
        </w:rPr>
        <w:t xml:space="preserve">Exposición:</w:t>
      </w:r>
      <w:r>
        <w:t xml:space="preserve"> Media · </w:t>
      </w:r>
      <w:r>
        <w:rPr>
          <w:b/>
          <w:bCs/>
        </w:rPr>
        <w:t xml:space="preserve">Sentido:</w:t>
      </w:r>
      <w:r>
        <w:t xml:space="preserve"> Mixto · </w:t>
      </w:r>
      <w:r>
        <w:rPr>
          <w:b/>
          <w:bCs/>
        </w:rPr>
        <w:t xml:space="preserve">Efecto en valor (3-5 años):</w:t>
      </w:r>
      <w:r>
        <w:t xml:space="preserve"> −10 % a +5 % a 3-5 años; neutral en el caso base</w:t>
      </w:r>
    </w:p>
    <w:p>
      <w:pPr>
        <w:spacing w:after="100"/>
      </w:pPr>
      <w:r>
        <w:t xml:space="preserve">La IA toca a DSV por dos lados. Como amenaza, un transitario vende coordinación: buscar capacidad, documentar aduanas y seguir envíos, que es trabajo de oficina automatizable; si los cargadores o las navieras lo hacen ellos mismos con herramientas digitales, la comisión (el margen bruto por TEU, ya en 3.964 DKK frente a 4.752 en 2024) baja. El mercado lo cotizó el 12-feb (−10,5 % en un día por una plataforma de IA de una empresa minúscula) [91, 92]. Como oportunidad, la plantilla es su mayor coste y la IA es parte de los 9.000 M de mejoras de productividad hasta 2030 del plan de mayo [20]; con la red y los datos de volumen más grandes del sector, DSV es de los que mejor pueden aprovecharla. El riesgo real es que la ganancia de productividad se reparta con los clientes: −10 % si un punto de margen EBITDA se va en precio, en la línea de la sensibilidad del motor. Señal: margen bruto por unidad y plantilla de oficina por envío en cada trimestre.</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Sustainalytics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12,7 (riesgo bajo)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 Climate Change</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EcoVadis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87/100 (Platinum)</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2026-02</w:t>
            </w:r>
          </w:p>
        </w:tc>
      </w:tr>
    </w:tbl>
    <w:p>
      <w:pPr>
        <w:spacing w:after="160" w:before="0"/>
      </w:pPr>
    </w:p>
    <w:p>
      <w:pPr>
        <w:pStyle w:val="Heading2"/>
      </w:pPr>
      <w:r>
        <w:t xml:space="preserve">Asuntos materiales</w:t>
      </w:r>
    </w:p>
    <w:p>
      <w:pPr>
        <w:spacing w:after="100"/>
      </w:pPr>
      <w:r>
        <w:t xml:space="preserve">El asunto que más pesa es el clima en la cadena de valor: el 93 % del inventario de gases de 2025 es transporte subcontratado (alcance 3), 18,3 millones de t de CO₂e en 2025, frente a 0,2 millones de alcance 1 [1]. Los objetivos, validados por SBTi en 2023, son −50 % en alcances 1 y 2 y −30 % en alcance 3 en 2030 frente a 2019, y cero neto en 2050; con Schenker la base de 2019 se recalculó (+77 % en alcances 1 y 2, +55 % en alcance 3) [1]. Reducirlas depende de combustibles alternativos que las navieras, aerolíneas y transportistas cobran aparte [1]. El segundo es la seguridad y las condiciones laborales en una plantilla de ~150.000 personas y miles de transportistas pequeños: objetivos para 2026 de cero accidentes mortales y un máximo de 6,0 accidentes por millón de horas trabajadas [1]. El tercero es la integridad (corrupción) en países de riesgo [1].</w:t>
      </w:r>
    </w:p>
    <w:p>
      <w:pPr>
        <w:pStyle w:val="Heading2"/>
      </w:pPr>
      <w:r>
        <w:t xml:space="preserve">Controversias</w:t>
      </w:r>
    </w:p>
    <w:p>
      <w:pPr>
        <w:spacing w:after="100"/>
      </w:pPr>
      <w:r>
        <w:t xml:space="preserve">En 2025 DSV comunicó un accidente mortal de un conductor en Sudáfrica [1]. En los documentos revisados (informe anual 2025 e informes del primer semestre y del 3T26) no hay sanciones de competencia, multas significativas ni litigios materiales de los últimos tres años [1, 2, 15], y una búsqueda de prensa a 21-oct-2026 no encontró controversias nuevas. Hay que vigilar el deterioro del servicio en Road durante la integración de Schenker, que bajó la satisfacción de los clientes; DSV dice que se normalizó a finales del 3T26 [15]. La plantilla bajó de 159.490 a 148.405 empleados equivalentes en un año por las sinergias, un asunto social que conviene seguir en Alemania [15].</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Road</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clientes y cuánto margen bruto se han perdido en Alemania, Francia y Países Bajos por la integración de la red de grupaje, y en qué trimestre esperan recuperar la productividad de 2025?</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1S26 admite caída de productividad y de satisfacción de clientes en Road; la acción cayó un 14,2 % el día de los resultados. Es el riesgo que el precio está descontando [2].</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Sinergias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9.000 M de sinergias es reducción de plantilla (más de 8.000 empleados de oficina menos) y qué parte depende de cerrar almacenes y unificar sistemas en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parte de plantilla ya está hecha; la de red y sistemas es la que más se retrasa en las integraciones de transitarios [2].</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Objetivos 2030</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9.000 M de mejoras de productividad por IA y tecnología hasta 2030 son netos de la inflación salarial, o hay que restarles 1,5-2 puntos anuales de subida de costes?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diferencia entre un 40 % y un 45 % de conversión en 2030 vale ≈4.500 M de EBIT; es el supuesto que más separa nuestro caso base del objetivo [52].</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Clientes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¿Compitió DSV por el contrato de logística de infraestructura de AWS que Amazon adjudicó a Kuehne+Nagel en septiembre y qué peso tienen los centros de datos en Contract Logistics?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tecnología y los centros de datos son el motor de crecimiento de Contract Logistics en 2026; la prensa ligó la caída del 21-sep a ese contrato [2, 32].</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Circulante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se cobran los 1.800 M de la venta de inmuebles de Schenker y qué parte del circulante del 3,5 % de las ventas es estructural tras la integración?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flujo libre ajustado del 2T26 cayó a 786 M; el objetivo a largo plazo es un 2-3 % de las ventas [2].</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¿Hay nuevas compras grandes en el plan antes de bajar de 2,0x de deuda neta sobre EBITDA, o la prioridad tras el desapalancamiento son las recompras?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estrategia 2030 cuenta con crecimiento por compras; una compra grande antes de demostrar la integración de Schenker sería la señal contraria a la que pide el mercado [52].</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Nordnet Social (debate de la ficha de DSV en Nordnet Dinamarca; Shareville ya redirige aquí), día de resultados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21-oct domina el alivio: «los inversores aprueban el 3T», la recompra se lee como señal de confianza y varios ven la acción interesante tras la caída desde máximos, con la idea de que, si se espera a que Road recupere clientes, se comprará mucho más caro. Una minoría escéptica avisa de que el batido se apoya en plusvalías inmobiliarias, de que «no ha ido tan mal como se temía» no es lo mismo que bien y de que conviene esperar a la conferencia [98].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Nordnet Social (los mismos hilos, antes de resultados)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16 al 19-oct: frustración por la caída, algunos que amplían y uno que propone vender; se discutía si los buenos preliminares de DHL anticipaban un buen 3T, con escépticos que recordaban que lo de DHL es sobre todo paquetería y Express [96, 98].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 económica danesa del día (Proinvestor con los teletipos del mercado, Jyske Bank, Økonomisk Ugebrev; guía previa de Nordnet)</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prensa de mercado celebra el resultado (la acción abre con una subida de un 7 % y sostiene casi sola el C25) [105]; Jyske habla de un resultado «en conjunto fuerte» pero avisa de que Road ya no es solo un problema operativo sino comercial [103]; Ugebrev titula que Road va «mucho peor de lo esperado» al quitar las plusvalías [104]. Antes, Nordnet resumía que lo que menos pesa en el grupo, Road, es lo que más preocupa al inversor [107].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 internacional y de logística (Investing.com, Breakbulk News)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el recorte de J.P. Morgan a neutral del 9-oct («ha sido una mala recomendación», dice el propio banco) [95] y el de Jyske del 14-oct [74], el 21-oct la prensa destaca la subida por el batido en ventas y la primera recompra desde Schenker [106]; un análisis de septiembre ya hablaba de «un mercado que ya no se cree» las sinergias [99]. Sin comentarios de lectores en ninguna de las páginas.</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 de colaboradores y canal RSS de DSDVY)</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Comprobado el 21-oct: el último artículo de opinión sigue siendo el del 31-ago, que sube a compra por una integración más rápida de lo previsto; no hay nada nuevo sobre el 3T26 ni debate visible en los comentarios [100, 101].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aktietip.dk (prensa de inversores particulares)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caída del 21-sep se lee como castigo por el contrato de Kuehne+Nagel con Amazon (AWS): miedo a perder grandes clientes en la reordenación del sector [32].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Road: de problema operativo a problema comercial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escépticos tienen razón. Road ganó 526 M DKK de EBIT antes de partidas especiales en el 3T26, un 35,1 % menos, y 195 M eran plusvalías inmobiliarias; la empresa atribuye la caída a volumen negativo y menor productividad tras perder fiabilidad del servicio, aunque dice que la operación se normalizó a final de trimestre [15]. Sin las plusvalías, Jyske lo compara con un consenso de 590 M [103]; la encuesta a clientes de J.P. Morgan ya anticipaba el daño comercial [95]. Recuperar clientes tardará más que arreglar la red [104].</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Calidad del batido: plusvalías inmobiliarias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EBIT del grupo, 6.606 M DKK, incluye 300 M de ventas de inmuebles, y el flujo libre ajustado de 6.439 M incluye 3.189 M de esas ventas [15]. Ugebrev calcula que, sin ellas, el EBIT queda ligeramente por debajo del consenso recogido por la empresa [104] y Jyske, un 0,5 % por debajo [103]. El particular que lo señala ve algo real: el batido está en ventas y en Air &amp; Sea, no en la calidad del beneficio.</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Sinergias de 9.000 M DKK, ahora más tardías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mantiene sinergias anuales en torno a 9.000 M DKK y costes totales de ≈11.000 M, pero retrasa a 2027 las de Road y de algunas funciones del grupo y baja las partidas especiales de 2026 a unos 5.500 M (antes 6.500 M) [15]. Jyske lo lee como un calendario más concentrado al final y con más riesgo [103]; en los foros apenas se discute, lo que sugiere que el mercado ya lo daba por hecho [99].</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 y desapalancamiento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Cambia de signo frente al 19-oct: la empresa lanza una recompra de 1.500 M DKK hasta el 1-feb-2027, la primera desde Schenker, y el apalancamiento baja a 2,5 veces (2,7 a 30-jun) [2, 15, 65]. Los particulares la leen como señal de confianza [98]; es modesta y en parte pagada con ventas de inmuebles, que no se repiten indefinidamente [15, 103].</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Valoración tras la caída y apuesta por la recuperación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que compran comparan DSV con otras recuperaciones danesas y defienden entrar antes de que Road dé pruebas [98, 102]. La subida del día (≈7 % en la apertura) [105] llega después de recortes de objetivo en bloque, como el de J.P. Morgan a 1.400 DKK y neutral [95], con el consenso de beneficio de 2027e a la baja antes de resultados [71]: el particular va por delante del analista, que espera pruebas de volumen en el 4T.</w:t>
            </w:r>
          </w:p>
        </w:tc>
      </w:tr>
    </w:tbl>
    <w:p>
      <w:pPr>
        <w:spacing w:after="160" w:before="0"/>
      </w:pPr>
    </w:p>
    <w:p>
      <w:pPr>
        <w:spacing w:after="100"/>
      </w:pPr>
      <w:r>
        <w:t xml:space="preserve">El 3T26 ha cambiado el tono de los particulares de la frustración al alivio: la recompra, la deuda que baja y un grupo que gana más pese a Road bastan para una subida de un 7 % en el día. No es euforia: casi todos los que compran admiten que falta la prueba de Road, y la prensa danesa más crítica recuerda que el batido del EBIT lo explican las plusvalías inmobiliarias. El sentimiento no trae un riesgo nuevo, pero sí afina uno: Road ya no es un problema de red sino de clientes perdidos, y eso se arregla en trimestres, no en semanas. El particular va por delante del analista, que acaba de recortar objetivos. Si el 4T no enseña volumen en Road, la subida de hoy es reversible; si lo enseña, el rebote tiene recorrido.</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18 de 29 controles correctos y 11 explicados. Fuentes: 111 (57 primarias); citas distintas en el texto: 109.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EBIT + resultado financiero = BAI (2016)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 de 1.002 (¿asociadas o extraordinarios?). Explicación: La diferencia de cada año son las partidas especiales de DSV (1.002 M en 2016, 525 M en 2017, 800 M en 2019, 2.164 M en 2020, 853 M en 2024 y 4.527 M en 2025), que la empresa presenta entre el EBIT antes de partidas especiales y el resultado financiero [1, 6, 7]. El informe usa el EBIT antes de partidas especiales y descuenta aparte los costes de integración que quedan (en el puente).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EBIT + resultado financiero = BAI (2017)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 de 525 (¿asociadas o extraordinarios?). Explicación: La diferencia de cada año son las partidas especiales de DSV (1.002 M en 2016, 525 M en 2017, 800 M en 2019, 2.164 M en 2020, 853 M en 2024 y 4.527 M en 2025), que la empresa presenta entre el EBIT antes de partidas especiales y el resultado financiero [1, 6, 7]. El informe usa el EBIT antes de partidas especiales y descuenta aparte los costes de integración que quedan (en el puente).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EBIT + resultado financiero = BAI (2019)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Diferencia de 800 (¿asociadas o extraordinarios?). Explicación: La diferencia de cada año son las partidas especiales de DSV (1.002 M en 2016, 525 M en 2017, 800 M en 2019, 2.164 M en 2020, 853 M en 2024 y 4.527 M en 2025), que la empresa presenta entre el EBIT antes de partidas especiales y el resultado financiero [1, 6, 7]. El informe usa el EBIT antes de partidas especiales y descuenta aparte los costes de integración que quedan (en el puente).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EBIT + resultado financiero = BAI (2020)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Diferencia de 2.164 (¿asociadas o extraordinarios?). Explicación: La diferencia de cada año son las partidas especiales de DSV (1.002 M en 2016, 525 M en 2017, 800 M en 2019, 2.164 M en 2020, 853 M en 2024 y 4.527 M en 2025), que la empresa presenta entre el EBIT antes de partidas especiales y el resultado financiero [1, 6, 7]. El informe usa el EBIT antes de partidas especiales y descuenta aparte los costes de integración que quedan (en el puente).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EBIT + resultado financiero = BAI (2024)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Diferencia de 853 (¿asociadas o extraordinarios?). Explicación: La diferencia de cada año son las partidas especiales de DSV (1.002 M en 2016, 525 M en 2017, 800 M en 2019, 2.164 M en 2020, 853 M en 2024 y 4.527 M en 2025), que la empresa presenta entre el EBIT antes de partidas especiales y el resultado financiero [1, 6, 7]. El informe usa el EBIT antes de partidas especiales y descuenta aparte los costes de integración que quedan (en el puente).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BAI − impuestos − minoritarios = beneficio neto (2025)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Diferencia de 291 (¿operaciones interrumpidas?). Explicación: Los 291 M de diferencia son la pérdida de actividades interrumpidas: una parte de Schenker clasificada para la venta (negocio de carretera en EE. UU.) [1].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EBIT + resultado financiero = BAI (2025)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Diferencia de 4.527 (¿asociadas o extraordinarios?). Explicación: La diferencia de cada año son las partidas especiales de DSV (1.002 M en 2016, 525 M en 2017, 800 M en 2019, 2.164 M en 2020, 853 M en 2024 y 4.527 M en 2025), que la empresa presenta entre el EBIT antes de partidas especiales y el resultado financiero [1, 6, 7]. El informe usa el EBIT antes de partidas especiales y descuenta aparte los costes de integración que quedan (en el puente).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8,5 % frente a 8,5 % real: genera una variación de circulante de 5.255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61 %.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0,01: el crecimiento no explica los múltiplos de estos comparables; no uses el valor de la regresión. Explicación: Con un R² de 0,02 no se usa: los múltiplos de la muestra dependen del modelo (sin activos frente a almacenes) y de la norma contable (NIIF 16 frente a US GAAP), no del crecimiento.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7,2x a 9,8x según qué comparable se quite (791,38 a 1.216,85 por acción): la muestra es frágil; explícalo y no le des mucho peso. Explicación: La muestra mezcla transitarios sin activos (12-17x EBITDA) con logística de almacén y grupos con flota (5-7x): quitar uno mueve la mediana. Por eso los comparables pesan solo un 15 % y se lee sobre todo el PER.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EV/EBITDA y PER coherentes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EV/EBITDA da 815,46 y PER 1.459,32 por acción: si la empresa amortiza mucho más que sus comparables (licencias, intangibles adquiridos) el EBITDA la favorece; usa EV/EBIT o EV/(EBITDA − capex) y explícalo. Explicación: El EV/EBITDA penaliza a DSV porque sus comparables con más EBITDA por corona de valor son grupos con flota y almacenes (DHL, NX, ID Logistics, GXO) y porque Expeditors y C.H. Robinson (US GAAP) dejan el alquiler dentro del EBITDA. El PER mide lo mismo en todos; el informe lo explica en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 robusta (v3 y v2 dan Comprar)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BPA base de 2028e (87,09) supone un 36,4 % anual desde 34,30 (2025): explícalo en valoracion.objetivo_12m.comentario o la confianza es baja. Explicación: El BPA publicado de 2025 (34,3 DKK) está hundido por 4.527 M de partidas especiales, ocho meses de Schenker y los intereses de su deuda; el BPA diluido ajustado de los últimos 12 meses a sep-26 es de 56,1 DKK [15]. Desde esa base, 87,09 en 2028e supone un 16 % anual, con las sinergias y sin costes de integración; el consenso está en 95,46 [70].</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da «Comprar» y el análisis recomienda «Mantener»: hace falta «justificacion_recomendacion».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111 fuentes (57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57.</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108, 110.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importe y múltiplo de UTi (2016) y Panalpina (2019)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2018 (tabla de cinco años y notas): no da el precio de UTi; 2) informes anuales 2021 y 2022: citan Panalpina sin importe; 3) los informes anuales 2016, 2019 y 2020 no están en MFN (faltan los anuncios 794-917) e investor.dsv.com no responde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desglose de la cuenta, balance y flujos de 2016 y 2019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anuales 2016 y 2019/2020: no localizados en MFN ni en GlobeNewswire por los enlaces de inderes; 2) investor.dsv.com y dsv.gcs-web.com: sin respuesta (timeout); 3) tablas de cinco años de los informes 2018 y 2021: dan ingresos, EBITDA, EBIT, partidas especiales, financieros, beneficio, flujo operativo, dividendos, recompras, activo y patrimonio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BPA trimestral y comparación con el 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trimestrales: el BPA ajustado solo se publica en 12 meses (56,1 DKK a sep-26); el diluido trimestral solo en el 3T (12,6 en 3T26 y 8,7 en 3T25); 2) informe anual 2025: sin BPA trimestral; 3) consenso previo: Investing.com para el 3T26 y EFN (S&amp;P Global MI) para el 2T26; los anteriores, no buscados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para 4T24-2T26</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transcripciones de las conferencias del 2T26 y 3T26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investor.dsv.com: acceso denegado; 2) MFN: solo los avisos de convocatoria; 3) la del 3T26 es el 21-oct a las 11:00 CEST, después del cierre de esta nota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segmentos 2016 y 2019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anuales 2016 y 2019 no localizados; 2) informe 2018 y 2021 solo dan 2017-2018 y 2020-2021; 3) tablas de cinco años sin desglose por división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serie histórica del tamaño del mercado y tcac_historico_pct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prensa de Ti de junio de 2026: solo da 2025, 2026e y 2030e; 2) informes anuales de DSV, Kuehne+Nagel y DHL: dan cuota y volúmenes, no la serie del mercado; 3) Armstrong &amp; Associates no consultado por límite de búsquedas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ciclo.comentario: comportamiento en 2008-09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de 2025 de DSV y Kuehne+Nagel: series desde 2019; 2) XBRL de Expeditors en EDGAR: desde 2019 en este análisis; 3) no se descargaron informes de 2009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series anuales de tarifas 2019-2025 (Drewry WCI, SCFI, TAC aéreo)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Página del WCI de Drewry: solo el último dato (4.485 USD/FEU, 15-oct-2026); 2) nota semanal de Drewry de enero de 2025: media de 2019 (1.420 USD) y pico de 2021 (10.377 USD), sin medias de 2020-2025; 3) IATA: solo variación de rendimientos (−1,5 % en 2025); SCFI y TAC no consultados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(solo 2019, pico de 2021 y dato actual)</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bruto y EBIT por TEU y por tonelada 2019-2023 de DSV y competidores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anuales de 2025 de DSV y Kuehne+Nagel: solo 2024-2025; 2) DHL: volúmenes sin margen bruto por modo; 3) Expeditors y C.H. Robinson no publican volúmenes absolutos en el 10-K</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concentración de los diez primeros clientes y tasa de renovación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(nota de segmentos: ningún cliente supera el 5 %); 2) informe del 1S26: solo retención cualitativa; 3) presentación del día del inversor: no descargada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3T26 de Kuehne+Nagel, DHL Group, Expeditors y C.H. Robinson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Webs de inversores de Kuehne+Nagel, DHL Group, Expeditors y C.H. Robinson: ninguno ha publicado el 3T26 a 21-oct (K+N el 22-oct, C.H. Robinson ≈29-oct, DHL y Expeditors a primeros de noviembre); 2) agencias y prensa (Reuters, GlobeNewswire): solo el avance de resultados de DHL del 3T26, sin cuentas completas; 3) se usan las cuentas del 1S26 de Kuehne+Nagel y el último ejercicio de los demás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voto_remuneracion_pct y voto_remuneracion_contra_pct (juntas de 2024, 2025 y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Anuncios de resultados de las juntas 1096 (2024), 1152 (2025) y 1167 (2026): solo dicen «approved», sin votos a favor ni en contra; 2) actas en la web de inversores (investor.dsv.com y dsv.gcs-web.com/static-files): no responden (tiempo agotado con curl, descargar.mjs y WebFetch); 3) búsqueda web de «voting results»: sin recuentos publicados en otra fuente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consejo.comisiones tras la junta de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Anuncio de la junta de 2026 (solo elecciones, presidente y vicepresidente); 2) informe del 1S26 (solo firmas del consejo); 3) web de inversores (dsv.gcs-web.com), sin respuesta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da la composición de comisiones de 2025 del informe anual y la de los dos nuevos consejeros queda sin dato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historial_guidance: guía inicial de 2020 y 2021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Listado de anuncios de mfn.se, que solo llega a octubre de 2021; 2) anuncio del informe anual 2021, que solo da la guía de 2022; 3) anuncio de revisión de octubre de 2021, que da la guía previa (13.750-14.500 M DKK) pero no la inicial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2021 figura con la guía previa a la revisión y 2020 no se incluye</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objetivos a medio plazo anteriores a los de 2030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Anuncio del día del inversor de 2026 (no menciona objetivos previos); 2) informe anual 2025 (sin objetivos a medio plazo previos); 3) anuncios de resultados de 2021-2024 en mfn.se (solo guías anuales)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participacion_pct de Frank Sobotka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 remuneraciones 2025 (solo consejo y comité ejecutivo); 2) operaciones de directivos de 2025-2026 (no aparece); 3) informe anual 2025 (sin desglose)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free_float_pct y capitalizacion_publicada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consenso y finanzas: no lo dan en la tabla; 2) el flotante solo apareció en un resumen de buscador (no vale, regla 0); 3) Stock Analysis de DSV no consultado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Múltiplos EV/EBITDA de las operaciones (Schenker, Bolloré Logistics, GIL, Panalpina, UTi, CEVA/GEFCO, DP World/Imperial, UPS/Andlauer, SF/Kerry)</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Anuncios de DSV (Schenker: solo EV/ventas 0,77x y EV/EBIT 14,0x; informe anual 2021: solo el valor empresa de GIL); 2) búsqueda de las notas de Bolloré/CMA CGM y UPS/Andlauer: sin múltiplo publicado, la nota de UPS da «Access Denied»; 3) Panalpina, UTi, CEVA/GEFCO, DP World/Imperial y SF/Kerry no buscados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del BPA y del EBITDA a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consenso: solo acciones recientes de precio objetivo; 2) Stock Analysis forecast: sin historial gratuito; 3)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 de NX Holdings e ID Logistics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finanzas: no lo da; 2) Stock Analysis: no consultado por presupuesto; 3)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Estimaciones revisadas tras el 3T26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finanzas y consenso el 21-oct: mismas cifras que el 19-oct; 2) Stock Analysis forecast: sin cambios (objetivo medio 1.825 DKK); 3) prensa del 21-oct (Investing.com): solo el consenso previo del trimestre y de la guía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Reddit, Stocktwits, Euroinvestor y comentarios de Børsen/Finans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API de Stocktwits el 21-oct para DSDVY, DSDVF y DSV.CO: «Symbol not found» (404); Reddit bloqueado desde la nube (lecciones); 2) Euroinvestor: fichas y buscador devuelven 404 sin JavaScript; Shareville redirige ya al foro de Nordnet (cubierto); Børsen y Finans: muro de pago o página cargada por JavaScript, sin titulares legibles; 3) búsquedas web en danés e inglés: solo Proinvestor, Ugebrev, Nordnet e Investing.com tenían el 3T26 indexado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DSV Annual Report 2025 (anuncio 1164)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https://ml-eu.globenewswire.com/Resource/Download/85bab60c-d234-44ca-9c7e-83a5703dc118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DSV Interim Financial Report H1 2026 (anuncio 1170)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https://ml-eu.globenewswire.com/Resource/Download/2492fb29-8ab5-4468-ac8c-bc6b5ff2b14a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Annual Report 2024 (anuncio 1150)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https://ml-eu.globenewswire.com/Resource/Download/c688394c-bc90-4e16-a8b4-779b40d5afbd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Annual Report 2023 (anuncio 1086)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https://ml-eu.globenewswire.com/Resource/Download/5bb76de6-179d-4dd8-b31f-c2fa6e3b28b9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Annual Report 2022 (anuncio 1012)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https://ml-eu.globenewswire.com/Resource/Download/8f12695c-381b-4fae-b1b0-e5f284bd9599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Annual Report 2021 (anuncio 941)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https://ml-eu.globenewswire.com/Resource/Download/2442165b-0701-4157-a818-e9cb68710ee9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Annual Report 2018 (anuncio 736)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https://ml-eu.globenewswire.com/Resource/Download/24d79f1e-0c05-4c3a-a49c-88769b71c98b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Interim Financial Report Q3 2024 (anuncio 1141)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https://ml-eu.globenewswire.com/Resource/Download/952d7e29-9a28-43c8-86de-756bf90be188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Interim Financial Report Q1 2025 (anuncio 1155)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https://ml-eu.globenewswire.com/Resource/Download/f7574805-fa87-40d9-be83-76b8507405bc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Interim Financial Report H1 2025 (anuncio 1159)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https://ml-eu.globenewswire.com/Resource/Download/f679bc2e-7f8b-4011-b8c8-6d466af44e9d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Interim Financial Report Q3 2025 (anuncio 1161)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https://ml-eu.globenewswire.com/Resource/Download/b48cd845-72de-4c7a-af2b-502e77fce70e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Interim Financial Report Q1 2026 (anuncio 1168)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https://ml-eu.globenewswire.com/Resource/Download/8099dd56-cfd8-4ca3-95e9-40bdc7722c6a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signs agreement to acquire Schenker (anuncio 1132)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sep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https://ml-eu.globenewswire.com/Resource/Download/0897f207-e5a6-40b6-89bd-576fe96433ba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completes the acquisition of Schenker (anuncio 1154)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https://ml-eu.globenewswire.com/Resource/Download/5f964e62-891b-430f-bc9e-6c5934229d20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Interim Financial Report Q3 2026 (anuncio 1175)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https://ml-eu.globenewswire.com/Resource/Download/c7949206-ddf2-4dd1-a4ce-bea6b5459fa3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Launch of new share buyback programme according to the Safe Harbour method (anuncio 1174)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https://ml-eu.globenewswire.com/Resource/Download/59a867f7-2e62-4da3-9aaf-f4102a25e30f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shares surge on third-quarter revenue beat, share buyback launch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https://ca.investing.com/news/earnings/dsv-shares-surge-on-thirdquarter-revenue-beat-share-buyback-launch-4892392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slår förväntningarna (2T26 frente al consenso de S&amp;P Global Market Intelligence)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https://efn.se/dsv-slar-forvantningarna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revises DSV’s A- rating outlook to negative following Schenker deal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Air Cargo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sep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https://aircargonews.net/sandp-revises-dsvs-a-rating-outlook-to-negative-following-schenker-deal/1073617.article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Announcement 1169: updated strategic priorities and new financial targets for 2030 (Capital Markets Day)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 (vía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https://mfn.se/one/a/dsv/dsv-1169-dsv-announces-updated-strategic-priorities-and-new-financial-targets-for-2030-at-its-capital-markets-day-af4fdc60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history (cronología corporativa)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https://www.dsv.com/en/about-dsv/history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Kuehne+Nagel Annual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Kuehne + Nagel International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https://www.at.no/files/2026/03/09/kn_2025_annualreport.pdf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DHL Group 2025 Annual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DHL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https://www.group.dhl.com/content/dam/deutschepostdhl/en/media-center/investors/documents/annual-reports/DHL-Group-2025-Annual-Report.pdf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Expeditors International: 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https://www.sec.gov/Archives/edgar/data/746515/000119312526071569/expd-20251231.htm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 Robinson Worldwide: 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https://www.sec.gov/Archives/edgar/data/1043277/000104327726000009/chrw-20251231.htm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GXO Logistics: 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https://www.sec.gov/Archives/edgar/data/1852244/000185224426000007/gxo-20251231.htm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Expeditors International: datos XBRL de los 10-K 2019-2025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https://data.sec.gov/api/xbrl/companyfacts/CIK0000746515.json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(histórico)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Freight Forwarding Market Reaches €208bn in 2025 Amid Structural Shift to Steady Growth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Transport Intelligence (Ti)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https://ti-insight.com/press_releases/global-freight-forwarding-market-reaches-e208bn-in-2025-amid-structural-shift-to-steady-growth/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Air Cargo Demand Achieved Record Volume in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IATA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https://www.iata.org/en/pressroom/2026-releases/2026-01-29-01/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World Container Index assessed by Drewry (15 oct 2026: 4.485 USD por contenedor de 40 pies, +3 % en la semana; Asia-Europa sube tras 13 semanas de bajadas)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Drewry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https://www.drewry.co.uk/supply-chain-advisors/supply-chain-expertise/world-container-index-assessed-by-drewry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DSV-aktien falder efter Amazon-aftale hos konkurrent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Aktietip.dk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https://aktietip.dk/dsv-aktie-falder-efter-amazon-aftale-hos-konkurrent/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Drewry World Container Index, 2 de enero de 2025 (reproducido por AJOT)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Drewry / American Journal of Transportation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https://www.ajot.com/news/drewry-world-container-index-02-jan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air freight rates dip 2.1% as peak season approaches (datos de TAC Index / Baltic Air Freight Index a 12-oct-2026)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 Times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https://www.stattimes.com/amp/latest-news/global-air-freight-rates-dip-21-as-peak-season-approaches-1360915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Kuehne+Nagel: Analyst conference half-year 2026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Kuehne + Nagel International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https://a.storyblok.com/f/331466/x/b687283818/q2-2026-analyst-presentation.pdf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Asia Pac Freight Report October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Dimerco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https://dimerco.com/news-press/asia-pac-freight-report-october-2026/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(diario, 20-oct-2026: 7,4746 DKK y 0,9237 CHF por euro)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General Meeting of DSV A/S 19 March 2026 (Company Announcement No. 1167)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https://mfn.se/one/a/dsv/dsv-1167-annual-general-meeting-of-dsv-a-s-19-march-2026-3718a06d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of Annual General Meeting 2026 (Company Announcement No. 1166)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https://mfn.se/one/a/dsv/dsv-1166-notice-of-annual-general-meeting-2026-b69d25eb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announces changes to Executive Board (Company Announcement No. 1062)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oct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https://mfn.se/one/a/dsv/dsv-1062-dsv-announces-changes-to-executive-board-e9501025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Changes to the Executive Board and the Group Executive Committee (Company Announcement No. 1088)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https://mfn.se/one/a/dsv/dsv-1088-dsv-announces-changes-to-the-executive-board-and-the-group-executive-committee-ba671826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2024 Annual Report (Company Announcement No. 1150)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https://mfn.se/one/a/dsv/dsv-1150-2024-annual-report-0763e133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Remuneration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https://docs.dsv.com/group/group-compliance/remuneration-report-2025/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Completion of equity offering of 26.4 million new shares (Company Announcement No. 1137)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https://mfn.se/one/a/dsv/dsv-1137-dsv-a-s-completes-equity-offering-of-26-4-million-new-shares-raising-gross-proceeds-of-dkk-37-3-billion-approx-eur-5-billion-19c5c187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update for Q3 2021 and upgrade of financial outlook for 2021 (Company Announcement No. 920)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https://mfn.se/one/a/dsv/dsv-920-trading-update-for-q3-2021-and-upgrade-of-financial-outlook-for-2021-0cbcf037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2021 Annual Report (Company Announcement No. 941)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https://mfn.se/one/a/dsv/dsv-941-2021-annual-report-4d1ca1ca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Upgrade of financial outlook for 2022 (Company Announcement No. 990)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https://mfn.se/one/a/dsv/dsv-990-upgrade-of-financial-outlook-for-2022-ca3283d8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2022 Annual Report (Company Announcement No. 1012)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https://mfn.se/one/a/dsv/dsv-1012-2022-annual-report-8b948dd4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Upgrade of financial outlook for 2023 (Company Announcement No. 1045)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https://mfn.se/one/a/dsv/dsv-1045-upgrade-of-financial-outlook-for-2023-84db3a63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2023 Annual Report (Company Announcement No. 1086)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https://mfn.se/one/a/dsv/dsv-1086-2023-annual-report-b52a858a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update for Q3 2024 and narrowing financial outlook for 2024 (Company Announcement No. 1135)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https://mfn.se/one/a/dsv/dsv-1135-trading-update-for-q3-2024-and-narrowing-financial-outlook-for-2024-4492edb8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announces updated strategic priorities and new financial targets for 2030 (Company Announcement No. 1169)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https://ml-eu.globenewswire.com/Resource/Download/eb6bb5e9-12aa-4a83-b785-f462648368f8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Managers' transactions in DSV A/S shares (Company Announcement No. 1163)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https://ml-eu.globenewswire.com/Resource/Download/675e5167-c8d9-442c-958f-c395e9b075a0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Managers' transactions in DSV A/S shares (Company Announcement No. 1165)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https://ml-eu.globenewswire.com/Resource/Download/76f4c55d-5a24-4071-a953-ceacc2c987c1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Manager's transactions in DSV A/S shares (Company Announcement No. 1171)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https://ml-eu.globenewswire.com/Resource/Download/1103221f-3ccc-4e20-9daf-639cb55468a4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Manager's transactions in DSV A/S shares (Company Announcement No. 1172)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https://ml-eu.globenewswire.com/Resource/Download/c841a297-4211-44d1-b0e7-dfde509a4cb5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Major shareholder announcement: Agility (Company Announcement No. 1158)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https://ml-eu.globenewswire.com/Resource/Download/95208473-f80a-4215-8b78-ab0a2a0abdce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Major shareholder announcement: BlackRock (Company Announcement No. 1162)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https://ml-eu.globenewswire.com/Resource/Download/37be725a-77cd-47ea-b5a1-ba5d8f1ce5ac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Major shareholder announcement: BlackRock (Company Announcement No. 1140)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https://mfn.se/one/a/dsv/dsv-1140-major-shareholder-announcement-89758bdf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General Meeting of DSV A/S 20 March 2025 (Company Announcement No. 1152)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https://mfn.se/one/a/dsv/dsv-1152-annual-general-meeting-of-dsv-a-s-20-march-2025-4f60416b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General Meeting of DSV A/S 14 March 2024 (Company Announcement No. 1096)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https://mfn.se/one/a/dsv/dsv-1096-annual-general-meeting-of-dsv-a-s-14-march-2024-f3d395a2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Sum of net short positions at or above 0.1 % (actualización de julio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Finanstilsynet (Danish FSA)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https://www.dfsa.dk/Media/639233216371760419/2026-07-ss-over-01-pct.xlsx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Published net short positions at or above 0.5 % (actualización de julio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Finanstilsynet (Danish FSA)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https://www.dfsa.dk/Media/639233216376913427/2026-07-ss-over-05-pct.xlsx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Lista de anuncios de DSV A/S en MFN, consultada el 19-oct-2026: sin operaciones de directivos ni avisos de accionistas significativos desde el n.º 1172 (28-jul-2026)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https://mfn.se/all/a/dsv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Launch of new share buyback programme according to the Safe Harbour method (Company Announcement No. 1174)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https://www.mfn.se/one/a/dsv/dsv-1174-launch-of-new-share-buyback-programme-according-to-the-safe-harbour-method-30dab212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Financial Report Q1 2026 (Company Announcement No. 1168)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https://www.mfn.se/one/a/dsv/dsv-1168-interim-financial-report-q1-2026-b09c72cd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Lista de anuncios de DSV A/S en MFN, consultada el 21-oct-2026: tras el n.º 1172 (28-jul) solo el calendario 2027 (n.º 1173, 5-oct), la recompra (n.º 1174) y el 3T26 (n.º 1175); sin operaciones de directivos ni avisos de accionistas significativos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https://www.mfn.se/all/a/dsv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Published net short positions (página de la Finanstilsynet consultada el 21-oct-2026: el último fichero sigue siendo el de julio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Finanstilsynet (Danish FSA)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https://www.dfsa.dk/financial-themes/capital-market/short-selling/published-net-short-positions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DSV.CO, ^STOXX, EXSA.DE, EXH4.DE y EXV1.DE (herramientas/bolsa.mjs y movimiento.mjs)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https://finance.yahoo.com/quote/DSV.CO/history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https://www.marketscreener.com/quote/stock/DSV-A-S-65289675/finances/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 Target Price Consensus and Analysts Recommendations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https://www.marketscreener.com/quote/stock/DSV-A-S-65289675/consensus/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 (CPH:DSV) Stock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https://stockanalysis.com/quote/cph/DSV/forecast/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del bono federal alemán a 10 años (serie diaria BBSIS D.I.ZST.ZI.EUR.S1311.B.A604.R10XX), 20-oct-2026: 3,48 %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https://api.statistiken.bundesbank.de/rest/data/BBSIS/D.I.ZST.ZI.EUR.S1311.B.A604.R10XX.R.A.A._Z._Z.A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Faces Customer Retention Crisis as Analyst Slashes Price Target by 24% (Jyske Bank, 2.100 → 1.600 DKK)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Breakbulk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https://breakbulk.news/dsv-faces-customer-retention-crisis-as-analyst-slashes-price-target-by-24/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Kuehne und Nagel International AG: Financial Data Forecasts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https://www.marketscreener.com/quote/stock/KUEHNE-UND-NAGEL-INTERNAT-178766/finances/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DHL Group: Financial Data Forecasts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https://www.marketscreener.com/quote/stock/DHL-GROUP-435996/finances/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Expeditors International of Washington: Financial Data Forecasts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https://www.marketscreener.com/quote/stock/EXPEDITORS-INTERNATIONAL--4900/finances/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 Robinson Worldwide: Financial Data Forecasts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https://www.marketscreener.com/quote/stock/C-H-ROBINSON-WORLDWIDE-IN-4915/finances/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GXO Logistics: Financial Data Forecasts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https://www.marketscreener.com/quote/stock/GXO-LOGISTICS-INC-125090815/finances/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Nippon Express Holdings: Financial Data Forecasts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https://www.marketscreener.com/quote/stock/NIPPON-EXPRESS-HOLDINGS-I-131014719/finances/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 Logistics Group: Financial Data Forecasts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https://www.marketscreener.com/quote/stock/ID-LOGISTICS-GROUP-10372316/finances/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Bolloré Logistics Sold to CMA CGM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Logistics Business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https://logisticsbusiness.com/transport-distribution/haulage-freight-forwarding/bollore-logistics-sold-to-cma-cgm/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Kuehne + Nagel (SWX:KNIN)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https://stockanalysis.com/quote/swx/KNIN/statistics/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DHL Group (ETR:DHL)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https://stockanalysis.com/quote/etr/DHL/statistics/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Expeditors (EXPD)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https://stockanalysis.com/stocks/expd/statistics/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 Robinson (CHRW)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https://stockanalysis.com/stocks/chrw/statistics/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GXO Logistics (GXO)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https://stockanalysis.com/stocks/gxo/statistics/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20 October 2026 (DKK 7,4746; USD 1,1215; CHF 0,9237; JPY 177,34)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https://www.ecb.europa.eu/stats/eurofxref/eurofxref-hist-90d.xml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RBC sets DKK 1,250 target for DSV stock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ad-hoc-news.de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https://www.ad-hoc-news.de/boerse/news/nebenwerte/rbc-sets-dkk-1-250-target-for-dsv-stock/70350101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Trucking and logistics shares plummet amid AI fears (SemiCab de Algorhythm, 12-feb-2026: DSV −11 %, Kuehne+Nagel −13 %, C.H. Robinson −15 %)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SSBCrack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https://news.ssbcrack.com/trucking-and-logistics-shares-plummet-amid-ai-fears/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Former karaoke company drags logistics into the AI scare trade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SupplyChainBrain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https://www.supplychainbrain.com/articles/43474-former-karaoke-company-drags-logistics-into-the-ai-scare-trade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(TX2319), histórico diario de cotizaciones en Nasdaq Copenhagen, 20-oct-2025 a 20-oct-2026 (cierre del 20-oct: 1.200,00 DKK; 21-oct a las 9:40, 1.296 DKK, +8,0 %)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 Nordic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https://api.nasdaq.com/api/nordic/instruments/TX2319/chart/download?assetClass=SHARES&amp;fromDate=2025-10-20&amp;toDate=2026-10-21&amp;lang=en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shares surge on third-quarter revenue beat, share buyback launch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https://uk.investing.com/news/earnings/dsv-shares-surge-on-thirdquarter-revenue-beat-share-buyback-launch-4921494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J.P. Morgan cuts DSV forecasts as Road division woes deepen (rebaja a neutral, objetivo 2.165 → 1.400 DKK)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https://www.investing.com/news/stock-market-news/jp-morgan-cuts-dsv-forecasts-as-road-division-woes-deepen-4940992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DHL Group raises full-year 2026 earnings guidance (resultados preliminares del 3T26)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DHL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https://group.dhl.com/en/media-relations/press-releases/2026/dhl-group-raises-full-year-2026-earnings-guidance.html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Cierres del 19 y 20-oct-2026 de KNIN.SW, DHL.DE, EXPD, CHRW, GXO, 9147.T e IDL.PA (gráfico diario y cierre anterior)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https://finance.yahoo.com/quote/KNIN.SW/history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debate de Nordnet Social en la ficha de la acción (16-19 oct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Nordnet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https://www.nordnet.dk/aktier/kurser/dsv-xcse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DSV’s Schenker Gamble: DKK 11 Billion Integration Bill Meets a Market That No Longer Believes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Breakbulk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https://breakbulk.news/dsvs-schenker-gamble-dkk-11-billion-integration-bill-meets-a-market-that-no-longer-believes/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Accelerated Schenker Integration And Robust Earnings Momentum (Rating Upgrade)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https://seekingalpha.com/article/4941742-dsv-stock-accelerated-schenker-integration-robust-earnings-momentum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 (DSDVY): canal RSS de noticias y análisis (comprobado el 21-oct-2026)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https://seekingalpha.com/api/sa/combined/DSDVY.xml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de Inderes: hilo «Ostin/myin juuri äsken» (mención de DSV, 2-jul-2026)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Inderes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https://forum.inderes.com/t/ostin-myin-juuri-asken-osa-8/69575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kan få medvind på børsen efter overordnet stærkt regnskab spår Jyske Bank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Proinvestor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https://proinvestor.com/nyheder/dsv-kan-faa-medvind-paa-boersen-efter-overordnet-staerkt-regnskab-spaar-jyske-ba-1792564527417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Q3-regnskab: Udvikling i Road division markant værre end forventet, efter justering for engangsposter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Økonomisk Ugebrev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https://ugebrev.dk/formue/dsv-q3-regnskab-udvikling-i-road-division-markant-vaerre-end-forventet-efter-justering-for-engangsposter/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Aktier/åbning: DSV trækker tæt på egenhændigt moderat C25-plus med stor kursgevinst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Proinvestor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https://proinvestor.com/nyheder/aktieraabning-dsv-traekker-taet-paa-egenhaendigt-moderat-c25-plus-med-stor-kursg-1792566645980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shares surge on third-quarter revenue beat, share buyback launch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https://www.investing.com/news/earnings/dsv-shares-surge-on-thirdquarter-revenue-beat-share-buyback-launch-4961751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Derfor må investorerne vente i spænding til 21. oktober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Nordnet (blog)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https://www.nordnet.dk/blog/dsv-derfor-maa-investorerne-vente-i-spaending-til-21-oktober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 DSV heals, Kuehne eyes deal (cita una nota de UBS)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Loadstar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https://theloadstar.com/as-dsv-heals-kuehne-eyes-deal/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revises DSV’s A- rating outlook to negative following Schenker deal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Air Cargo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https://www.aircargonews.net/freight-forwarder/2024/09/sp-revises-dsvs-a-rating-outlook-to-negative-following-schenker-deal/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DSV.CO, gráfico diario (cierres del 1 al 19-oct-2026)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https://query1.finance.yahoo.com/v8/finance/chart/DSV.CO?range=5d&amp;interval=1d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Rating report DSV Solutions (Pvt) Ltd (cita los ratings de la matriz)</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 Credit Rating Company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dic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https://docs.vis.com.pk/RatingReports/OP_01075901004_00010759.pdf</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90,8 %</w:t>
      </w:r>
      <w:r>
        <w:t xml:space="preserve"> · Secciones con menos del 60 % de campos cubiertos: </w:t>
      </w:r>
      <w:r>
        <w:rPr>
          <w:b/>
          <w:bCs/>
        </w:rPr>
        <w:t xml:space="preserve">ninguna</w:t>
      </w:r>
      <w:r>
        <w:t xml:space="preserve"> · Generado el 21 oct 2026.</w:t>
      </w:r>
    </w:p>
    <w:p>
      <w:pPr>
        <w:pStyle w:val="Nota"/>
        <w:spacing w:after="100"/>
      </w:pPr>
      <w:r>
        <w:t xml:space="preserve">Una sola línea cotizada (Nasdaq Copenhagen, DSV), con cuentas y cotización en coronas danesas: no hay conversión en las cifras de la empresa. El precio es el cierre del 20-oct-2026 en Nasdaq Copenhagen (1.200,00 DKK), la víspera de los resultados del 3T26, tomado del histórico de Nasdaq Nordic porque Yahoo aún no tenía esa sesión [93]; las rentabilidades, la beta, la volatilidad y la caída máxima llegan al 19-oct [69]. El 21-oct, tras los resultados, la acción subía en torno a un 6-8 % (1.279-1.296 DKK) [93, 94]: no cambia el precio del informe, pero sí el repaso de la compra. Esta iteración parte del informe del 19-oct y recoge el informe del 3T26 (21-oct) [15]. El puente es el balance del 30-sep-2026 y las acciones (238,353 millones diluidas) son de la misma fecha [15]. La cuenta va con el EBITDA y el EBIT </w:t>
      </w:r>
      <w:r>
        <w:rPr>
          <w:b/>
        </w:rPr>
        <w:t xml:space="preserve">antes de partidas especiales</w:t>
      </w:r>
      <w:r>
        <w:t xml:space="preserve">, como los publica DSV; las partidas especiales (costes de compras e integración) quedan entre el EBIT y el beneficio antes de impuestos [1, 15]. El EBIT de 2026 incluye plusvalías por ventas de inmuebles (550 M en nueve meses, 300 M en el 3T26), que la guía y el consenso también incluyen [15]. </w:t>
      </w:r>
      <w:r>
        <w:rPr>
          <w:b/>
        </w:rPr>
        <w:t xml:space="preserve">Perímetro</w:t>
      </w:r>
      <w:r>
        <w:t xml:space="preserve">: 2016 (UTi), 2019 (Panalpina), 2021 (GIL) y 2025 (Schenker, solo ocho meses en la cuenta y completo en el balance) no son comparables con el año anterior; por eso mezclan perímetros los ratios de 2025 que combinan cuenta y balance. El LTM a sep-26 es la segunda base con Schenker los doce meses. 2016 y 2019 salen de las tablas de cinco años y 2017-2018 no están reexpresados por NIIF 16 [6, 7]. La tasa libre es el Bund alemán a 10 años del 20-oct (3,48 %, Bundesbank), porque la corona está anclada al euro [73]. El rating sale de fuentes secundarias: la web de inversores de DSV no responde a las descargas (403) [19]. El capital flotante (80,8 %) es una estimación propia: 100 % menos Ernst Göhner Stiftung (9,7 %), Agility (8,03 %) y la autocartera [1, 57]. Solo MarketScreener da el consenso completo gratis y aún no recoge el 3T26; su EBITDA y su EBIT son antes de partidas especiales y su BPA es el contable [70]. Los comparables llevan los cierres del 20-oct; su EBITDA de los últimos 12 meses, su margen y su ROIC son los del 7-oct (ninguno ha publicado el 3T26) [76, 77, 78, 79, 80, 81, 82, 97].</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21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DSV A/S (DSV)</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(DKK) · precio actual 1.200,00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(1.130,50 – 1.913,50)</c:v>
                </c:pt>
                <c:pt idx="1">
                  <c:v>Precio objetivo de los analistas (1.250,00 – 2.300,00)</c:v>
                </c:pt>
                <c:pt idx="2">
                  <c:v>Comparables: EV/EBITDA NTM (646,88 – 1.778,78)</c:v>
                </c:pt>
                <c:pt idx="3">
                  <c:v>Comparables: PER NTM (1.236,46 – 1.750,46)</c:v>
                </c:pt>
                <c:pt idx="4">
                  <c:v>DCF (WACC y g ± 0,5) (1.135,29 – 1.610,93)</c:v>
                </c:pt>
                <c:pt idx="5">
                  <c:v>Escenarios (bajista – alcista) (808,44 – 1.678,87)</c:v>
                </c:pt>
                <c:pt idx="6">
                  <c:v>DCF con la prima implícita del mercado (4,2 %)</c:v>
                </c:pt>
                <c:pt idx="7">
                  <c:v>Precio actual (1.200,00)</c:v>
                </c:pt>
              </c:strCache>
            </c:strRef>
          </c:cat>
          <c:val>
            <c:numRef>
              <c:f>Hoja1!$B$2:$B$9</c:f>
              <c:numCache>
                <c:formatCode>#,##0</c:formatCode>
                <c:ptCount val="8"/>
                <c:pt idx="0">
                  <c:v>1130.5</c:v>
                </c:pt>
                <c:pt idx="1">
                  <c:v>1250</c:v>
                </c:pt>
                <c:pt idx="2">
                  <c:v>646.88</c:v>
                </c:pt>
                <c:pt idx="3">
                  <c:v>1236.46</c:v>
                </c:pt>
                <c:pt idx="4">
                  <c:v>1135.29</c:v>
                </c:pt>
                <c:pt idx="5">
                  <c:v>808.44</c:v>
                </c:pt>
                <c:pt idx="6">
                  <c:v>1548.74</c:v>
                </c:pt>
                <c:pt idx="7">
                  <c:v>1194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(1.130,50 – 1.913,50)</c:v>
                </c:pt>
                <c:pt idx="1">
                  <c:v>Precio objetivo de los analistas (1.250,00 – 2.300,00)</c:v>
                </c:pt>
                <c:pt idx="2">
                  <c:v>Comparables: EV/EBITDA NTM (646,88 – 1.778,78)</c:v>
                </c:pt>
                <c:pt idx="3">
                  <c:v>Comparables: PER NTM (1.236,46 – 1.750,46)</c:v>
                </c:pt>
                <c:pt idx="4">
                  <c:v>DCF (WACC y g ± 0,5) (1.135,29 – 1.610,93)</c:v>
                </c:pt>
                <c:pt idx="5">
                  <c:v>Escenarios (bajista – alcista) (808,44 – 1.678,87)</c:v>
                </c:pt>
                <c:pt idx="6">
                  <c:v>DCF con la prima implícita del mercado (4,2 %)</c:v>
                </c:pt>
                <c:pt idx="7">
                  <c:v>Precio actual (1.200,00)</c:v>
                </c:pt>
              </c:strCache>
            </c:strRef>
          </c:cat>
          <c:val>
            <c:numRef>
              <c:f>Hoja1!$C$2:$C$9</c:f>
              <c:numCache>
                <c:formatCode>#,##0</c:formatCode>
                <c:ptCount val="8"/>
                <c:pt idx="0">
                  <c:v>783</c:v>
                </c:pt>
                <c:pt idx="1">
                  <c:v>1050</c:v>
                </c:pt>
                <c:pt idx="2">
                  <c:v>1131.9</c:v>
                </c:pt>
                <c:pt idx="3">
                  <c:v>514</c:v>
                </c:pt>
                <c:pt idx="4">
                  <c:v>475.6400000000001</c:v>
                </c:pt>
                <c:pt idx="5">
                  <c:v>870.4299999999998</c:v>
                </c:pt>
                <c:pt idx="6">
                  <c:v>441.77</c:v>
                </c:pt>
                <c:pt idx="7">
                  <c:v>12</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4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(DKK, millones)</a:t>
            </a:r>
          </a:p>
        </c:rich>
      </c:tx>
      <c:overlay val="0"/>
    </c:title>
    <c:autoTitleDeleted val="0"/>
    <c:plotArea>
      <c:layout/>
      <c:barChart>
        <c:barDir val="col"/>
        <c:grouping val="stacked"/>
        <c:varyColors val="0"/>
        <c:ser>
          <c:idx val="0"/>
          <c:order val="0"/>
          <c:tx>
            <c:strRef>
              <c:f>Hoja1!$B$1</c:f>
              <c:strCache>
                <c:ptCount val="1"/>
                <c:pt idx="0">
                  <c:v>Air &amp; Sea</c:v>
                </c:pt>
              </c:strCache>
            </c:strRef>
          </c:tx>
          <c:spPr>
            <a:solidFill>
              <a:srgbClr val="2A78D6"/>
            </a:solidFill>
            <a:ln w="12700">
              <a:solidFill>
                <a:srgbClr val="FFFFFF"/>
              </a:solidFill>
            </a:ln>
          </c:spPr>
          <c:invertIfNegative val="0"/>
          <c:cat>
            <c:strRef>
              <c:f>Hoja1!$A$2:$A$9</c:f>
              <c:strCache>
                <c:ptCount val="8"/>
                <c:pt idx="0">
                  <c:v>2017</c:v>
                </c:pt>
                <c:pt idx="1">
                  <c:v>2018</c:v>
                </c:pt>
                <c:pt idx="2">
                  <c:v>2020</c:v>
                </c:pt>
                <c:pt idx="3">
                  <c:v>2021</c:v>
                </c:pt>
                <c:pt idx="4">
                  <c:v>2022</c:v>
                </c:pt>
                <c:pt idx="5">
                  <c:v>2023</c:v>
                </c:pt>
                <c:pt idx="6">
                  <c:v>2024</c:v>
                </c:pt>
                <c:pt idx="7">
                  <c:v>2025</c:v>
                </c:pt>
              </c:strCache>
            </c:strRef>
          </c:cat>
          <c:val>
            <c:numRef>
              <c:f>Hoja1!$B$2:$B$9</c:f>
              <c:numCache>
                <c:formatCode>#,##0</c:formatCode>
                <c:ptCount val="8"/>
                <c:pt idx="0">
                  <c:v>35204</c:v>
                </c:pt>
                <c:pt idx="1">
                  <c:v>36972</c:v>
                </c:pt>
                <c:pt idx="2">
                  <c:v>73689</c:v>
                </c:pt>
                <c:pt idx="3">
                  <c:v>131901</c:v>
                </c:pt>
                <c:pt idx="4">
                  <c:v>174431</c:v>
                </c:pt>
                <c:pt idx="5">
                  <c:v>92972</c:v>
                </c:pt>
                <c:pt idx="6">
                  <c:v>104496</c:v>
                </c:pt>
                <c:pt idx="7">
                  <c:v>137320</c:v>
                </c:pt>
              </c:numCache>
            </c:numRef>
          </c:val>
        </c:ser>
        <c:ser>
          <c:idx val="1"/>
          <c:order val="1"/>
          <c:tx>
            <c:strRef>
              <c:f>Hoja1!$C$1</c:f>
              <c:strCache>
                <c:ptCount val="1"/>
                <c:pt idx="0">
                  <c:v>Road</c:v>
                </c:pt>
              </c:strCache>
            </c:strRef>
          </c:tx>
          <c:spPr>
            <a:solidFill>
              <a:srgbClr val="EB6834"/>
            </a:solidFill>
            <a:ln w="12700">
              <a:solidFill>
                <a:srgbClr val="FFFFFF"/>
              </a:solidFill>
            </a:ln>
          </c:spPr>
          <c:invertIfNegative val="0"/>
          <c:cat>
            <c:strRef>
              <c:f>Hoja1!$A$2:$A$9</c:f>
              <c:strCache>
                <c:ptCount val="8"/>
                <c:pt idx="0">
                  <c:v>2017</c:v>
                </c:pt>
                <c:pt idx="1">
                  <c:v>2018</c:v>
                </c:pt>
                <c:pt idx="2">
                  <c:v>2020</c:v>
                </c:pt>
                <c:pt idx="3">
                  <c:v>2021</c:v>
                </c:pt>
                <c:pt idx="4">
                  <c:v>2022</c:v>
                </c:pt>
                <c:pt idx="5">
                  <c:v>2023</c:v>
                </c:pt>
                <c:pt idx="6">
                  <c:v>2024</c:v>
                </c:pt>
                <c:pt idx="7">
                  <c:v>2025</c:v>
                </c:pt>
              </c:strCache>
            </c:strRef>
          </c:cat>
          <c:val>
            <c:numRef>
              <c:f>Hoja1!$C$2:$C$9</c:f>
              <c:numCache>
                <c:formatCode>#,##0</c:formatCode>
                <c:ptCount val="8"/>
                <c:pt idx="0">
                  <c:v>30627</c:v>
                </c:pt>
                <c:pt idx="1">
                  <c:v>31243</c:v>
                </c:pt>
                <c:pt idx="2">
                  <c:v>30395</c:v>
                </c:pt>
                <c:pt idx="3">
                  <c:v>35416</c:v>
                </c:pt>
                <c:pt idx="4">
                  <c:v>41507</c:v>
                </c:pt>
                <c:pt idx="5">
                  <c:v>38155</c:v>
                </c:pt>
                <c:pt idx="6">
                  <c:v>40507</c:v>
                </c:pt>
                <c:pt idx="7">
                  <c:v>77977</c:v>
                </c:pt>
              </c:numCache>
            </c:numRef>
          </c:val>
        </c:ser>
        <c:ser>
          <c:idx val="2"/>
          <c:order val="2"/>
          <c:tx>
            <c:strRef>
              <c:f>Hoja1!$D$1</c:f>
              <c:strCache>
                <c:ptCount val="1"/>
                <c:pt idx="0">
                  <c:v>Contract Logistics</c:v>
                </c:pt>
              </c:strCache>
            </c:strRef>
          </c:tx>
          <c:spPr>
            <a:solidFill>
              <a:srgbClr val="1BAF7A"/>
            </a:solidFill>
            <a:ln w="12700">
              <a:solidFill>
                <a:srgbClr val="FFFFFF"/>
              </a:solidFill>
            </a:ln>
          </c:spPr>
          <c:invertIfNegative val="0"/>
          <c:cat>
            <c:strRef>
              <c:f>Hoja1!$A$2:$A$9</c:f>
              <c:strCache>
                <c:ptCount val="8"/>
                <c:pt idx="0">
                  <c:v>2017</c:v>
                </c:pt>
                <c:pt idx="1">
                  <c:v>2018</c:v>
                </c:pt>
                <c:pt idx="2">
                  <c:v>2020</c:v>
                </c:pt>
                <c:pt idx="3">
                  <c:v>2021</c:v>
                </c:pt>
                <c:pt idx="4">
                  <c:v>2022</c:v>
                </c:pt>
                <c:pt idx="5">
                  <c:v>2023</c:v>
                </c:pt>
                <c:pt idx="6">
                  <c:v>2024</c:v>
                </c:pt>
                <c:pt idx="7">
                  <c:v>2025</c:v>
                </c:pt>
              </c:strCache>
            </c:strRef>
          </c:cat>
          <c:val>
            <c:numRef>
              <c:f>Hoja1!$D$2:$D$9</c:f>
              <c:numCache>
                <c:formatCode>#,##0</c:formatCode>
                <c:ptCount val="8"/>
                <c:pt idx="0">
                  <c:v>11362</c:v>
                </c:pt>
                <c:pt idx="1">
                  <c:v>13229</c:v>
                </c:pt>
                <c:pt idx="2">
                  <c:v>14608</c:v>
                </c:pt>
                <c:pt idx="3">
                  <c:v>18734</c:v>
                </c:pt>
                <c:pt idx="4">
                  <c:v>24409</c:v>
                </c:pt>
                <c:pt idx="5">
                  <c:v>23140</c:v>
                </c:pt>
                <c:pt idx="6">
                  <c:v>25624</c:v>
                </c:pt>
                <c:pt idx="7">
                  <c:v>43463</c:v>
                </c:pt>
              </c:numCache>
            </c:numRef>
          </c:val>
        </c:ser>
        <c:ser>
          <c:idx val="3"/>
          <c:order val="3"/>
          <c:tx>
            <c:strRef>
              <c:f>Hoja1!$E$1</c:f>
              <c:strCache>
                <c:ptCount val="1"/>
                <c:pt idx="0">
                  <c:v>Global Products, grupo y eliminaciones</c:v>
                </c:pt>
              </c:strCache>
            </c:strRef>
          </c:tx>
          <c:spPr>
            <a:solidFill>
              <a:srgbClr val="EDA100"/>
            </a:solidFill>
            <a:ln w="12700">
              <a:solidFill>
                <a:srgbClr val="FFFFFF"/>
              </a:solidFill>
            </a:ln>
          </c:spPr>
          <c:invertIfNegative val="0"/>
          <c:cat>
            <c:strRef>
              <c:f>Hoja1!$A$2:$A$9</c:f>
              <c:strCache>
                <c:ptCount val="8"/>
                <c:pt idx="0">
                  <c:v>2017</c:v>
                </c:pt>
                <c:pt idx="1">
                  <c:v>2018</c:v>
                </c:pt>
                <c:pt idx="2">
                  <c:v>2020</c:v>
                </c:pt>
                <c:pt idx="3">
                  <c:v>2021</c:v>
                </c:pt>
                <c:pt idx="4">
                  <c:v>2022</c:v>
                </c:pt>
                <c:pt idx="5">
                  <c:v>2023</c:v>
                </c:pt>
                <c:pt idx="6">
                  <c:v>2024</c:v>
                </c:pt>
                <c:pt idx="7">
                  <c:v>2025</c:v>
                </c:pt>
              </c:strCache>
            </c:strRef>
          </c:cat>
          <c:val>
            <c:numRef>
              <c:f>Hoja1!$E$2:$E$9</c:f>
              <c:numCache>
                <c:formatCode>#,##0</c:formatCode>
                <c:ptCount val="8"/>
                <c:pt idx="0">
                  <c:v>-2292</c:v>
                </c:pt>
                <c:pt idx="1">
                  <c:v>-2391</c:v>
                </c:pt>
                <c:pt idx="2">
                  <c:v>-2760</c:v>
                </c:pt>
                <c:pt idx="3">
                  <c:v>-3745</c:v>
                </c:pt>
                <c:pt idx="4">
                  <c:v>-4682</c:v>
                </c:pt>
                <c:pt idx="5">
                  <c:v>-3482</c:v>
                </c:pt>
                <c:pt idx="6">
                  <c:v>-3521</c:v>
                </c:pt>
                <c:pt idx="7">
                  <c:v>-11429</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Air &amp; Sea</c:v>
                </c:pt>
                <c:pt idx="1">
                  <c:v>Road</c:v>
                </c:pt>
                <c:pt idx="2">
                  <c:v>Contract Logistics</c:v>
                </c:pt>
                <c:pt idx="3">
                  <c:v>Global Products, grupo y eliminaciones</c:v>
                </c:pt>
              </c:strCache>
            </c:strRef>
          </c:cat>
          <c:val>
            <c:numRef>
              <c:f>Hoja1!$B$2:$B$5</c:f>
              <c:numCache>
                <c:formatCode>General</c:formatCode>
                <c:ptCount val="4"/>
                <c:pt idx="0">
                  <c:v>55.5</c:v>
                </c:pt>
                <c:pt idx="1">
                  <c:v>31.5</c:v>
                </c:pt>
                <c:pt idx="2">
                  <c:v>17.6</c:v>
                </c:pt>
                <c:pt idx="3">
                  <c:v>-4.6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Europa</c:v>
                </c:pt>
                <c:pt idx="1">
                  <c:v>América</c:v>
                </c:pt>
                <c:pt idx="2">
                  <c:v>Asia-Pacífico</c:v>
                </c:pt>
                <c:pt idx="3">
                  <c:v>Oriente Medio y África</c:v>
                </c:pt>
              </c:strCache>
            </c:strRef>
          </c:cat>
          <c:val>
            <c:numRef>
              <c:f>Hoja1!$B$2:$B$5</c:f>
              <c:numCache>
                <c:formatCode>0"%"</c:formatCode>
                <c:ptCount val="4"/>
                <c:pt idx="0">
                  <c:v>54.7</c:v>
                </c:pt>
                <c:pt idx="1">
                  <c:v>21.6</c:v>
                </c:pt>
                <c:pt idx="2">
                  <c:v>18.6</c:v>
                </c:pt>
                <c:pt idx="3">
                  <c:v>5.1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(miles de millones de EUR (Ti, transitario mundial))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2025</c:v>
                </c:pt>
                <c:pt idx="1">
                  <c:v>2026e</c:v>
                </c:pt>
                <c:pt idx="2">
                  <c:v>2030e</c:v>
                </c:pt>
              </c:strCache>
            </c:strRef>
          </c:cat>
          <c:val>
            <c:numRef>
              <c:f>Hoja1!$B$2:$B$4</c:f>
              <c:numCache>
                <c:formatCode>#,##0</c:formatCode>
                <c:ptCount val="3"/>
                <c:pt idx="0">
                  <c:v>208.1</c:v>
                </c:pt>
                <c:pt idx="1">
                  <c:v>213.4</c:v>
                </c:pt>
                <c:pt idx="2">
                  <c:v>233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3</c:v>
                </c:pt>
                <c:pt idx="2">
                  <c:v>3</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DSV</c:v>
                </c:pt>
                <c:pt idx="1">
                  <c:v>Kuehne+Nagel</c:v>
                </c:pt>
                <c:pt idx="2">
                  <c:v>DHL Global Forwarding, Freight (DHL Group)</c:v>
                </c:pt>
                <c:pt idx="3">
                  <c:v>Expeditors International</c:v>
                </c:pt>
                <c:pt idx="4">
                  <c:v>C.H. Robinson</c:v>
                </c:pt>
                <c:pt idx="5">
                  <c:v>DHL Supply Chain (DHL Group)</c:v>
                </c:pt>
                <c:pt idx="6">
                  <c:v>GXO Logistics</c:v>
                </c:pt>
              </c:strCache>
            </c:strRef>
          </c:cat>
          <c:val>
            <c:numRef>
              <c:f>Hoja1!$B$2:$B$8</c:f>
              <c:numCache>
                <c:formatCode>0.0"%"</c:formatCode>
                <c:ptCount val="7"/>
                <c:pt idx="0">
                  <c:v>7.9</c:v>
                </c:pt>
                <c:pt idx="1">
                  <c:v>5.1</c:v>
                </c:pt>
                <c:pt idx="2">
                  <c:v>4.1</c:v>
                </c:pt>
                <c:pt idx="3">
                  <c:v>9.5</c:v>
                </c:pt>
                <c:pt idx="4">
                  <c:v>4.9</c:v>
                </c:pt>
                <c:pt idx="5">
                  <c:v>6.5</c:v>
                </c:pt>
                <c:pt idx="6">
                  <c:v>1.9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2</c:v>
                </c:pt>
                <c:pt idx="1">
                  <c:v>1</c:v>
                </c:pt>
                <c:pt idx="2">
                  <c:v>1</c:v>
                </c:pt>
                <c:pt idx="3">
                  <c:v>3</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(DKK,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Hoja1!$A$2:$A$21</c:f>
              <c:strCache>
                <c:ptCount val="20"/>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pt idx="18">
                  <c:v>2034e</c:v>
                </c:pt>
                <c:pt idx="19">
                  <c:v>2035e</c:v>
                </c:pt>
              </c:strCache>
            </c:strRef>
          </c:cat>
          <c:val>
            <c:numRef>
              <c:f>Hoja1!$B$2:$B$21</c:f>
              <c:numCache>
                <c:formatCode>#,##0</c:formatCode>
                <c:ptCount val="20"/>
                <c:pt idx="0">
                  <c:v>67747</c:v>
                </c:pt>
                <c:pt idx="1">
                  <c:v>74901</c:v>
                </c:pt>
                <c:pt idx="2">
                  <c:v>79053</c:v>
                </c:pt>
                <c:pt idx="3">
                  <c:v>94701</c:v>
                </c:pt>
                <c:pt idx="4">
                  <c:v>115932</c:v>
                </c:pt>
                <c:pt idx="5">
                  <c:v>182306</c:v>
                </c:pt>
                <c:pt idx="6">
                  <c:v>235665</c:v>
                </c:pt>
                <c:pt idx="7">
                  <c:v>150785</c:v>
                </c:pt>
                <c:pt idx="8">
                  <c:v>167106</c:v>
                </c:pt>
                <c:pt idx="9">
                  <c:v>247331</c:v>
                </c:pt>
                <c:pt idx="10">
                  <c:v>308100</c:v>
                </c:pt>
                <c:pt idx="11">
                  <c:v>299966</c:v>
                </c:pt>
                <c:pt idx="12">
                  <c:v>311965</c:v>
                </c:pt>
                <c:pt idx="13">
                  <c:v>324444</c:v>
                </c:pt>
                <c:pt idx="14">
                  <c:v>337421</c:v>
                </c:pt>
                <c:pt idx="15">
                  <c:v>349231</c:v>
                </c:pt>
                <c:pt idx="16">
                  <c:v>361454</c:v>
                </c:pt>
                <c:pt idx="17">
                  <c:v>372298</c:v>
                </c:pt>
                <c:pt idx="18">
                  <c:v>383467</c:v>
                </c:pt>
                <c:pt idx="19">
                  <c:v>393053</c:v>
                </c:pt>
              </c:numCache>
            </c:numRef>
          </c:val>
        </c:ser>
        <c:ser>
          <c:idx val="1"/>
          <c:order val="1"/>
          <c:tx>
            <c:strRef>
              <c:f>Hoja1!$C$1</c:f>
              <c:strCache>
                <c:ptCount val="1"/>
                <c:pt idx="0">
                  <c:v>EBITDA</c:v>
                </c:pt>
              </c:strCache>
            </c:strRef>
          </c:tx>
          <c:spPr>
            <a:solidFill>
              <a:srgbClr val="EB6834"/>
            </a:solidFill>
            <a:ln w="9525">
              <a:noFill/>
            </a:ln>
          </c:spPr>
          <c:invertIfNegative val="0"/>
          <c:cat>
            <c:strRef>
              <c:f>Hoja1!$A$2:$A$21</c:f>
              <c:strCache>
                <c:ptCount val="20"/>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pt idx="18">
                  <c:v>2034e</c:v>
                </c:pt>
                <c:pt idx="19">
                  <c:v>2035e</c:v>
                </c:pt>
              </c:strCache>
            </c:strRef>
          </c:cat>
          <c:val>
            <c:numRef>
              <c:f>Hoja1!$C$2:$C$21</c:f>
              <c:numCache>
                <c:formatCode>#,##0</c:formatCode>
                <c:ptCount val="20"/>
                <c:pt idx="0">
                  <c:v>4250</c:v>
                </c:pt>
                <c:pt idx="1">
                  <c:v>5664</c:v>
                </c:pt>
                <c:pt idx="2">
                  <c:v>6212</c:v>
                </c:pt>
                <c:pt idx="3">
                  <c:v>10292</c:v>
                </c:pt>
                <c:pt idx="4">
                  <c:v>13559</c:v>
                </c:pt>
                <c:pt idx="5">
                  <c:v>20417</c:v>
                </c:pt>
                <c:pt idx="6">
                  <c:v>30275</c:v>
                </c:pt>
                <c:pt idx="7">
                  <c:v>22997</c:v>
                </c:pt>
                <c:pt idx="8">
                  <c:v>21831</c:v>
                </c:pt>
                <c:pt idx="9">
                  <c:v>28244</c:v>
                </c:pt>
                <c:pt idx="10">
                  <c:v>35586</c:v>
                </c:pt>
                <c:pt idx="11">
                  <c:v>37646</c:v>
                </c:pt>
                <c:pt idx="12">
                  <c:v>41679</c:v>
                </c:pt>
                <c:pt idx="13">
                  <c:v>44773</c:v>
                </c:pt>
                <c:pt idx="14">
                  <c:v>48386</c:v>
                </c:pt>
                <c:pt idx="15">
                  <c:v>50534</c:v>
                </c:pt>
                <c:pt idx="16">
                  <c:v>52302</c:v>
                </c:pt>
                <c:pt idx="17">
                  <c:v>53871</c:v>
                </c:pt>
                <c:pt idx="18">
                  <c:v>55488</c:v>
                </c:pt>
                <c:pt idx="19">
                  <c:v>56875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1">
                  <c:v>22.2</c:v>
                </c:pt>
                <c:pt idx="2">
                  <c:v>22.1</c:v>
                </c:pt>
                <c:pt idx="4">
                  <c:v>24.6</c:v>
                </c:pt>
                <c:pt idx="5">
                  <c:v>20.6</c:v>
                </c:pt>
                <c:pt idx="6">
                  <c:v>22.1</c:v>
                </c:pt>
                <c:pt idx="7">
                  <c:v>29.1</c:v>
                </c:pt>
                <c:pt idx="8">
                  <c:v>25.7</c:v>
                </c:pt>
                <c:pt idx="9">
                  <c:v>27</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6.3</c:v>
                </c:pt>
                <c:pt idx="1">
                  <c:v>7.6</c:v>
                </c:pt>
                <c:pt idx="2">
                  <c:v>7.9</c:v>
                </c:pt>
                <c:pt idx="3">
                  <c:v>10.9</c:v>
                </c:pt>
                <c:pt idx="4">
                  <c:v>11.7</c:v>
                </c:pt>
                <c:pt idx="5">
                  <c:v>11.2</c:v>
                </c:pt>
                <c:pt idx="6">
                  <c:v>12.8</c:v>
                </c:pt>
                <c:pt idx="7">
                  <c:v>15.3</c:v>
                </c:pt>
                <c:pt idx="8">
                  <c:v>13.1</c:v>
                </c:pt>
                <c:pt idx="9">
                  <c:v>11.4</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5.1</c:v>
                </c:pt>
                <c:pt idx="1">
                  <c:v>6.5</c:v>
                </c:pt>
                <c:pt idx="2">
                  <c:v>6.9</c:v>
                </c:pt>
                <c:pt idx="3">
                  <c:v>7</c:v>
                </c:pt>
                <c:pt idx="4">
                  <c:v>8.2</c:v>
                </c:pt>
                <c:pt idx="5">
                  <c:v>8.9</c:v>
                </c:pt>
                <c:pt idx="6">
                  <c:v>10.7</c:v>
                </c:pt>
                <c:pt idx="7">
                  <c:v>11.8</c:v>
                </c:pt>
                <c:pt idx="8">
                  <c:v>9.6</c:v>
                </c:pt>
                <c:pt idx="9">
                  <c:v>7.9</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Hoja1!$E$2:$E$11</c:f>
              <c:numCache>
                <c:formatCode>0"%"</c:formatCode>
                <c:ptCount val="10"/>
                <c:pt idx="1">
                  <c:v>4</c:v>
                </c:pt>
                <c:pt idx="2">
                  <c:v>5.1</c:v>
                </c:pt>
                <c:pt idx="4">
                  <c:v>3.7</c:v>
                </c:pt>
                <c:pt idx="5">
                  <c:v>6.1</c:v>
                </c:pt>
                <c:pt idx="6">
                  <c:v>7.5</c:v>
                </c:pt>
                <c:pt idx="7">
                  <c:v>8.2</c:v>
                </c:pt>
                <c:pt idx="8">
                  <c:v>6</c:v>
                </c:pt>
                <c:pt idx="9">
                  <c:v>3.3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4T24</c:v>
                </c:pt>
                <c:pt idx="1">
                  <c:v>1T25</c:v>
                </c:pt>
                <c:pt idx="2">
                  <c:v>2T25</c:v>
                </c:pt>
                <c:pt idx="3">
                  <c:v>3T25</c:v>
                </c:pt>
                <c:pt idx="4">
                  <c:v>4T25</c:v>
                </c:pt>
                <c:pt idx="5">
                  <c:v>1T26</c:v>
                </c:pt>
                <c:pt idx="6">
                  <c:v>2T26</c:v>
                </c:pt>
                <c:pt idx="7">
                  <c:v>3T26</c:v>
                </c:pt>
              </c:strCache>
            </c:strRef>
          </c:cat>
          <c:val>
            <c:numRef>
              <c:f>Hoja1!$B$2:$B$9</c:f>
              <c:numCache>
                <c:formatCode>0.0"%"</c:formatCode>
                <c:ptCount val="8"/>
                <c:pt idx="0">
                  <c:v>19.1</c:v>
                </c:pt>
                <c:pt idx="1">
                  <c:v>8.7</c:v>
                </c:pt>
                <c:pt idx="2">
                  <c:v>50.6</c:v>
                </c:pt>
                <c:pt idx="3">
                  <c:v>63.2</c:v>
                </c:pt>
                <c:pt idx="4">
                  <c:v>64.7</c:v>
                </c:pt>
                <c:pt idx="5">
                  <c:v>68.9</c:v>
                </c:pt>
                <c:pt idx="6">
                  <c:v>23.7</c:v>
                </c:pt>
                <c:pt idx="7">
                  <c:v>12.1</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4T24</c:v>
                </c:pt>
                <c:pt idx="1">
                  <c:v>1T25</c:v>
                </c:pt>
                <c:pt idx="2">
                  <c:v>2T25</c:v>
                </c:pt>
                <c:pt idx="3">
                  <c:v>3T25</c:v>
                </c:pt>
                <c:pt idx="4">
                  <c:v>4T25</c:v>
                </c:pt>
                <c:pt idx="5">
                  <c:v>1T26</c:v>
                </c:pt>
                <c:pt idx="6">
                  <c:v>2T26</c:v>
                </c:pt>
                <c:pt idx="7">
                  <c:v>3T26</c:v>
                </c:pt>
              </c:strCache>
            </c:strRef>
          </c:cat>
          <c:val>
            <c:numRef>
              <c:f>Hoja1!$C$2:$C$9</c:f>
              <c:numCache>
                <c:formatCode>0.0"%"</c:formatCode>
                <c:ptCount val="8"/>
                <c:pt idx="3">
                  <c:v>-0.4</c:v>
                </c:pt>
                <c:pt idx="7">
                  <c:v>10.5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1">
                  <c:v>61</c:v>
                </c:pt>
                <c:pt idx="2">
                  <c:v>61</c:v>
                </c:pt>
                <c:pt idx="4">
                  <c:v>60</c:v>
                </c:pt>
                <c:pt idx="5">
                  <c:v>73</c:v>
                </c:pt>
                <c:pt idx="6">
                  <c:v>50</c:v>
                </c:pt>
                <c:pt idx="7">
                  <c:v>54</c:v>
                </c:pt>
                <c:pt idx="8">
                  <c:v>59</c:v>
                </c:pt>
                <c:pt idx="9">
                  <c:v>67</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1">
                  <c:v>3</c:v>
                </c:pt>
                <c:pt idx="2">
                  <c:v>4</c:v>
                </c:pt>
                <c:pt idx="4">
                  <c:v>6</c:v>
                </c:pt>
                <c:pt idx="5">
                  <c:v>1</c:v>
                </c:pt>
                <c:pt idx="6">
                  <c:v>4</c:v>
                </c:pt>
                <c:pt idx="7">
                  <c:v>15</c:v>
                </c:pt>
                <c:pt idx="8">
                  <c:v>15</c:v>
                </c:pt>
                <c:pt idx="9">
                  <c:v>4</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1">
                  <c:v>63</c:v>
                </c:pt>
                <c:pt idx="2">
                  <c:v>62</c:v>
                </c:pt>
                <c:pt idx="4">
                  <c:v>66</c:v>
                </c:pt>
                <c:pt idx="5">
                  <c:v>77</c:v>
                </c:pt>
                <c:pt idx="6">
                  <c:v>54</c:v>
                </c:pt>
                <c:pt idx="7">
                  <c:v>72</c:v>
                </c:pt>
                <c:pt idx="8">
                  <c:v>66</c:v>
                </c:pt>
                <c:pt idx="9">
                  <c:v>73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(DKK,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1273</c:v>
                </c:pt>
                <c:pt idx="1">
                  <c:v>3651</c:v>
                </c:pt>
                <c:pt idx="2">
                  <c:v>3091</c:v>
                </c:pt>
                <c:pt idx="3">
                  <c:v>6879</c:v>
                </c:pt>
                <c:pt idx="4">
                  <c:v>5877</c:v>
                </c:pt>
                <c:pt idx="5">
                  <c:v>7559</c:v>
                </c:pt>
                <c:pt idx="6">
                  <c:v>21318</c:v>
                </c:pt>
                <c:pt idx="7">
                  <c:v>10178</c:v>
                </c:pt>
                <c:pt idx="8">
                  <c:v>4970</c:v>
                </c:pt>
                <c:pt idx="9">
                  <c:v>12815</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1">
                  <c:v>2981</c:v>
                </c:pt>
                <c:pt idx="2">
                  <c:v>4000</c:v>
                </c:pt>
                <c:pt idx="4">
                  <c:v>4250</c:v>
                </c:pt>
                <c:pt idx="5">
                  <c:v>11205</c:v>
                </c:pt>
                <c:pt idx="6">
                  <c:v>17568</c:v>
                </c:pt>
                <c:pt idx="7">
                  <c:v>12315</c:v>
                </c:pt>
                <c:pt idx="8">
                  <c:v>10109</c:v>
                </c:pt>
                <c:pt idx="9">
                  <c:v>8095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19</c:v>
                </c:pt>
                <c:pt idx="1">
                  <c:v>22.9</c:v>
                </c:pt>
                <c:pt idx="2">
                  <c:v>20.4</c:v>
                </c:pt>
                <c:pt idx="3">
                  <c:v>14.1</c:v>
                </c:pt>
                <c:pt idx="4">
                  <c:v>12.7</c:v>
                </c:pt>
                <c:pt idx="5">
                  <c:v>14.7</c:v>
                </c:pt>
                <c:pt idx="6">
                  <c:v>18.9</c:v>
                </c:pt>
                <c:pt idx="7">
                  <c:v>13.1</c:v>
                </c:pt>
                <c:pt idx="8">
                  <c:v>11.3</c:v>
                </c:pt>
                <c:pt idx="9">
                  <c:v>8.6</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8.3</c:v>
                </c:pt>
                <c:pt idx="1">
                  <c:v>8.3</c:v>
                </c:pt>
                <c:pt idx="2">
                  <c:v>8.3</c:v>
                </c:pt>
                <c:pt idx="3">
                  <c:v>8.3</c:v>
                </c:pt>
                <c:pt idx="4">
                  <c:v>8.3</c:v>
                </c:pt>
                <c:pt idx="5">
                  <c:v>8.3</c:v>
                </c:pt>
                <c:pt idx="6">
                  <c:v>8.3</c:v>
                </c:pt>
                <c:pt idx="7">
                  <c:v>8.3</c:v>
                </c:pt>
                <c:pt idx="8">
                  <c:v>8.3</c:v>
                </c:pt>
                <c:pt idx="9">
                  <c:v>8.3</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1">
                  <c:v>21.1</c:v>
                </c:pt>
                <c:pt idx="2">
                  <c:v>27.2</c:v>
                </c:pt>
                <c:pt idx="4">
                  <c:v>8.8</c:v>
                </c:pt>
                <c:pt idx="5">
                  <c:v>18.4</c:v>
                </c:pt>
                <c:pt idx="6">
                  <c:v>24.1</c:v>
                </c:pt>
                <c:pt idx="7">
                  <c:v>17.6</c:v>
                </c:pt>
                <c:pt idx="8">
                  <c:v>11.1</c:v>
                </c:pt>
                <c:pt idx="9">
                  <c:v>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0</c:v>
                </c:pt>
                <c:pt idx="1">
                  <c:v>1</c:v>
                </c:pt>
                <c:pt idx="2">
                  <c:v>0.96</c:v>
                </c:pt>
                <c:pt idx="3">
                  <c:v>0</c:v>
                </c:pt>
                <c:pt idx="4">
                  <c:v>1.26</c:v>
                </c:pt>
                <c:pt idx="5">
                  <c:v>1.39</c:v>
                </c:pt>
                <c:pt idx="6">
                  <c:v>0.95</c:v>
                </c:pt>
                <c:pt idx="7">
                  <c:v>1.46</c:v>
                </c:pt>
                <c:pt idx="8">
                  <c:v>-0.03</c:v>
                </c:pt>
                <c:pt idx="9">
                  <c:v>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(DKK,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2026</c:v>
                </c:pt>
                <c:pt idx="1">
                  <c:v>2027-2030</c:v>
                </c:pt>
                <c:pt idx="2">
                  <c:v>2031-2034</c:v>
                </c:pt>
                <c:pt idx="3">
                  <c:v>2035+</c:v>
                </c:pt>
              </c:strCache>
            </c:strRef>
          </c:cat>
          <c:val>
            <c:numRef>
              <c:f>Hoja1!$B$2:$B$5</c:f>
              <c:numCache>
                <c:formatCode>#,##0</c:formatCode>
                <c:ptCount val="4"/>
                <c:pt idx="0">
                  <c:v>10797</c:v>
                </c:pt>
                <c:pt idx="1">
                  <c:v>32731</c:v>
                </c:pt>
                <c:pt idx="2">
                  <c:v>20715</c:v>
                </c:pt>
                <c:pt idx="3">
                  <c:v>3790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(DKK,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1">
                  <c:v>8</c:v>
                </c:pt>
                <c:pt idx="2">
                  <c:v>59</c:v>
                </c:pt>
                <c:pt idx="4">
                  <c:v>140</c:v>
                </c:pt>
                <c:pt idx="5">
                  <c:v>0</c:v>
                </c:pt>
                <c:pt idx="6">
                  <c:v>0</c:v>
                </c:pt>
                <c:pt idx="7">
                  <c:v>685</c:v>
                </c:pt>
                <c:pt idx="8">
                  <c:v>0</c:v>
                </c:pt>
                <c:pt idx="9">
                  <c:v>75790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327</c:v>
                </c:pt>
                <c:pt idx="1">
                  <c:v>342</c:v>
                </c:pt>
                <c:pt idx="2">
                  <c:v>380</c:v>
                </c:pt>
                <c:pt idx="3">
                  <c:v>423</c:v>
                </c:pt>
                <c:pt idx="4">
                  <c:v>588</c:v>
                </c:pt>
                <c:pt idx="5">
                  <c:v>920</c:v>
                </c:pt>
                <c:pt idx="6">
                  <c:v>1320</c:v>
                </c:pt>
                <c:pt idx="7">
                  <c:v>1424</c:v>
                </c:pt>
                <c:pt idx="8">
                  <c:v>1533</c:v>
                </c:pt>
                <c:pt idx="9">
                  <c:v>1683</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0</c:v>
                </c:pt>
                <c:pt idx="1">
                  <c:v>1559</c:v>
                </c:pt>
                <c:pt idx="2">
                  <c:v>4161</c:v>
                </c:pt>
                <c:pt idx="3">
                  <c:v>4888</c:v>
                </c:pt>
                <c:pt idx="4">
                  <c:v>5031</c:v>
                </c:pt>
                <c:pt idx="5">
                  <c:v>17841</c:v>
                </c:pt>
                <c:pt idx="6">
                  <c:v>20313</c:v>
                </c:pt>
                <c:pt idx="7">
                  <c:v>13997</c:v>
                </c:pt>
                <c:pt idx="8">
                  <c:v>3347</c:v>
                </c:pt>
                <c:pt idx="9">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Otro externo</c:v>
                </c:pt>
                <c:pt idx="1">
                  <c:v>Independiente</c:v>
                </c:pt>
                <c:pt idx="2">
                  <c:v>Dominical</c:v>
                </c:pt>
              </c:strCache>
            </c:strRef>
          </c:cat>
          <c:val>
            <c:numRef>
              <c:f>Hoja1!$B$2:$B$4</c:f>
              <c:numCache>
                <c:formatCode>0</c:formatCode>
                <c:ptCount val="3"/>
                <c:pt idx="0">
                  <c:v>1</c:v>
                </c:pt>
                <c:pt idx="1">
                  <c:v>5</c:v>
                </c:pt>
                <c:pt idx="2">
                  <c:v>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Ernst Göhner Stiftung (Suiza)</c:v>
                </c:pt>
                <c:pt idx="1">
                  <c:v>Agility Global PLC (grupo Agility, Kuwait)</c:v>
                </c:pt>
                <c:pt idx="2">
                  <c:v>Capital Group Companies (EE. UU.)</c:v>
                </c:pt>
                <c:pt idx="3">
                  <c:v>BlackRock, Inc. (EE. UU.)</c:v>
                </c:pt>
                <c:pt idx="4">
                  <c:v>Autocartera</c:v>
                </c:pt>
              </c:strCache>
            </c:strRef>
          </c:cat>
          <c:val>
            <c:numRef>
              <c:f>Hoja1!$B$2:$B$6</c:f>
              <c:numCache>
                <c:formatCode>0.0"%"</c:formatCode>
                <c:ptCount val="5"/>
                <c:pt idx="0">
                  <c:v>9.7</c:v>
                </c:pt>
                <c:pt idx="1">
                  <c:v>8.03</c:v>
                </c:pt>
                <c:pt idx="2">
                  <c:v>5.1</c:v>
                </c:pt>
                <c:pt idx="4">
                  <c:v>0.69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16.4</c:v>
                </c:pt>
                <c:pt idx="1">
                  <c:v>56.3</c:v>
                </c:pt>
                <c:pt idx="2">
                  <c:v>-11.8</c:v>
                </c:pt>
                <c:pt idx="3">
                  <c:v>79.6</c:v>
                </c:pt>
                <c:pt idx="4">
                  <c:v>33.4</c:v>
                </c:pt>
                <c:pt idx="5">
                  <c:v>50.3</c:v>
                </c:pt>
                <c:pt idx="6">
                  <c:v>-27.9</c:v>
                </c:pt>
                <c:pt idx="7">
                  <c:v>8.7</c:v>
                </c:pt>
                <c:pt idx="8">
                  <c:v>29.8</c:v>
                </c:pt>
                <c:pt idx="9">
                  <c:v>6.1</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1.6</c:v>
                </c:pt>
                <c:pt idx="1">
                  <c:v>10.7</c:v>
                </c:pt>
                <c:pt idx="2">
                  <c:v>-11</c:v>
                </c:pt>
                <c:pt idx="3">
                  <c:v>28.4</c:v>
                </c:pt>
                <c:pt idx="4">
                  <c:v>-1.8</c:v>
                </c:pt>
                <c:pt idx="5">
                  <c:v>24.6</c:v>
                </c:pt>
                <c:pt idx="6">
                  <c:v>-10.3</c:v>
                </c:pt>
                <c:pt idx="7">
                  <c:v>15.5</c:v>
                </c:pt>
                <c:pt idx="8">
                  <c:v>8.5</c:v>
                </c:pt>
                <c:pt idx="9">
                  <c:v>20.5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1">
                  <c:v>17.3</c:v>
                </c:pt>
                <c:pt idx="2">
                  <c:v>13.8</c:v>
                </c:pt>
                <c:pt idx="4">
                  <c:v>18.6</c:v>
                </c:pt>
                <c:pt idx="5">
                  <c:v>18.8</c:v>
                </c:pt>
                <c:pt idx="6">
                  <c:v>9.3</c:v>
                </c:pt>
                <c:pt idx="7">
                  <c:v>12.6</c:v>
                </c:pt>
                <c:pt idx="8">
                  <c:v>15.1</c:v>
                </c:pt>
                <c:pt idx="9">
                  <c:v>16.5</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15.8</c:v>
                </c:pt>
                <c:pt idx="1">
                  <c:v>15.8</c:v>
                </c:pt>
                <c:pt idx="2">
                  <c:v>15.8</c:v>
                </c:pt>
                <c:pt idx="3">
                  <c:v>15.8</c:v>
                </c:pt>
                <c:pt idx="4">
                  <c:v>15.8</c:v>
                </c:pt>
                <c:pt idx="5">
                  <c:v>15.8</c:v>
                </c:pt>
                <c:pt idx="6">
                  <c:v>15.8</c:v>
                </c:pt>
                <c:pt idx="7">
                  <c:v>15.8</c:v>
                </c:pt>
                <c:pt idx="8">
                  <c:v>15.8</c:v>
                </c:pt>
                <c:pt idx="9">
                  <c:v>15.8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DSV</c:v>
                </c:pt>
                <c:pt idx="1">
                  <c:v>Kuehne+Nagel</c:v>
                </c:pt>
                <c:pt idx="2">
                  <c:v>DHL Group</c:v>
                </c:pt>
                <c:pt idx="3">
                  <c:v>Expeditors</c:v>
                </c:pt>
                <c:pt idx="4">
                  <c:v>C.H. Robinson</c:v>
                </c:pt>
                <c:pt idx="5">
                  <c:v>GXO Logistics</c:v>
                </c:pt>
                <c:pt idx="6">
                  <c:v>NX Holdings (Nippon Express)</c:v>
                </c:pt>
                <c:pt idx="7">
                  <c:v>ID Logistics</c:v>
                </c:pt>
              </c:strCache>
            </c:strRef>
          </c:cat>
          <c:val>
            <c:numRef>
              <c:f>Hoja1!$B$2:$B$9</c:f>
              <c:numCache>
                <c:formatCode>0.0"x"</c:formatCode>
                <c:ptCount val="8"/>
                <c:pt idx="0">
                  <c:v>9.7</c:v>
                </c:pt>
                <c:pt idx="1">
                  <c:v>12.3</c:v>
                </c:pt>
                <c:pt idx="2">
                  <c:v>7</c:v>
                </c:pt>
                <c:pt idx="3">
                  <c:v>18</c:v>
                </c:pt>
                <c:pt idx="4">
                  <c:v>14.3</c:v>
                </c:pt>
                <c:pt idx="5">
                  <c:v>7.3</c:v>
                </c:pt>
                <c:pt idx="6">
                  <c:v>5.5</c:v>
                </c:pt>
                <c:pt idx="7">
                  <c:v>4.9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DSV</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0.8</c:v>
                </c:pt>
              </c:numCache>
            </c:numRef>
          </c:xVal>
          <c:yVal>
            <c:numRef>
              <c:f>Hoja1!$C$2</c:f>
              <c:numCache>
                <c:formatCode>0.0"x"</c:formatCode>
                <c:ptCount val="1"/>
                <c:pt idx="0">
                  <c:v>9.7</c:v>
                </c:pt>
              </c:numCache>
            </c:numRef>
          </c:yVal>
          <c:smooth val="0"/>
        </c:ser>
        <c:ser>
          <c:idx val="1"/>
          <c:order val="1"/>
          <c:tx>
            <c:strRef>
              <c:f>Hoja1!$A$3</c:f>
              <c:strCache>
                <c:ptCount val="1"/>
                <c:pt idx="0">
                  <c:v>Kuehne+Nagel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2.9</c:v>
                </c:pt>
              </c:numCache>
            </c:numRef>
          </c:xVal>
          <c:yVal>
            <c:numRef>
              <c:f>Hoja1!$C$3</c:f>
              <c:numCache>
                <c:formatCode>0.0"x"</c:formatCode>
                <c:ptCount val="1"/>
                <c:pt idx="0">
                  <c:v>12.3</c:v>
                </c:pt>
              </c:numCache>
            </c:numRef>
          </c:yVal>
          <c:smooth val="0"/>
        </c:ser>
        <c:ser>
          <c:idx val="2"/>
          <c:order val="2"/>
          <c:tx>
            <c:strRef>
              <c:f>Hoja1!$A$4</c:f>
              <c:strCache>
                <c:ptCount val="1"/>
                <c:pt idx="0">
                  <c:v>DHL Group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4.2</c:v>
                </c:pt>
              </c:numCache>
            </c:numRef>
          </c:xVal>
          <c:yVal>
            <c:numRef>
              <c:f>Hoja1!$C$4</c:f>
              <c:numCache>
                <c:formatCode>0.0"x"</c:formatCode>
                <c:ptCount val="1"/>
                <c:pt idx="0">
                  <c:v>7</c:v>
                </c:pt>
              </c:numCache>
            </c:numRef>
          </c:yVal>
          <c:smooth val="0"/>
        </c:ser>
        <c:ser>
          <c:idx val="3"/>
          <c:order val="3"/>
          <c:tx>
            <c:strRef>
              <c:f>Hoja1!$A$5</c:f>
              <c:strCache>
                <c:ptCount val="1"/>
                <c:pt idx="0">
                  <c:v>Expeditors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7</c:v>
                </c:pt>
              </c:numCache>
            </c:numRef>
          </c:xVal>
          <c:yVal>
            <c:numRef>
              <c:f>Hoja1!$C$5</c:f>
              <c:numCache>
                <c:formatCode>0.0"x"</c:formatCode>
                <c:ptCount val="1"/>
                <c:pt idx="0">
                  <c:v>18</c:v>
                </c:pt>
              </c:numCache>
            </c:numRef>
          </c:yVal>
          <c:smooth val="0"/>
        </c:ser>
        <c:ser>
          <c:idx val="4"/>
          <c:order val="4"/>
          <c:tx>
            <c:strRef>
              <c:f>Hoja1!$A$6</c:f>
              <c:strCache>
                <c:ptCount val="1"/>
                <c:pt idx="0">
                  <c:v>C.H. Robinson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9.2</c:v>
                </c:pt>
              </c:numCache>
            </c:numRef>
          </c:xVal>
          <c:yVal>
            <c:numRef>
              <c:f>Hoja1!$C$6</c:f>
              <c:numCache>
                <c:formatCode>0.0"x"</c:formatCode>
                <c:ptCount val="1"/>
                <c:pt idx="0">
                  <c:v>14.3</c:v>
                </c:pt>
              </c:numCache>
            </c:numRef>
          </c:yVal>
          <c:smooth val="0"/>
        </c:ser>
        <c:ser>
          <c:idx val="5"/>
          <c:order val="5"/>
          <c:tx>
            <c:strRef>
              <c:f>Hoja1!$A$7</c:f>
              <c:strCache>
                <c:ptCount val="1"/>
                <c:pt idx="0">
                  <c:v>GXO Logistics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5.6</c:v>
                </c:pt>
              </c:numCache>
            </c:numRef>
          </c:xVal>
          <c:yVal>
            <c:numRef>
              <c:f>Hoja1!$C$7</c:f>
              <c:numCache>
                <c:formatCode>0.0"x"</c:formatCode>
                <c:ptCount val="1"/>
                <c:pt idx="0">
                  <c:v>7.3</c:v>
                </c:pt>
              </c:numCache>
            </c:numRef>
          </c:yVal>
          <c:smooth val="0"/>
        </c:ser>
        <c:ser>
          <c:idx val="6"/>
          <c:order val="6"/>
          <c:tx>
            <c:strRef>
              <c:f>Hoja1!$A$8</c:f>
              <c:strCache>
                <c:ptCount val="1"/>
                <c:pt idx="0">
                  <c:v>NX Holdings (Nippon Express)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5.5</c:v>
                </c:pt>
              </c:numCache>
            </c:numRef>
          </c:xVal>
          <c:yVal>
            <c:numRef>
              <c:f>Hoja1!$C$8</c:f>
              <c:numCache>
                <c:formatCode>0.0"x"</c:formatCode>
                <c:ptCount val="1"/>
                <c:pt idx="0">
                  <c:v>5.5</c:v>
                </c:pt>
              </c:numCache>
            </c:numRef>
          </c:yVal>
          <c:smooth val="0"/>
        </c:ser>
        <c:ser>
          <c:idx val="7"/>
          <c:order val="7"/>
          <c:tx>
            <c:strRef>
              <c:f>Hoja1!$A$9</c:f>
              <c:strCache>
                <c:ptCount val="1"/>
                <c:pt idx="0">
                  <c:v>ID Logistics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12.5</c:v>
                </c:pt>
              </c:numCache>
            </c:numRef>
          </c:xVal>
          <c:yVal>
            <c:numRef>
              <c:f>Hoja1!$C$9</c:f>
              <c:numCache>
                <c:formatCode>0.0"x"</c:formatCode>
                <c:ptCount val="1"/>
                <c:pt idx="0">
                  <c:v>4.9</c:v>
                </c:pt>
              </c:numCache>
            </c:numRef>
          </c:yVal>
          <c:smooth val="0"/>
        </c:ser>
        <c:axId val="10"/>
        <c:axId val="20"/>
      </c:scatterChart>
      <c:valAx>
        <c:axId val="10"/>
        <c:scaling>
          <c:orientation val="minMax"/>
          <c:max val="16"/>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(DKK,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10841</c:v>
                </c:pt>
                <c:pt idx="1">
                  <c:v>19252</c:v>
                </c:pt>
                <c:pt idx="2">
                  <c:v>20486</c:v>
                </c:pt>
                <c:pt idx="3">
                  <c:v>22637</c:v>
                </c:pt>
                <c:pt idx="4">
                  <c:v>24927</c:v>
                </c:pt>
                <c:pt idx="5">
                  <c:v>26632</c:v>
                </c:pt>
                <c:pt idx="6">
                  <c:v>27564</c:v>
                </c:pt>
                <c:pt idx="7">
                  <c:v>28539</c:v>
                </c:pt>
                <c:pt idx="8">
                  <c:v>29395</c:v>
                </c:pt>
                <c:pt idx="9">
                  <c:v>30288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(DKK,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158423</c:v>
                </c:pt>
                <c:pt idx="1">
                  <c:v>244708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(DKK) · precio actual 1.200,00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808.44</c:v>
                </c:pt>
                <c:pt idx="1">
                  <c:v>1334.74</c:v>
                </c:pt>
                <c:pt idx="2">
                  <c:v>1678.87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(DKK) · precio actual 1.200,00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(1.130,50 – 1.913,50)</c:v>
                </c:pt>
                <c:pt idx="1">
                  <c:v>Precio objetivo de los analistas (1.250,00 – 2.300,00)</c:v>
                </c:pt>
                <c:pt idx="2">
                  <c:v>Comparables: EV/EBITDA NTM (646,88 – 1.778,78)</c:v>
                </c:pt>
                <c:pt idx="3">
                  <c:v>Comparables: PER NTM (1.236,46 – 1.750,46)</c:v>
                </c:pt>
                <c:pt idx="4">
                  <c:v>DCF (WACC y g ± 0,5) (1.135,29 – 1.610,93)</c:v>
                </c:pt>
                <c:pt idx="5">
                  <c:v>Escenarios (bajista – alcista) (808,44 – 1.678,87)</c:v>
                </c:pt>
                <c:pt idx="6">
                  <c:v>DCF con la prima implícita del mercado (4,2 %)</c:v>
                </c:pt>
                <c:pt idx="7">
                  <c:v>Precio actual (1.200,00)</c:v>
                </c:pt>
              </c:strCache>
            </c:strRef>
          </c:cat>
          <c:val>
            <c:numRef>
              <c:f>Hoja1!$B$2:$B$9</c:f>
              <c:numCache>
                <c:formatCode>#,##0</c:formatCode>
                <c:ptCount val="8"/>
                <c:pt idx="0">
                  <c:v>1130.5</c:v>
                </c:pt>
                <c:pt idx="1">
                  <c:v>1250</c:v>
                </c:pt>
                <c:pt idx="2">
                  <c:v>646.88</c:v>
                </c:pt>
                <c:pt idx="3">
                  <c:v>1236.46</c:v>
                </c:pt>
                <c:pt idx="4">
                  <c:v>1135.29</c:v>
                </c:pt>
                <c:pt idx="5">
                  <c:v>808.44</c:v>
                </c:pt>
                <c:pt idx="6">
                  <c:v>1548.74</c:v>
                </c:pt>
                <c:pt idx="7">
                  <c:v>1194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(1.130,50 – 1.913,50)</c:v>
                </c:pt>
                <c:pt idx="1">
                  <c:v>Precio objetivo de los analistas (1.250,00 – 2.300,00)</c:v>
                </c:pt>
                <c:pt idx="2">
                  <c:v>Comparables: EV/EBITDA NTM (646,88 – 1.778,78)</c:v>
                </c:pt>
                <c:pt idx="3">
                  <c:v>Comparables: PER NTM (1.236,46 – 1.750,46)</c:v>
                </c:pt>
                <c:pt idx="4">
                  <c:v>DCF (WACC y g ± 0,5) (1.135,29 – 1.610,93)</c:v>
                </c:pt>
                <c:pt idx="5">
                  <c:v>Escenarios (bajista – alcista) (808,44 – 1.678,87)</c:v>
                </c:pt>
                <c:pt idx="6">
                  <c:v>DCF con la prima implícita del mercado (4,2 %)</c:v>
                </c:pt>
                <c:pt idx="7">
                  <c:v>Precio actual (1.200,00)</c:v>
                </c:pt>
              </c:strCache>
            </c:strRef>
          </c:cat>
          <c:val>
            <c:numRef>
              <c:f>Hoja1!$C$2:$C$9</c:f>
              <c:numCache>
                <c:formatCode>#,##0</c:formatCode>
                <c:ptCount val="8"/>
                <c:pt idx="0">
                  <c:v>783</c:v>
                </c:pt>
                <c:pt idx="1">
                  <c:v>1050</c:v>
                </c:pt>
                <c:pt idx="2">
                  <c:v>1131.9</c:v>
                </c:pt>
                <c:pt idx="3">
                  <c:v>514</c:v>
                </c:pt>
                <c:pt idx="4">
                  <c:v>475.6400000000001</c:v>
                </c:pt>
                <c:pt idx="5">
                  <c:v>870.4299999999998</c:v>
                </c:pt>
                <c:pt idx="6">
                  <c:v>441.77</c:v>
                </c:pt>
                <c:pt idx="7">
                  <c:v>12</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4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