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Technology One Limited</w:t>
      </w:r>
    </w:p>
    <w:p>
      <w:pPr>
        <w:spacing w:after="60"/>
        <w:rPr>
          <w:color w:val="52514E"/>
          <w:sz w:val="22"/>
          <w:szCs w:val="22"/>
        </w:rPr>
      </w:pPr>
      <w:r>
        <w:rPr>
          <w:color w:val="52514E"/>
          <w:sz w:val="22"/>
          <w:szCs w:val="22"/>
        </w:rPr>
        <w:t xml:space="preserve">TNE · ASX (Australian Securities Exchange) · ISIN AU000000TNE8 · Tecnologías de la información</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19 oct 2026</w:t>
      </w:r>
      <w:r>
        <w:rPr>
          <w:color w:val="52514E"/>
          <w:sz w:val="18"/>
          <w:szCs w:val="18"/>
        </w:rPr>
        <w:t xml:space="preserve"> · Divisa: </w:t>
      </w:r>
      <w:r>
        <w:rPr>
          <w:b/>
          <w:bCs/>
          <w:color w:val="52514E"/>
          <w:sz w:val="18"/>
          <w:szCs w:val="18"/>
        </w:rPr>
        <w:t xml:space="preserve">AUD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31,30 AUD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29,95 AUD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-3,4 % (base +6,0 %)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11,56 AUD · mercado 12,66</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10.329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-0,8x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Technology One Limited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TNE / AU000000TNE8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ASX (Australian Securities Exchange)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S&amp;P/ASX 200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Tecnologías de la información / Software de aplicaciones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Brisbane (Fortitude Valley, Queensland) · 1987</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https://www.technology1.com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31,30 (19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20,14 – 39,99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94,0 %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10.329 M AUD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10.101 M AUD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23,7 M AUD/día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29,95 AUD</w:t>
      </w:r>
      <w:r>
        <w:t xml:space="preserve"> frente a 31,30 · Rentabilidad a 12 meses </w:t>
      </w:r>
      <w:r>
        <w:rPr>
          <w:b/>
          <w:bCs/>
        </w:rPr>
        <w:t xml:space="preserve">-3,4 % (base +6,0 %)</w:t>
      </w:r>
      <w:r>
        <w:t xml:space="preserve"> · Valor intrínseco 11,56 AUD · con la prima implícita del mercado: 12,66 (-59,6 %) · Alcista / bajista -56,4 % / -77,0 %</w:t>
      </w:r>
    </w:p>
    <w:p>
      <w:pPr>
        <w:spacing w:after="100"/>
      </w:pPr>
      <w:r>
        <w:rPr>
          <w:b/>
        </w:rPr>
        <w:t xml:space="preserve">La recomendación y por qué.</w:t>
      </w:r>
      <w:r>
        <w:t xml:space="preserve"> Mantener, con convicción media. Nuestro objetivo a 12 meses es de 29,95 AUD: −3,4 % con dividendo (+6,0 % en el caso base), frente a un precio de 31,30 AUD (cierre del 19-oct-2026 en la ASX) [25]. El objetivo medio de los 16 analistas (31,14) está a la par del precio [28]. El valor intrínseco (11,56 AUD) está un 63 % por debajo: no compraríamos a este precio aunque el múltiplo aguantara. La convicción es media porque el negocio es excelente y el beneficio de FY2026 ya está casi cerrado; la bajaría un ARR de FY2026 por debajo del 16 % el 17-nov y la subiría una guía de FY2027 por encima del 20 % de beneficio con el ARR al 18 %.</w:t>
      </w:r>
    </w:p>
    <w:p>
      <w:pPr>
        <w:spacing w:after="100"/>
      </w:pPr>
      <w:r>
        <w:rPr>
          <w:b/>
        </w:rPr>
        <w:t xml:space="preserve">El negocio.</w:t>
      </w:r>
      <w:r>
        <w:t xml:space="preserve"> TechnologyOne vende un ERP en la nube (contabilidad, nóminas, compras, gestión de alumnos, tasas y licencias) a ayuntamientos, universidades y administraciones de Australia, Nueva Zelanda y el Reino Unido [1]. El 83,5 % de los ingresos es suscripción, las bajas son de ≈ 1 % y la retención neta del 114 % [10]. </w:t>
      </w:r>
      <w:r>
        <w:rPr>
          <w:b/>
        </w:rPr>
        <w:t xml:space="preserve">Calidad: Sí</w:t>
      </w:r>
      <w:r>
        <w:t xml:space="preserve">, con mucha holgura: ROIC del 76,3 % en FY2025 frente a un WACC del 11,06 % (65 puntos), porque los clientes pagan por adelantado (294 M de ingresos diferidos). La sostenibilidad del crecimiento es </w:t>
      </w:r>
      <w:r>
        <w:rPr>
          <w:b/>
        </w:rPr>
        <w:t xml:space="preserve">sí</w:t>
      </w:r>
      <w:r>
        <w:t xml:space="preserve">: proyectamos un 9,8 % anual frente al 17,8 % de FY2021-FY2025, sin inversión neta y con una cuota del mercado direccionable del 4,4 % al 5,8 %.</w:t>
      </w:r>
    </w:p>
    <w:p>
      <w:pPr>
        <w:spacing w:after="100"/>
      </w:pPr>
      <w:r>
        <w:rPr>
          <w:b/>
        </w:rPr>
        <w:t xml:space="preserve">Finanzas.</w:t>
      </w:r>
      <w:r>
        <w:t xml:space="preserve"> Ingresos de 598,5 M AUD en FY2025 (+18 %), margen EBITDA del 42,5 % y beneficio de 137,6 M (BPA 0,417 AUD) [1]. En el H1 FY2026 los ingresos subieron un 11,5 % y el beneficio un 6 %, con el ARR en 598 M (+17 %) [6, 10]. La guía de FY2026 (beneficio antes de impuestos +18-20 %, en el extremo alto) da un BPA de ≈ 0,49 AUD [8]. Sin deuda y con 245 M de caja en marzo; el fideicomiso de empleados gastó ≈ 87 M en acciones en julio y agosto [13].</w:t>
      </w:r>
    </w:p>
    <w:p>
      <w:pPr>
        <w:spacing w:after="100"/>
      </w:pPr>
      <w:r>
        <w:rPr>
          <w:b/>
        </w:rPr>
        <w:t xml:space="preserve">Equipo y gobierno.</w:t>
      </w:r>
      <w:r>
        <w:t xml:space="preserve"> El consejo es mayoritariamente independiente y la guía se ha cumplido o superado cinco años seguidos [2]. Resta la rotación: el director financiero dejó el puesto en agosto tras las preguntas de accionistas por su etapa en Corporate Travel Management y el de operaciones sale el 18-nov [20, 21, 22].</w:t>
      </w:r>
    </w:p>
    <w:p>
      <w:pPr>
        <w:spacing w:after="100"/>
      </w:pPr>
      <w:r>
        <w:rPr>
          <w:b/>
        </w:rPr>
        <w:t xml:space="preserve">Valoración.</w:t>
      </w:r>
      <w:r>
        <w:t xml:space="preserve"> El DCF da 11,29 AUD con el bono australiano al 5,31 % y una beta de 1,15 [25, 29]; los comparables, 13,30 (22,1 veces el beneficio de los próximos 12 meses frente a las 52 de TNE). El DCF inverso pide un crecimiento del 23,3 % anual durante nueve años (nuestro base: 9,4 %) o, dicho de otra forma, el precio rinde un 5,9 % anual, por debajo del bono. A 12 meses no contamos con que el múltiplo vuelva a 78 veces (FY2025): PER de 49,4x (el actual, 54,4x, hacia su mediana de 43x, con el tope de la regla) sobre un BPA de FY2028e de 0,666 AUD.</w:t>
      </w:r>
    </w:p>
    <w:p>
      <w:pPr>
        <w:spacing w:after="100"/>
      </w:pPr>
      <w:r>
        <w:rPr>
          <w:b/>
        </w:rPr>
        <w:t xml:space="preserve">Riesgos y catalizadores.</w:t>
      </w:r>
      <w:r>
        <w:t xml:space="preserve"> El riesgo principal es el múltiplo: si el mercado paga el mínimo de cinco años (33,6x), la acción cae un 41 % (bajista a 12 meses: 18,39 AUD). Le sigue la IA, que puede bajar el precio por usuario del software de gestión: es un riesgo medio y mixto, porque el ERP público es un sistema de registro difícil de sustituir y TNE ya cobra agentes propios [14]. Catalizador: resultados de FY2026 hacia el 17-nov, con la guía de FY2027. Veredicto de precio y noticias: no cambia (tendencia alcista, sin colocaciones ni hechos pendientes). En los foros pesa el miedo a la IA y la valoración [37, 40].</w:t>
      </w:r>
    </w:p>
    <w:p>
      <w:pPr>
        <w:spacing w:after="100"/>
      </w:pPr>
      <w:r>
        <w:rPr>
          <w:b/>
        </w:rPr>
        <w:t xml:space="preserve">Qué cambiaría la decisión.</w:t>
      </w:r>
      <w:r>
        <w:t xml:space="preserve"> Compraríamos solo por debajo del valor intrínseco (11,56 AUD), lejos del precio. Venderíamos por encima de 33,59 AUD, donde la rentabilidad a 12 meses baja del −10 %. Un ARR de FY2026 por debajo del 16 % o una retención neta por debajo del 110 % nos haría bajar el base.</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29,95 AUD</w:t>
      </w:r>
      <w:r>
        <w:t xml:space="preserve"> (rentabilidad -3,4 % (base +6,0 %)) · Valor intrínseco: 11,56 AUD (-63,1 % sobre 31,30) · con la prima implícita del mercado: 12,66 (-59,6 %)</w:t>
      </w:r>
    </w:p>
    <w:p>
      <w:pPr>
        <w:spacing w:after="100"/>
      </w:pPr>
      <w:r>
        <w:t xml:space="preserve">TechnologyOne es el ERP de referencia de los ayuntamientos y las universidades de Australia: un solo producto en la nube, cobro por adelantado, bajas del 1 % y un ROIC por encima del 75 % sin deuda [1, 10]. Su beneficio antes de impuestos ha pasado de 82,5 M en FY2020 a 181,5 M en FY2025 y ha cumplido o superado la guía cinco años seguidos [1, 2, 5].</w:t>
      </w:r>
    </w:p>
    <w:p>
      <w:pPr>
        <w:spacing w:after="100"/>
      </w:pPr>
      <w:r>
        <w:t xml:space="preserve">El precio descuenta mucho más que eso. A 31,30 AUD paga 54 veces nuestro BPA de FY2027e y 37,6 veces el EBITDA de los últimos 12 meses, más del doble que sus comparables (22,1 veces el beneficio). El DCF inverso exige un crecimiento del 23,3 % anual durante nueve años, cuando el histórico es del 17,8 % y el mercado crece al 7 % [15].</w:t>
      </w:r>
    </w:p>
    <w:p>
      <w:pPr>
        <w:spacing w:after="100"/>
      </w:pPr>
      <w:r>
        <w:t xml:space="preserve">El mercado acierta en la calidad y se equivoca, a nuestro juicio, en el precio: para invertir hay que creer que la IA hará a TNE más valiosa (más ingreso por cliente con Plus y agentes) y que el mercado seguirá descontando sus flujos a menos del 8 %. Ninguna de las dos cosas está en nuestro base.</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FY2028e,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29,95 AUD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33,6x × 0,55 = 18,39 · 49,4x × 0,67 = 32,91 · 49,4x × 0,72 = 35,58</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 / 6,0 %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31,14 (nuestro base +5,7 %)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11,56 AUD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-56,4 % / -77,0 %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-0,73x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 frente a 11,1 % y 10,1 %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10,1 %)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12,66 AUD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-0,68x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(FY2027e-FY2035e)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23,3 % frente a 7,0 %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(9,8 %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11,56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11,56 y 33,59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33,59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encima de 33,59 AUD: pasaríamos a Vender.</w:t>
      </w:r>
    </w:p>
    <w:p>
      <w:pPr>
        <w:pStyle w:val="ListParagraph"/>
        <w:numPr>
          <w:ilvl w:val="0"/>
          <w:numId w:val="2"/>
        </w:numPr>
        <w:spacing w:after="60"/>
      </w:pPr>
      <w:r>
        <w:t xml:space="preserve">Precio por debajo de 11,56 AUD (valor intrínseco): sería una compra.</w:t>
      </w:r>
    </w:p>
    <w:p>
      <w:pPr>
        <w:pStyle w:val="ListParagraph"/>
        <w:numPr>
          <w:ilvl w:val="0"/>
          <w:numId w:val="2"/>
        </w:numPr>
        <w:spacing w:after="60"/>
      </w:pPr>
      <w:r>
        <w:t xml:space="preserve">ARR de FY2026 por debajo del 16 % o retención neta por debajo del 110 %: bajaríamos el base al bajista.</w:t>
      </w:r>
    </w:p>
    <w:p>
      <w:pPr>
        <w:pStyle w:val="ListParagraph"/>
        <w:numPr>
          <w:ilvl w:val="0"/>
          <w:numId w:val="2"/>
        </w:numPr>
        <w:spacing w:after="60"/>
      </w:pPr>
      <w:r>
        <w:t xml:space="preserve">Guía de FY2027 con beneficio antes de impuestos &gt; +20 % y ARR &gt; +18 %: subiríamos el base.</w:t>
      </w:r>
    </w:p>
    <w:p>
      <w:pPr>
        <w:pStyle w:val="Heading2"/>
      </w:pPr>
      <w:r>
        <w:t xml:space="preserve">Dónde discrepamos del mercado</w:t>
      </w:r>
    </w:p>
    <w:p>
      <w:pPr>
        <w:keepNext/>
        <w:spacing w:after="100"/>
      </w:pPr>
      <w:r>
        <w:rPr>
          <w:b/>
          <w:bCs/>
        </w:rPr>
        <w:t xml:space="preserve">Lo que descuenta el precio.</w:t>
      </w:r>
    </w:p>
    <w:p>
      <w:pPr>
        <w:spacing w:after="100"/>
      </w:pPr>
      <w:r>
        <w:t xml:space="preserve">Que TechnologyOne crecerá al 20 % o más durante una década y que la IA no le hará daño: un crecimiento implícito del 23,3 % anual o una rentabilidad exigida del 5,9 %.</w:t>
      </w:r>
    </w:p>
    <w:p>
      <w:pPr>
        <w:keepNext/>
        <w:spacing w:after="100"/>
      </w:pPr>
      <w:r>
        <w:rPr>
          <w:b/>
          <w:bCs/>
        </w:rPr>
        <w:t xml:space="preserve">Lo que creemos nosotros.</w:t>
      </w:r>
    </w:p>
    <w:p>
      <w:pPr>
        <w:spacing w:after="100"/>
      </w:pPr>
      <w:r>
        <w:t xml:space="preserve">El negocio es de los mejores de su sector y crecerá al 13-14 % en FY2027-FY2028 y menos después; el beneficio crece al 16 % al año, pero eso ya está en el precio. Coincidimos con el consenso en el beneficio; discrepamos en lo que vale.</w:t>
      </w:r>
    </w:p>
    <w:p>
      <w:pPr>
        <w:keepNext/>
        <w:spacing w:after="100"/>
      </w:pPr>
      <w:r>
        <w:rPr>
          <w:b/>
          <w:bCs/>
        </w:rPr>
        <w:t xml:space="preserve">Por qué podemos tener razón.</w:t>
      </w:r>
    </w:p>
    <w:p>
      <w:pPr>
        <w:spacing w:after="100"/>
      </w:pPr>
      <w:r>
        <w:t xml:space="preserve">El ARR crece al 17 %, no al 20 %, el Reino Unido se ha frenado (ventas nuevas −5 %) y el mercado direccionable crece al 7 % [10, 15]. La IA es más riesgo de precio que oportunidad mientras Plus no demuestre que se cobra.</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AUD) · precio actual 31,3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Calidad excepcional</w:t>
      </w:r>
      <w:r>
        <w:t xml:space="preserve">: ROIC del 76,3 % en FY2025 sin deuda [1].</w:t>
      </w:r>
    </w:p>
    <w:p>
      <w:pPr>
        <w:pStyle w:val="ListParagraph"/>
        <w:numPr>
          <w:ilvl w:val="0"/>
          <w:numId w:val="2"/>
        </w:numPr>
        <w:spacing w:after="60"/>
      </w:pPr>
      <w:r>
        <w:rPr>
          <w:b/>
        </w:rPr>
        <w:t xml:space="preserve">Ingresos previsibles</w:t>
      </w:r>
      <w:r>
        <w:t xml:space="preserve">: el 83,5 % es suscripción y las bajas son de ≈ 1 % [10].</w:t>
      </w:r>
    </w:p>
    <w:p>
      <w:pPr>
        <w:pStyle w:val="ListParagraph"/>
        <w:numPr>
          <w:ilvl w:val="0"/>
          <w:numId w:val="2"/>
        </w:numPr>
        <w:spacing w:after="60"/>
      </w:pPr>
      <w:r>
        <w:rPr>
          <w:b/>
        </w:rPr>
        <w:t xml:space="preserve">Guía fiable</w:t>
      </w:r>
      <w:r>
        <w:t xml:space="preserve">: cumplida o superada cinco años seguidos; FY2026 con beneficio antes de impuestos +18-20 % [2, 8].</w:t>
      </w:r>
    </w:p>
    <w:p>
      <w:pPr>
        <w:pStyle w:val="ListParagraph"/>
        <w:numPr>
          <w:ilvl w:val="0"/>
          <w:numId w:val="2"/>
        </w:numPr>
        <w:spacing w:after="60"/>
      </w:pPr>
      <w:r>
        <w:rPr>
          <w:b/>
        </w:rPr>
        <w:t xml:space="preserve">Caja</w:t>
      </w:r>
      <w:r>
        <w:t xml:space="preserve">: 245 M sin deuda y flujo libre igual al beneficio [6, 8].</w:t>
      </w:r>
    </w:p>
    <w:p>
      <w:pPr>
        <w:pStyle w:val="Heading2"/>
      </w:pPr>
      <w:r>
        <w:t xml:space="preserve">En contra</w:t>
      </w:r>
    </w:p>
    <w:p>
      <w:pPr>
        <w:pStyle w:val="ListParagraph"/>
        <w:numPr>
          <w:ilvl w:val="0"/>
          <w:numId w:val="2"/>
        </w:numPr>
        <w:spacing w:after="60"/>
      </w:pPr>
      <w:r>
        <w:rPr>
          <w:b/>
        </w:rPr>
        <w:t xml:space="preserve">Precio</w:t>
      </w:r>
      <w:r>
        <w:t xml:space="preserve">: 54 veces el BPA de FY2027e y un valor intrínseco de 11,56 AUD.</w:t>
      </w:r>
    </w:p>
    <w:p>
      <w:pPr>
        <w:pStyle w:val="ListParagraph"/>
        <w:numPr>
          <w:ilvl w:val="0"/>
          <w:numId w:val="2"/>
        </w:numPr>
        <w:spacing w:after="60"/>
      </w:pPr>
      <w:r>
        <w:rPr>
          <w:b/>
        </w:rPr>
        <w:t xml:space="preserve">DCF inverso exigente</w:t>
      </w:r>
      <w:r>
        <w:t xml:space="preserve">: pide un 23,3 % anual durante nueve años.</w:t>
      </w:r>
    </w:p>
    <w:p>
      <w:pPr>
        <w:pStyle w:val="ListParagraph"/>
        <w:numPr>
          <w:ilvl w:val="0"/>
          <w:numId w:val="2"/>
        </w:numPr>
        <w:spacing w:after="60"/>
      </w:pPr>
      <w:r>
        <w:rPr>
          <w:b/>
        </w:rPr>
        <w:t xml:space="preserve">IA</w:t>
      </w:r>
      <w:r>
        <w:t xml:space="preserve">: puede bajar el precio por usuario del software de gestión [15].</w:t>
      </w:r>
    </w:p>
    <w:p>
      <w:pPr>
        <w:pStyle w:val="ListParagraph"/>
        <w:numPr>
          <w:ilvl w:val="0"/>
          <w:numId w:val="2"/>
        </w:numPr>
        <w:spacing w:after="60"/>
      </w:pPr>
      <w:r>
        <w:rPr>
          <w:b/>
        </w:rPr>
        <w:t xml:space="preserve">Reino Unido</w:t>
      </w:r>
      <w:r>
        <w:t xml:space="preserve">: ventas nuevas −5 % en el H1 FY2026 [10].</w:t>
      </w:r>
    </w:p>
    <w:p>
      <w:pPr>
        <w:pStyle w:val="ListParagraph"/>
        <w:numPr>
          <w:ilvl w:val="0"/>
          <w:numId w:val="2"/>
        </w:numPr>
        <w:spacing w:after="60"/>
      </w:pPr>
      <w:r>
        <w:rPr>
          <w:b/>
        </w:rPr>
        <w:t xml:space="preserve">Rotación de dirección</w:t>
      </w:r>
      <w:r>
        <w:t xml:space="preserve">: financiero y de operaciones cambian en cuatro meses [21, 22].</w:t>
      </w:r>
    </w:p>
    <w:p>
      <w:pPr>
        <w:pStyle w:val="Heading2"/>
      </w:pPr>
      <w:r>
        <w:t xml:space="preserve">Qué tiene que pasar para que la tesis funcione</w:t>
      </w:r>
    </w:p>
    <w:p>
      <w:pPr>
        <w:spacing w:after="100"/>
      </w:pPr>
      <w:r>
        <w:t xml:space="preserve">El ARR y la retención neta. La señal de que la tesis del mercado aguanta: un ARR de FY2026 por encima del 17 % el 17-nov, una guía de FY2027 con el beneficio al 18-20 % y Plus con ingresos propios; la de que falla: un ARR por debajo del 16 %, una retención neta por debajo del 110 % o más ventas nuevas negativas en el Reino Unido.</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del ARR</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 (598 M, mar-26)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16 %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Anticipa los ingresos de los dos años siguientes.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Retención neta de ingresos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110 %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el poder de precios frente a la IA.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nuevas en el Reino Unido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(H1 FY2026)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Negativas otro semestre</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segunda pata de crecimiento.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antes de impuestos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32 % (guía FY2026)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objetivo es el 35 % o más.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adelantado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54,4x</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60x</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la rentabilidad a 12 meses pasa a Vender.</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37,6x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73,0x / 52,0x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55,6x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16,00x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(FY2021-FY2025)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76,3 %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-0,7x · -0,8x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de 13 (1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Adrian Di Marco y John Mactaggart fundaron TechnologyOne en Brisbane en 1987 para hacer software de gestión (finanzas, nóminas, inmuebles) para organizaciones medianas australianas [1]. Salió a bolsa en la ASX en 1999 y se especializó en seis verticales de clientes que no pueden equivocarse: ayuntamientos, universidades y centros de formación profesional, administraciones, sanidad y servicios sociales, empresas de activos intensivos y servicios financieros [1, 10]. Ha reescrito su código cuatro veces; la cuarta generación la llevó a la nube (2012-2024: 100 % SaaS) y en 2023 lanzó SaaS+, la implantación incluida en la cuota [1, 10]. Edward Chung es consejero delegado desde mayo de 2017; Di Marco dejó la presidencia en 2021 y Mactaggart el consejo en 2024 [1]. En el Reino Unido, donde entró con universidades, compró Scientia (2021) y ganó ayuntamientos londinenses [9].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en Brisbane por Adrian Di Marco y John Mactaggart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la ASX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versión en la nube; inicio del paso de licencias a SaaS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Edward Chung, consejero delegado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Scientia (horarios universitarios, Reino Unido)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SaaS+ (implantación incluida en la cuota) [9].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100 % de clientes en la nube; entrada en el ASX 50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CourseLoop; 500 M de ARR 18 meses antes de lo previsto; lanzamiento de Plus (IA) [9].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Lanzamiento de Guide (IA para vecinos y alumnos) y nueva estructura por verticales [17].</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TechnologyOne vende un ERP en la nube, una única instalación compartida por todos sus clientes, con 20 productos: finanzas, nóminas y recursos humanos, compras, activos, presupuestos, gestión documental, impuestos municipales sobre inmuebles («property &amp; rating»), gestión de alumnos, horarios y planes de estudio, y desde 2025 la IA (Plus, Guide e IA en producto) [1, 10]. Sus clientes son unos 1.300: ayuntamientos (41 % del ARR), universidades y centros de formación (25 %), administraciones (14 %), sanidad y servicios sociales, empresas de activos intensivos y financieras [10]. Vende directamente, con su propio equipo de implantación, en Australia (81 % de los ingresos), Nueva Zelanda y Asia (10 %) y el Reino Unido (8 %) [1].</w:t>
      </w:r>
    </w:p>
    <w:p>
      <w:pPr>
        <w:pStyle w:val="Heading2"/>
      </w:pPr>
      <w:r>
        <w:t xml:space="preserve">Cómo gana dinero</w:t>
      </w:r>
    </w:p>
    <w:p>
      <w:pPr>
        <w:spacing w:after="100"/>
      </w:pPr>
      <w:r>
        <w:t xml:space="preserve">El 91 % de los ingresos es recurrente y contratado al empezar el año (ARR de 554,6 M frente a 610 M de ingresos totales en FY25) [9]. Cobra una cuota anual por cliente según su tamaño (inmuebles gravados en un ayuntamiento, alumnos equivalentes a tiempo completo en una universidad, presupuesto en una administración), no por usuario, y la sube con la inflación y con cada módulo nuevo: la retención neta es del 114-115 % [9, 10]. Con SaaS+ la implantación va dentro de la cuota (ARR un 40 % mayor por contrato), lo que convierte la consultoría en ingreso recurrente pero cuesta margen al principio [10]. Desde 2026 la IA se cobra por conversación (Plus) e interacción por encima de un tramo gratuito y con publicidad en Guide [14]. El coste es sobre todo personal (I+D al 25 % de los ingresos) y la nube; con una sola instalación, cada cliente nuevo tiene un coste marginal bajo: margen antes de impuestos del 30 % y objetivo del 35 % o más [9].</w:t>
      </w:r>
    </w:p>
    <w:p>
      <w:pPr>
        <w:pStyle w:val="Heading2"/>
      </w:pPr>
      <w:r>
        <w:t xml:space="preserve">Segmentos (FY2025)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Cuotas SaaS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Licencias (anuales e iniciales)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Consultoría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AU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FY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Cuotas SaaS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Licencias (anuales e iniciales)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Consultoría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Unos 1.300 clientes; ninguno pasa del 10 % de los ingresos [1]. Contratos SaaS de 5-10 años (James Cook University y Townsville, 10 años en 2026) [10]. Bajas del 1 % o menos al año y retención de clientes del 99 % [10]. El ARR medio por cliente pasó de 100.000 AUD en FY12 a 491.000 AUD en marzo de 2026 [10]. Poder de precios demostrado: la cuota se indexa a la inflación, la lista de precios de productos nuevos subió un 10 % con la IA y los clientes que vuelven pagan más (Townsville, tres veces el contrato anterior tras irse a un competidor) [10, 14]. La penetración de TNE en cada vertical de Asia-Pacífico no pasa del 15 % del gasto direccionable de sus propios clientes, según la empresa [10].</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ARR total (M AUD)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470,2 (FY24)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554,6 (FY25); 598,0 (mar-26)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 +17 % interanual en mar-26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FY26: +16-18 %; objetivo de 1.000 M en FY30 [9, 10].</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Retención neta de ingresos (NRR)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 (H1 FY25)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 (FY25); 114 % (H1 FY26)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puntos en un año</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116 % a tipo de cambio constante; objetivo 115-120 % [10].</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Bajas de clientes (churn)</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1 %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Estable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Retención de clientes del 99 % [10].</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ARR del Reino Unido (M AUD)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 (H1 FY25)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 (H1 FY26)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nuevas del semestre 4,1 M (−5 %) [10].</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ARR medio por cliente (miles AUD)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442,5 (FY25)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 (H1 FY26)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 en seis meses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1.300 clientes [8, 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 antes de activar (M AUD)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153,7 (FY25, 25 %)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84,1 (H1 FY26, 26 %)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54 % activado [8].</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software de gestión (ERP y aplicaciones de sector) para el sector público local, la educación superior y las administraciones en Australia, Nueva Zelanda y el Reino Unido. No hay estadística oficial de ese nicho; usamos dos referencias: el mercado direccionable que calcula la empresa (13.500 M AUD con sus productos y clientes potenciales en sus países) [10] y el mercado mundial de ERP de Apps Run The World (≈ 145.600 M USD en 2025, +7,1 % anual previsto) junto con el de software para gobiernos (≈ 26.700 M USD en 2024, +6 % anual hasta 2029) [15]. Para la cuota y la prueba de sostenibilidad usamos el de la empresa, que es el perímetro en el que compite.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13.500 M AUD de mercado direccionable para TNE en 2025 (empresa) [10]; ERP mundial ≈ 145.600 M USD en 2025 (ARTW) [15].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AUD (mercado direccionable de TNE; 2025 de la empresa y resto estimación propia al 7 % anual))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Paso a la nube de sistemas antiguos en ayuntamientos y universidades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TNE terminó su migración (1.200 clientes) y gana sustituciones de sistemas antiguos en el Reino Unido (Islington, Greenwich, Royal Holloway) [9].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Presupuestos públicos y fusiones de ayuntamientos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reorganización municipal británica retrasa decisiones en 2026 pero creará consejos mayores [10].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Matrícula universitaria y finanzas de las universidades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cuota se liga a los alumnos equivalentes; los topes a estudiantes internacionales en Australia y el Reino Unido presionan presupuestos (estimación propia del efecto).</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generativa y agentes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Abre ingresos por uso (Plus, Guide) pero abarata el desarrollo a medida y puede dar a los clientes poder de negociación [14, 15].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Indexación de las cuotas a la inflación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cuotas suben con la inflación y la NRR está en el 114-116 % [10].</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Compite con Oracle, SAP, Workday y Microsoft en clientes grandes, y con especialistas locales (Civica, ReadyTech) en ayuntamientos; gana por especialización y por SaaS+ [1, 10].</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Compradores públicos que licitan y negocian a la renovación; pero un cliente pesa menos del 1 % y cambiar un sistema de registro cuesta años [1, 10].</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nube pública (AWS) y el personal técnico son los costes clave; hay alternativas de nube y el coste variable de la nube es el 10 % de los ingresos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Hacen falta décadas de reglas fiscales y académicas de cada país; la IA abarata programar pero no la certificación ni los datos históricos [10, 15].</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Agentes de IA y desarrollos a medida pueden sustituir funciones de atención y formularios; el registro contable, fiscal y académico sigue necesitando un sistema auditado [15].</w:t>
            </w:r>
          </w:p>
        </w:tc>
      </w:tr>
    </w:tbl>
    <w:p>
      <w:pPr>
        <w:spacing w:after="160" w:before="0"/>
      </w:pPr>
    </w:p>
    <w:p>
      <w:pPr>
        <w:pStyle w:val="Heading2"/>
      </w:pPr>
      <w:r>
        <w:t xml:space="preserve">Ciclo</w:t>
      </w:r>
    </w:p>
    <w:p>
      <w:pPr>
        <w:spacing w:after="100"/>
      </w:pPr>
      <w:r>
        <w:t xml:space="preserve">El gasto en software del sector público y la educación es poco cíclico: TNE batió su guía y subió el beneficio en 2008-09 (licencias y mantenimiento), en 2020 (pandemia) y en 2022 (subida de tipos) [1]. Lo cíclico es el múltiplo: el software cayó en bolsa en 2022 por los tipos y otra vez en febrero de 2026 por la IA, sin que bajaran las ventas de TNE. Hoy el ciclo de compras públicas es normal en Australia (ayuntamientos +27 % de ARR) y más lento en el Reino Unido por la reorganización municipal [10].</w:t>
      </w:r>
    </w:p>
    <w:p>
      <w:pPr>
        <w:pStyle w:val="Heading2"/>
      </w:pPr>
      <w:r>
        <w:t xml:space="preserve">Regulación</w:t>
      </w:r>
    </w:p>
    <w:p>
      <w:pPr>
        <w:spacing w:after="100"/>
      </w:pPr>
      <w:r>
        <w:t xml:space="preserve">Las normas sobre protección de datos (Privacy Act australiana, reforzada en 2024; RGPD británico) y la exigencia de soberanía de los datos favorecen a un proveedor con centros de datos locales [1]. Los impuestos municipales sobre inmuebles y las reglas académicas cambian por estado y país: cada cambio es una barrera para un recién llegado y una venta de módulos para TNE. Los concursos públicos fijan plazos de 5-10 años. La IA en administraciones empieza a regularse (marco australiano de uso responsable de IA en el gobierno, 2024; Ley de IA europea, que no aplica directamente en el Reino Unido); TNE dice que sus agentes trabajan dentro de su ERP y con los datos del cliente [14].</w:t>
      </w:r>
    </w:p>
    <w:p>
      <w:pPr>
        <w:pStyle w:val="Heading2"/>
      </w:pPr>
      <w:r>
        <w:t xml:space="preserve">Tendencias y disrupción</w:t>
      </w:r>
    </w:p>
    <w:p>
      <w:pPr>
        <w:spacing w:after="100"/>
      </w:pPr>
      <w:r>
        <w:t xml:space="preserve">Tres tendencias: (1) la nube y los contratos todo incluido, donde TNE va por delante con SaaS+ y el objetivo de implantar el ERP en 30 días en 2028 (126 días hoy) [9, 10]; (2) la IA agéntica, que TNE vende como generación 5 del ERP con cobro por uso (Plus, Guide), pero que también pone presión a los múltiplos de todo el software por puesto [14, 15]; (3) la consolidación por fondos de capital riesgo de proveedores para el sector público y la educación (Civica, PowerSchool, Instructure), que eleva la competencia financiera en el Reino Unido [D].</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Mayor proveedor australiano de ERP; líder en ayuntamientos y universidades de Australia (gestión de alumnos en los TAFE de todos los estados salvo Australia Meridional y Nueva Gales del Sur) [9]; ≈ 4,4 % de su mercado direccionable de 13.500 M AUD (estimación propia: 598,5 M de ingresos ÷ 13.500 M) [10]. En el Reino Unido es un aspirante (53 M de ARR) [10].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847"/>
        <w:gridCol w:w="953"/>
        <w:gridCol w:w="1059"/>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Tyler Technologies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TYL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3.479</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del software para gobiernos locales de EE. UU.; no compite en Australia; referencia de modelo y múltiplo [15, 16].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Workday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WDAY</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14.539</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ERP de RR. HH. y finanzas en la nube; compite en universidades grandes (Workday Student) [16].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Oracle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ORCL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ERP para administraciones y universidades; Townsville volvió a TNE tras pasar a Oracle [10].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Civica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Software para ayuntamientos británicos y australianos (Authority); de capital riesgo, no cotiza.</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Sage Group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SGE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5.025</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Contabilidad y ERP para pymes; poco solapamiento, referencia europea de margen [16].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Objective Corporation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Australia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Gestión documental y de expedientes para administraciones australianas; compite en módulos [16].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Poco: una sola instalación compartida mejora el producto con cada cliente, pero no hay red entre usuarios.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Sistemas de registro con décadas de datos (catastro, expedientes académicos, contabilidad); bajas del 1 % y contratos de 5-10 años [B2].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38 años de reglas fiscales, académicas y de nómina de cada país; marca de referencia en ayuntamientos y universidades australianas [B2].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sola instalación multicliente y equipo propio de implantación (SaaS+): margen antes de impuestos del 30 % frente a mucho menos en los rivales que implantan con terceros [B8].</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Nichos pequeños (unos 540 ayuntamientos y 40 universidades en Australia) donde no caben muchos proveedores especializados.</w:t>
            </w:r>
          </w:p>
        </w:tc>
      </w:tr>
    </w:tbl>
    <w:p>
      <w:pPr>
        <w:spacing w:after="160" w:before="0"/>
      </w:pPr>
    </w:p>
    <w:p>
      <w:pPr>
        <w:pStyle w:val="Heading2"/>
      </w:pPr>
      <w:r>
        <w:t xml:space="preserve">Amenazas</w:t>
      </w:r>
    </w:p>
    <w:p>
      <w:pPr>
        <w:spacing w:after="100"/>
      </w:pPr>
      <w:r>
        <w:t xml:space="preserve">Tres amenazas, de más a menos probable. (1) </w:t>
      </w:r>
      <w:r>
        <w:rPr>
          <w:b/>
        </w:rPr>
        <w:t xml:space="preserve">IA</w:t>
      </w:r>
      <w:r>
        <w:t xml:space="preserve">: que los agentes de IA de los grandes (Microsoft, Oracle, Workday) o desarrollos a medida baratos hagan menos necesarios los módulos de atención, formularios y analítica, y que los clientes usen la IA para negociar a la baja en la renovación; probabilidad media a cinco años, más en los módulos que en el registro contable. (2) </w:t>
      </w:r>
      <w:r>
        <w:rPr>
          <w:b/>
        </w:rPr>
        <w:t xml:space="preserve">Reino Unido</w:t>
      </w:r>
      <w:r>
        <w:t xml:space="preserve">: que el crecimiento fuera de Australia no compense la madurez local (ventas nuevas británicas −5 % en el H1 FY26) [10]. (3) </w:t>
      </w:r>
      <w:r>
        <w:rPr>
          <w:b/>
        </w:rPr>
        <w:t xml:space="preserve">Consolidación por capital riesgo</w:t>
      </w:r>
      <w:r>
        <w:t xml:space="preserve"> de rivales con más dinero para precios agresivos en concursos.</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0,17</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0,37</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r>
    </w:tbl>
    <w:p>
      <w:pPr>
        <w:spacing w:after="160" w:before="0"/>
      </w:pPr>
    </w:p>
    <w:p>
      <w:pPr>
        <w:spacing w:after="100"/>
      </w:pPr>
      <w:r>
        <w:t xml:space="preserve">Crecimiento anual compuesto FY2021-FY2025: ingresos </w:t>
      </w:r>
      <w:r>
        <w:rPr>
          <w:b/>
          <w:bCs/>
        </w:rPr>
        <w:t xml:space="preserve">17,8 %</w:t>
      </w:r>
      <w:r>
        <w:t xml:space="preserve">, EBITDA </w:t>
      </w:r>
      <w:r>
        <w:rPr>
          <w:b/>
          <w:bCs/>
        </w:rPr>
        <w:t xml:space="preserve">19,6 %</w:t>
      </w:r>
      <w:r>
        <w:t xml:space="preserve">, BPA </w:t>
      </w:r>
      <w:r>
        <w:rPr>
          <w:b/>
          <w:bCs/>
        </w:rPr>
        <w:t xml:space="preserve">16,7 %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AU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crecieron de 311,3 M en FY21 a 598,5 M en FY25 (+17,7 % anual) casi sin compras: CourseLoop aportó 11,4 M en FY25 [1] y Scientia apenas nada en FY21 [4]. El motor es el paso a la nube: las cuotas SaaS pasaron de 151,1 M (49 % de los ingresos) a 499,7 M (83 %), mientras las licencias caían de 95,7 M a 7,2 M y la consultoría crecía al 9 % anual hasta 91,6 M [1, 4]. El margen EBITDA subió del 40,0 % al 42,5 % y el beneficio antes de impuestos del 31,4 % al 30,3 % de los ingresos por contratos (30 % sobre ingresos totales según la empresa), porque las amortizaciones del desarrollo activado se triplicaron (13,4 M → 53,1 M) [1, 4]. La empresa dice que la transición a SaaS+ (implantación incluida en la cuota) le costó 2,7 puntos de margen en FY25 (17 M) [9]. En el H1 FY26 los ingresos crecieron un 11,5 % y el beneficio antes de impuestos un 9 % por 9 M de gasto en el evento Showcase de lanzamiento de la IA [6, 8].</w:t>
      </w:r>
    </w:p>
    <w:p>
      <w:pPr>
        <w:pStyle w:val="Heading2"/>
      </w:pPr>
      <w:r>
        <w:t xml:space="preserve">Ajustes y partidas no recurrentes</w:t>
      </w:r>
    </w:p>
    <w:p>
      <w:pPr>
        <w:spacing w:after="100"/>
      </w:pPr>
      <w:r>
        <w:t xml:space="preserve">Las cifras son las publicadas (NIIF australianas, AASB). TNE separa «ingresos totales» (incluidos intereses y otros ingresos: 610,0 M en FY25) de los ingresos por contratos (598,5 M); aquí se usan los segundos y los intereses van al resultado financiero. En FY24 la empresa reclasificó 0,9 M de licencias heredadas a otros ingresos: se usa la cifra reexpresada del informe de FY25 (505,6 M) [1, 2]. FY23 lleva 7,4 M de otros ingresos por la reversión del pago aplazado de Scientia (no recurrente, por debajo del EBIT con nuestro criterio) [2]. La empresa da métricas no auditadas (ARR, NRR, flujo de caja libre, «heartbeat» sin Showcase ni divisa) que no se usan en la cuenta. Los pagos en acciones (11,6 M en FY25) son gasto dentro del EBITDA [1].</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220"/>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Inferior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En línea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noviembre de 2025 (FY25) la dirección batió su guía de beneficio (+19 % frente a 13-17 %), pagó un dividendo extraordinario de 10 centavos y fijó el objetivo de 1.000 M de ARR en FY30, pero no dio guía para FY26: la remitió a la junta de febrero [9]. El ARR creció un 18 %, por debajo del ≈21 % que esperaba el mercado, y la acción cayó un 17 % ese día [35]. En la junta del 18-feb-2026 subió la guía a +18-20 % de beneficio antes de impuestos y +16-18 % de ARR, apuntando al extremo alto, y avisó de que el primer semestre crecería «un dígito alto» por 8-9 M del evento Showcase [12]. El 19-may-2026 cumplió: +9 % de beneficio, ARR +17 % (+19 % a tipo de cambio constante), NRR del 114 % (118 % un año antes) y flujo de caja libre de 20,3 M (−15 %); reafirmó la guía sin subirla [8, 10]. Lo que más se preguntó fue la IA: la dirección defiende que no cobra por puesto sino por inmuebles gravados, alumnos y, desde 2026, por conversaciones e interacciones de IA [10, 14]. No cuantificó cuánto ARR aporta ya Plus ni cuántos clientes lo pagan, y las ventas nuevas del Reino Unido bajaron un 5 % en el semestre (4,1 M) [10].</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(FY2025: CourseLoop (gestión de planes de estudio, Australia y Reino Unido), comprada el 1-nov-2024 por 44,5 M en efectivo + 2,7 M contingentes; fondo de comercio de 35,9 M; aportó 11,4 M de ingresos en FY25 [1].; FY2021: Scientia (horarios y planificación de espacios, Reino Unido), comprada el 15-sep-2021: 11,5 M en efectivo + pago aplazado; consolidada 15 días en FY21 [4].).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El balance es el de un software cobrado por adelantado: el circulante comercial es muy negativo (clientes y activos de contrato de 81 M frente a 335 M de proveedores e ingresos diferidos en FY25: −42 % de las ventas) y crecer libera caja [1]. La caja está concentrada en el segundo semestre, cuando vencen los aniversarios de los contratos: en marzo cae (245,5 M) y en septiembre sube (319,6 M) [1, 6]. Entre abril y septiembre de 2026 la empresa pagó 26,2 M de dividendo y el fideicomiso de empleados compró 2,8 M de acciones por ≈ 86,9 M [6, 13], así que la caja de septiembre de 2026 dependerá del cobro del segundo semestre. Los intangibles (desarrollo activado de 204 M y comisiones activadas de 44 M) son el activo principal y se amortizan en 3-5 años [1].</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AU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FY2021-FY2025: FCF </w:t>
      </w:r>
      <w:r>
        <w:rPr>
          <w:b/>
          <w:bCs/>
        </w:rPr>
        <w:t xml:space="preserve">522</w:t>
      </w:r>
      <w:r>
        <w:t xml:space="preserve">, conversión </w:t>
      </w:r>
      <w:r>
        <w:rPr>
          <w:b/>
          <w:bCs/>
        </w:rPr>
        <w:t xml:space="preserve">100 %</w:t>
      </w:r>
      <w:r>
        <w:t xml:space="preserve"> del beneficio neto; adquisiciones 54, dividendos 288, recompras 30.</w:t>
      </w:r>
    </w:p>
    <w:p>
      <w:pPr>
        <w:spacing w:after="100"/>
      </w:pPr>
      <w:r>
        <w:t xml:space="preserve">La conversión es alta y estacional. El flujo operativo de FY25 (294,5 M) fue 2,1 veces el beneficio, por los ingresos diferidos (+42,2 M) y el cobro de clientes [1]; restando el capex (106,4 M, de los que 84,4 M son desarrollo activado y 18,8 M comisiones de venta activadas) y los alquileres (7,2 M), quedan 181 M de caja libre, 1,3 veces el beneficio; la empresa da 184,2 M con su definición [1, 9]. El «capex» de TNE es sobre todo I+D: invierte el 25 % de los ingresos en I+D y activa algo más de la mitad (54 % en el H1 FY26) [8, 10]; casi todo es de crecimiento (productos nuevos y la generación de IA), aunque una parte sostiene la base. El primer semestre genera poca caja (20,3 M en el H1 FY26 frente a 24,0 M) porque los aniversarios de los contratos caen en el segundo [6, 8]. Las «recompras» de FY25 (30,4 M) y las de 2026 (≈ 86,9 M) son compras del fideicomiso de empleados para cubrir opciones y derechos, no una reducción de capital [1, 13].</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(Australia)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en FY25; revisión limitada sin salvedades del H1 FY26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 No fiable en FY2025: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FY2025: con un cambio de perímetro, los índices de activos, amortización y ventas (AQI, DEPI, SGI) comparan grupos distintos y el umbral de −1,78 no sirve.</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Tres asuntos de calidad contable. (1) </w:t>
      </w:r>
      <w:r>
        <w:rPr>
          <w:b/>
        </w:rPr>
        <w:t xml:space="preserve">Activación del desarrollo</w:t>
      </w:r>
      <w:r>
        <w:t xml:space="preserve">: TNE activa ≈ 54 % de su I+D (84,4 M en FY25 y 45,4 M en el H1 FY26) y lo amortiza en unos cinco años; la amortización (53,1 M) va por detrás de lo activado, lo que sube el beneficio contable en ≈ 31 M al año frente a gastarlo todo (estimación propia: 84,4 − 53,1) [1, 10]. Es práctica normal y está auditada, pero el «margen del 30 %» sería del ≈ 25 % con todo el I+D en gasto. (2) </w:t>
      </w:r>
      <w:r>
        <w:rPr>
          <w:b/>
        </w:rPr>
        <w:t xml:space="preserve">Comisiones activadas</w:t>
      </w:r>
      <w:r>
        <w:t xml:space="preserve">: 18,8 M en FY25, amortizadas en el plazo del contrato [1]. (3) </w:t>
      </w:r>
      <w:r>
        <w:rPr>
          <w:b/>
        </w:rPr>
        <w:t xml:space="preserve">Pagos en acciones</w:t>
      </w:r>
      <w:r>
        <w:t xml:space="preserve"> de 11,6 M (1,9 % de los ingresos), pequeños para el sector, más las compras del fideicomiso de empleados para cubrirlos (30,4 M en FY25 y ≈ 86,9 M en 2026), que son el coste de caja real de las opciones [1, 13]. El reconocimiento de ingresos es sencillo (SaaS diario, consultoría al prestarla) y el ingreso diferido crece al ritmo del ARR. El tipo efectivo del 24 % baja del 30 % legal por el incentivo fiscal a la I+D (10,5 M) [1]. Lectura de los indicadores del motor: sin deuda y con caja neta, el Altman Z sale muy alto; el Beneish M puede marcar por el crecimiento de intangibles, que aquí es I+D activado y no manipulación.</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apoyado en la activación del I+D</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 activado (84,4 M) supera a la amortización (53,1 M) en 31 M, el 17 % del beneficio antes de impuestos de FY25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real de las opciones mayor que el gasto contable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Gasto de 11,6 M frente a compras del fideicomiso de 30,4 M (FY25) y ≈ 86,9 M (2026) [1, 13].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Cambio de director financiero y salida del director de operaciones en 2026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director financiero pasó a un puesto comercial el 1-ago-2026 y el de relaciones con inversores es financiero en funciones; el COO se va el 18-nov-2026 [21, 22].</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0,67x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231,0 %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213,7 %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158,6 %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125,0 %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85 M en FY2025 (el 39 % del capital invertido medio); ha subido más de un 5 % en 1 de 4 años: compra única grande. ROIC publicado 76,3 %; sin fondo de comercio, 124,4 %. El ROIC sin fondo de comercio mide el rendimiento del negocio operativo; decide el publicado (§4.1) y la cifra sin fondo de comercio es dato para una excepción razonada.</w:t>
      </w:r>
    </w:p>
    <w:p>
      <w:pPr>
        <w:spacing w:after="100"/>
      </w:pPr>
      <w:r>
        <w:rPr>
          <w:b/>
          <w:bCs/>
        </w:rPr>
        <w:t xml:space="preserve">ROIC incremental</w:t>
      </w:r>
      <w:r>
        <w:t xml:space="preserve"> (variación del NOPAT sobre variación del capital invertido en el periodo): 63,4 % · </w:t>
      </w:r>
      <w:r>
        <w:rPr>
          <w:b/>
          <w:bCs/>
        </w:rPr>
        <w:t xml:space="preserve">WACC</w:t>
      </w:r>
      <w:r>
        <w:t xml:space="preserve">: 11,1 %.</w:t>
      </w:r>
    </w:p>
    <w:p>
      <w:pPr>
        <w:spacing w:after="100"/>
      </w:pPr>
      <w:r>
        <w:t xml:space="preserve">TNE crea mucho valor: ROIC del 76,3 % en FY2025 frente a un WACC del 11,06 % (65 puntos de diferencia) y por encima del 80 % en FY2021-FY2024 [1, 2, 3, 4, 5]. No viene del apalancamiento (no tiene deuda) sino de un capital invertido mínimo: los ingresos diferidos de clientes (294 M) financian casi todo el circulante, y el fondo de comercio es pequeño (48 M). El ROIC baja poco a poco porque el I+D activado crece más que el beneficio, pero el ROIC incremental de FY2021-FY2025 (63,4 %) dice que el crecimiento reciente sigue siendo muy rentable. Frente a sus comparables está en lo más alto: Tyler tiene un ROIC del 8,9 %, Nemetschek del 19,2 % y Constellation del 21,7 % [26]. Es la mayor fortaleza de la tesis.</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31 mar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-228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deuda financiera. Caja e inversiones a corto de 245,5 M a 31-mar-2026 (efectivo 40,3 M + depósitos a plazo 205,1 M) [6]; 319,6 M a 30-sep-2025 [1]. Línea de avales de 8,3 M (3,8 M dispuestos)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Sin deuda bancaria ni bonos. Arrendamientos de oficinas por 49,4 M a 31-mar-2026 (5,5 M a corto y 44,0 M a largo) [6]. El pasivo grande es el ingreso diferido (cuotas cobradas por adelantado): 294,5 M a 30-sep-2025 y 252,2 M a 31-mar-2026, que se consume con el servicio y no se devuelve en caja [1, 6]. Provisiones de 32,5 M, sobre todo vacaciones y permisos del personal [6]. Pagos contingentes de CourseLoop: 2,7 M por garantías (a los 18 meses) y 5 M de remuneración ligada a hitos de producto en dos años [1]. Avales bancarios de 3,8 M por alquileres [1]. Sin litigios materiales declarados [1].</w:t>
      </w:r>
    </w:p>
    <w:p>
      <w:pPr>
        <w:pStyle w:val="Heading1"/>
      </w:pPr>
      <w:r>
        <w:t xml:space="preserve">12. Asignación de capital</w:t>
      </w:r>
    </w:p>
    <w:p>
      <w:pPr>
        <w:pStyle w:val="Confianza"/>
        <w:spacing w:after="100"/>
      </w:pPr>
      <w:r>
        <w:t xml:space="preserve">Confianza: Alta</w:t>
      </w:r>
    </w:p>
    <w:p>
      <w:pPr>
        <w:spacing w:after="100"/>
      </w:pPr>
      <w:r>
        <w:t xml:space="preserve">Dividendo semestral desde 1996, franqueado al 65-75 %; reparto del 63 % del beneficio en FY25 más un extraordinario de 10 centavos (87 % en total) y, para FY26, un 65-75 % del beneficio, cargado al segundo semestre [9, 10]. No hay recompras de capital: las compras en bolsa son del fideicomiso de empleados para entregar acciones de los planes de incentivos [13]. Prioridades declaradas: I+D al 20-25 % de los ingresos, compras pequeñas que añadan producto (CourseLoop, Scientia) y caja sin deuda para invertir [9, 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329,8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AU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CourseLoop (gestión de planes de estudio)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Aportó 11,4 M de ingresos y +3,1 M de beneficio antes de impuestos en FY25 (−2 M con la contabilidad de la compra); integrada en la suite de educación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Scientia (horarios y planificación de espacios, Reino Unido)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y pago aplazado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pago aplazado se revirtió en FY23 (7,4 M de ingreso) al no cumplirse los hitos; sirvió de entrada en universidades británicas, donde el ARR del Reino Unido creció hasta 53 M [2, 4, 10].</w:t>
            </w:r>
          </w:p>
        </w:tc>
      </w:tr>
    </w:tbl>
    <w:p>
      <w:pPr>
        <w:spacing w:after="160" w:before="0"/>
      </w:pPr>
    </w:p>
    <w:p>
      <w:pPr>
        <w:spacing w:after="100"/>
      </w:pPr>
      <w:r>
        <w:t xml:space="preserve">La dirección asigna bien el capital: casi todo el crecimiento es propio, financiado con el I+D, y las compras han sido pequeñas y de producto (66 M en cinco años frente a 1.120 M de flujo operativo acumulado) [1, 2, 3, 4, 5]. El dividendo se ha multiplicado por 2,6 desde FY21 (13,9 → 36,6 centavos con el extraordinario) sin deuda. La dilución es baja (acciones diluidas de 322,8 M a 329,9 M en cuatro años) porque las opciones se cubren cada vez más con compras en bolsa del fideicomiso, que cuestan caja [1, 13]. El ROIC elevado viene de un capital invertido pequeño: el cliente paga por adelantado y casi no hay activos materiales.</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Edward Chung</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y director gerente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TNE desde 2012 (director de operaciones); antes en Mincom. Desde 2017 completó el paso a SaaS, lanzó SaaS+ y la IA: ARR de 202,5 M (FY19) a 598 M (mar-26) y beneficio antes de impuestos de 82,5 M (FY20) a 181,5 M (FY25) [C1, A].</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Pat O’Sullivan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(independiente)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Exdirector financiero de Optus y Goodman Fielder; consejero desde marzo de 2021 y presidente después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Giovanni Rizzo</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en funciones (desde ago-2026)</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Era director de relaciones con inversores; financiero en funciones mientras se busca uno permanente [21].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Cale Bennett</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de sectores regulados (antes director financiero, 2023-2026)</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Exdirector financiero de Corporate Travel Management; dejó la dirección financiera el 1-ago-2026 [20, 21].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Stuart MacDonald</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de operaciones (sale el 18-nov-2026)</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Diez años en TNE; impulsó SaaS+ y Plus; se va a ser consejero delegado de otra cotizada australiana [22].</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antes de impuestos +15-19 %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+19 % (97,8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antes de impuestos +10-15 %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+15 % (112,3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antes de impuestos +13-15 % (mayo de 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+16 % (129,9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antes de impuestos +12-16 %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+18 % (152,9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antes de impuestos +13-17 % (mayo de 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+19 % (181,5 M); ARR +18 %, por debajo del ≈ 21 % que esperaba el mercado</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Beneficio antes de impuestos +18-20 % y ARR +16-18 % (feb-26, extremo alto); H1 «un dígito alto»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H1 +9 % y ARR +17 % (resultado anual el ≈ 17-nov-2026)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La dirección tiene un historial limpio: cumple o bate la guía de beneficio desde hace más de una década y cumplió el objetivo de 500 M de ARR 18 meses antes [2, 9]. Pero 2026 trae rotación en el segundo nivel: el director financiero pasó a un puesto comercial (1-ago-2026), el financiero es interino y el director de operaciones se va el 18-nov-2026, un día después de los resultados [21, 22]. El cambio llega tras las preguntas de accionistas por el pasado del director financiero en Corporate Travel Management [20]. Chung, en el cargo desde 2017, no tiene sucesor público. Lectura: la ejecución comercial no depende de esas dos personas, pero una dirección financiera interina en el cierre del ejercicio y con la cuenta de la IA por explicar resta algo de credibilidad hasta que se nombre el financiero permanente.</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de 13 (1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Pat O’Sullivan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Edward Chung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Dr Jane Andrews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Remuneraciones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Sharon Doyle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Peter Ball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Paul Robson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Debra Eckersley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Phil Davis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n.d.</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88 %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en FY25; revisión limitada sin salvedades del H1 FY26</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0,22 / ventas 0,00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JL Mactaggart Holdings (John Mactaggart, cofundador)</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Estable; salió del consejo en feb-2024 con 24,9 M de acciones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State Street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(índices)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Baja del 7,11 % al 6,03 % (aviso del 25-sep-2026) [24].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Vanguard</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(índices)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Sube del 5,0 % al 6,0 % (9-jul-2026) [24].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AustralianSuper</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pensiones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 accionista significativo el 29-may-2026 [24].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Fideicomiso de empleados (autocartera)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Compró 2,8 M de acciones entre mayo y agosto de 2026 para los planes de incentivos [13].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Debra Eckersley (consejera)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25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Phil Davis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27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Edward Chung (consejero delegado)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172.504</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8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Phil Davis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3.275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0,10</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(FY2025)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0,87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98,1 %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Remuneración total de Chung en FY25: 4,47 M AUD (estatutaria): fijo 0,87 M, incentivo anual 1,45 M más 0,33 M diferido en acciones, y 1,81 M de valor contable de opciones y retenciones a largo plazo [1]. El incentivo anual depende del beneficio antes de impuestos, el ARR y objetivos de cliente; el largo plazo son opciones a tres años con BPA (82 %) y rentabilidad total relativa (18 %) [1]. La empresa dice que su fijo está muy por debajo de las cotizadas comparables y que el variable pesa mucho [1]. Sin indemnizaciones extraordinarias declaradas. Votación del informe de remuneraciones: 98,12 % a favor en la junta del 18-feb-2026 [19]. El incentivo premia crecer el beneficio y el ARR, no el rendimiento del capital, pero con capital tan pequeño el BPA es buena aproximación.</w:t>
      </w:r>
    </w:p>
    <w:p>
      <w:pPr>
        <w:pStyle w:val="Heading2"/>
      </w:pPr>
      <w:r>
        <w:t xml:space="preserve">Operaciones vinculadas, estructura de control y defensas</w:t>
      </w:r>
    </w:p>
    <w:p>
      <w:pPr>
        <w:spacing w:after="100"/>
      </w:pPr>
      <w:r>
        <w:t xml:space="preserve">Sin accionista de control: el mayor es el cofundador Mactaggart con el 6 % y el resto son fondos índice y de pensiones [1, 24]. Una acción, un voto; sin blindajes. El consejo es independiente salvo el consejero delegado, con presidente independiente y separado del ejecutivo [1]. La única operación vinculada declarada es menor (155.100 AUD de servicios de organización de eventos de un familiar de un directivo, en condiciones de mercado) [1]. El fundador Adrian Di Marco ya no está en el consejo.</w:t>
      </w:r>
    </w:p>
    <w:p>
      <w:pPr>
        <w:pStyle w:val="Heading2"/>
      </w:pPr>
      <w:r>
        <w:t xml:space="preserve">Señales de alerta</w:t>
      </w:r>
    </w:p>
    <w:p>
      <w:pPr>
        <w:pStyle w:val="ListParagraph"/>
        <w:numPr>
          <w:ilvl w:val="0"/>
          <w:numId w:val="2"/>
        </w:numPr>
        <w:spacing w:after="60"/>
      </w:pPr>
      <w:r>
        <w:t xml:space="preserve">Director financiero sustituido por un interino el 1-ago-2026 tras las preguntas de accionistas por su etapa en Corporate Travel Management (dic-2025) [20, 21].</w:t>
      </w:r>
    </w:p>
    <w:p>
      <w:pPr>
        <w:pStyle w:val="ListParagraph"/>
        <w:numPr>
          <w:ilvl w:val="0"/>
          <w:numId w:val="2"/>
        </w:numPr>
        <w:spacing w:after="60"/>
      </w:pPr>
      <w:r>
        <w:t xml:space="preserve">Salida del director de operaciones (18-nov-2026), un día después de los resultados anuales [22].</w:t>
      </w:r>
    </w:p>
    <w:p>
      <w:pPr>
        <w:pStyle w:val="ListParagraph"/>
        <w:numPr>
          <w:ilvl w:val="0"/>
          <w:numId w:val="2"/>
        </w:numPr>
        <w:spacing w:after="60"/>
      </w:pPr>
      <w:r>
        <w:t xml:space="preserve">Venta de las acciones de 172.504 opciones ejercidas por el consejero delegado el 27-mar-2026 (mantiene 700.068 acciones y 1,59 M de opciones) [23].</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FY26 (ejercicio cerrado el 30-sep-2026), dada en la junta del 18-feb-2026 y reafirmada el 19-may-2026: beneficio antes de impuestos +18-20 % (≈ 214-218 M sobre 181,5 M) y ARR +16-18 % (≈ 643-654 M), ambos en el extremo alto; margen antes de impuestos del 30 % al 32 %; flujo de caja libre igual al beneficio neto; dividendo del 65-75 % del beneficio [8, 12]. A medio plazo: ARR de más de 1.000 M en FY30, margen antes de impuestos del 35 % o más y «doblar cada cinco años» [8]. Los resultados de FY26 se publicarán hacia el 17-nov-2026 (tercer martes de noviembre, como en 2025) [9].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45"/>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Yahoo Finance (15 analistas; ingresos totales) y FNArena (DPA) [26, 27]</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0,37</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(16 analistas) y Morgan Stanley vía FNArena (DPA) [26, 27]</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 4 / 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31,14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22,00 – 36,56</w:t>
            </w:r>
          </w:p>
        </w:tc>
      </w:tr>
    </w:tbl>
    <w:p>
      <w:pPr>
        <w:spacing w:after="160" w:before="0"/>
      </w:pPr>
    </w:p>
    <w:p>
      <w:pPr>
        <w:pStyle w:val="Heading2"/>
      </w:pPr>
      <w:r>
        <w:t xml:space="preserve">Revisiones de estimaciones</w:t>
      </w:r>
    </w:p>
    <w:p>
      <w:pPr>
        <w:spacing w:after="100"/>
      </w:pPr>
      <w:r>
        <w:t xml:space="preserve">Solo hay una fuente gratuita con estimaciones completas (Yahoo, 15-16 analistas): BPA de FY26 de 0,497 AUD y de FY27 de 0,602; ingresos de 679 M y 785 M [26]. FNArena da 0,496 para FY26 y Morgan Stanley 0,598 para FY27 [27]. Los objetivos se han recortado desde los máximos de 2025: Ord Minnett bajó a 29,78 (desde 33,04) y UBS mantiene «Hold» con 32,70 (15-oct-2026); el objetivo medio está en 31,14-32,19 AUD, a la par del precio [27, 28, 37]. Tras los resultados de mayo, Jarden subió a sobreponderar con 31 AUD [27]. No encontramos el histórico de revisiones del BPA a 3 y 12 meses en fuente gratuita: lo que se ve es que el BPA de FY26 apenas se ha movido desde la guía de febrero (la guía fija el beneficio) y lo que ha bajado es el múltiplo.</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-52,2 %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TNE ha sido una de las mejores acciones de la ASX en diez años (+18,7 % anual frente al +4,5 % del índice, en precio) [25]: subió un 104 % en 2024, cuando el mercado premió su crecimiento en la nube, hasta 39,99 AUD en octubre de 2025. Desde ahí cayó un 52 % hasta el 13-feb-2026 (20,14 AUD) en dos golpes: los resultados de FY25 (−17,2 % el 18-nov-2025, por un ARR por debajo de lo esperado y sin guía) y la venta de todo el software por el miedo a la IA en febrero de 2026 [25, 35]. La guía al alza de la junta (18-feb) y el semestre en línea le devolvieron a 31,30 AUD, +55 % desde el mínimo y −19 % en doce meses, con el índice sectorial tecnológico a −40 % [25]. Beta mensual de 5 años de 1,30 frente al ASX 200 y volatilidad del 44 % anual: es una acción de múltiplo alto que se mueve con los tipos y con el sentimiento sobre el software.</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+8,4 % / +11,0 % / +7,6 % / -19,7 %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-19,2 % / +55,2 %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alcista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2026-11-17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nov-2025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18-nov-2025, resultados de FY2025: beneficio por encima de lo esperado y dividendo extraordinario, pero el ARR creció un 18 % frente al ≈ 21 % que esperaba el mercado, sin guía para FY2026 y con la retención neta más baja [9, 35].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del sector de software por miedo a la IA tras el lanzamiento de agentes para tareas de oficina (3-feb-2026): −10,5 % el 4-feb y mínimo de cierre de 20,17 AUD el 13-feb (−20,3 % desde el 3-feb), sin noticia de la empresa [15, 25]. Rebote desde el 18-feb con la subida de la guía de FY2026 en la junta [12].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19-may: resultados del H1 FY2026 récord, pero la guía solo se reafirmó, no se subió: −4 % durante la sesión y −2,9 % al cierre; al día siguiente subió un 7,3 % [25, 36, 38].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jun-2026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 4-jun (32,98 AUD) al 23-jun (27,73), −15,9 % con el sector de software, sin anuncio de la empresa [33, 34].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jul-ago-2026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 24-jul (27,11 AUD) al 14-ago (33,82), +24,8 %, con el rebote del software y las compras del fideicomiso de empleados en el mercado (2,8 M de acciones entre julio y agosto) [13, 33]; sin anuncio con efecto en precio.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ago-sep-2026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Bajada hasta 28,11 AUD el 11-sep tras terminar las compras del fideicomiso (27-ago) y con recortes de recomendación en el sector; sin anuncio de la empresa [13, 33, 37].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2026-11-17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FY2026: fecha estimada (tercer martes de noviembre, como en 2025) [9]. La guía es beneficio antes de impuestos +18-20 % y ARR +16-18 % en el extremo alto [8].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UBS mantiene «neutral» con objetivo de 32,70 AUD; antes, Ord Minnett bajó a 29,78 y Jarden subió a sobreponderar con 31 [27, 37]. Consenso: 10 comprar, 4 mantener y 2 vender, objetivo medio 31,14 [28].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2026-09-25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State Street declara un 6,03 % (accionista significativo); Vanguard (6,0 %) en julio y AustralianSuper (5,19 %) en junio [24]. Son índices y fondos de pensiones, no vendedores en bloque.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2026-08-27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fideicomiso de empleados termina la compra en el mercado de 2,8 M de acciones a 30,13 y 31,94 AUD (≈ 87 M) para cubrir los planes [13].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2026-08-19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director de operaciones dimite con efecto el 18-nov-2026 [22].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2026-07-16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director financiero pasa a un puesto comercial desde el 1-ago y C. Rizzo es financiero en funciones, tras las preguntas de accionistas de diciembre de 2025 por su etapa en Corporate Travel Management [20, 21].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2026-07-08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consejero P. Davis compra 3.275 acciones (≈ 0,1 M AUD); en marzo el consejero delegado vendió las acciones de 172.504 opciones ejercidas y conserva 700.068 acciones [23].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acción ha caído un 19,7 % en un año y un 26,5 % desde su máximo de cinco años, pero ha recuperado un 55 % desde el mínimo de febrero y su tendencia es alcista (8,8 % por encima de la media de 200 sesiones). Las caídas fuertes tienen causas conocidas: un ARR algo menor de lo esperado en noviembre de 2025 y dos ventas de todo el sector de software por la IA (febrero y junio). No hay colocaciones, ofertas ni demandas pendientes. Los resultados de FY2026 (≈ 17-nov) están a 29 días y con tendencia alcista: no retrasan. Veredicto: no cambia; la recomendación la decide la valoración.</w:t>
      </w:r>
    </w:p>
    <w:p>
      <w:pPr>
        <w:pStyle w:val="Heading1"/>
      </w:pPr>
      <w:r>
        <w:t xml:space="preserve">17. Múltiplos frente a su historia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0" name="Gráfico 20"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Con el cierre de cada 30 de septiembre y el BPA real del año siguiente, TNE ha cotizado entre 33,6 veces (FY22) y 77,8 veces (FY25, sobre nuestro BPA de FY26), con una mediana de cinco años de 43 veces [1, 25]. El múltiplo se expandió de 2023 a 2025 porque el mercado pagó la llegada al 100 % SaaS, la mejora del ARR y el Reino Unido, y con tipos aún altos. Hoy, a 31,30 AUD, paga ≈ 54 veces nuestro BPA de FY27: por debajo del pico, pero un 25 % por encima de su mediana y más del doble que sus comparables. Lo que ha cambiado es la prima de riesgo del software por la IA, que el mercado aplica a todo el sector sin distinguir.</w:t>
      </w:r>
    </w:p>
    <w:p>
      <w:pPr>
        <w:pStyle w:val="Heading1"/>
      </w:pPr>
      <w:r>
        <w:t xml:space="preserve">18. Comparables cotizados</w:t>
      </w:r>
    </w:p>
    <w:p>
      <w:pPr>
        <w:pStyle w:val="Confianza"/>
        <w:spacing w:after="100"/>
      </w:pPr>
      <w:r>
        <w:t xml:space="preserve">Confianza: Media</w:t>
      </w:r>
    </w:p>
    <w:p>
      <w:pPr>
        <w:spacing w:after="100"/>
      </w:pPr>
      <w:r>
        <w:t xml:space="preserve">Software vertical o de gestión con cobro recurrente: tres de gobiernos y sector público (Tyler, Objective, Constellation, que compra software para administraciones), tres de ERP y gestión (Workday, Sage, Xero), una de diseño para construcción (Nemetschek) y una australiana de crecimiento (WiseTech). No hay un comparable puro: los del sector público de EE. UU. no compiten en Australia y los ERP grandes (SAP, Oracle) son demasiado diversos. PER de los próximos 12 meses con el consenso de Yahoo ponderado por meses; las bases de BPA están mezcladas (Workday y WiseTech, ajustado; el resto, cercano al publicado), y el EV/EBITDA de Yahoo no es comparable con el de TNE (que amortiza el desarrollo activado fuera del EBITDA): la valoración por comparables usa el PER.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2"/>
        <w:gridCol w:w="504"/>
        <w:gridCol w:w="908"/>
        <w:gridCol w:w="706"/>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TechnologyOne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10.329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Tyler Technologies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20.895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Sage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19.432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Nemetschek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13.907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Xero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NZ</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10.623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WiseTech Global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12.821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Workday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66.072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Objective Corporation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Constellation Software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67.940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36"/>
        <w:gridCol w:w="1056"/>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23,1x / 26,3x / 29,6x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19,1x / 22,1x / 24,9x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4,3x / 5,1x / 6,4x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-66,6 %</w:t>
            </w:r>
          </w:p>
        </w:tc>
      </w:tr>
    </w:tbl>
    <w:p>
      <w:pPr>
        <w:spacing w:after="160" w:before="0"/>
      </w:pPr>
    </w:p>
    <w:p>
      <w:pPr>
        <w:spacing w:after="100"/>
      </w:pPr>
      <w:r>
        <w:t xml:space="preserve">TNE es la más cara del grupo con diferencia: ≈ 52 veces el BPA del consenso de los próximos 12 meses frente a una mediana de ≈ 22 veces, con un crecimiento esperado de ventas (+15,6 %) similar al de Nemetschek, Xero y Constellation (17-21 %), que cotizan a 17-40 veces [26]. Su prima no se explica por el crecimiento: se explica por la calidad (margen antes de impuestos del 30 % sin deuda, bajas del 1 %, NRR del 115 %) y por ser la única empresa de software grande y rentable de la ASX junto a WiseTech y Xero. La regresión de múltiplo contra crecimiento la deja muy por encima de la línea. Usaríamos el PER, y aun dando a TNE una prima del 50 % sobre la mediana (≈ 33 veces), el valor implícito quedaría muy por debajo del precio.</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76"/>
        <w:gridCol w:w="1780"/>
        <w:gridCol w:w="1676"/>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PowerSchool (software para colegios, EE. UU.)</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Bain Capital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8.018</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 5.600 M USD; 6,9 veces las ventas de los próximos 12 meses según Piper Sandler [31].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2024-07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Instructure (plataforma educativa Canvas, EE. UU.)</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KKR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6.872</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Valor empresa ≈ 4.800 M USD; prima del 16 % sobre el precio no afectado de 20,27 USD [32].</w:t>
            </w:r>
          </w:p>
        </w:tc>
      </w:tr>
    </w:tbl>
    <w:p>
      <w:pPr>
        <w:spacing w:after="160" w:before="0"/>
      </w:pPr>
    </w:p>
    <w:p>
      <w:pPr>
        <w:spacing w:after="160" w:before="0"/>
      </w:pPr>
    </w:p>
    <w:p>
      <w:pPr>
        <w:spacing w:after="100"/>
      </w:pPr>
      <w:r>
        <w:t xml:space="preserve">Las compras de software para educación y sector público por capital riesgo en 2024 se pagaron a unas 7 veces las ventas (PowerSchool) [31], muy por debajo de las ≈ 15,9 veces ventas a las que cotiza hoy TNE [26]. Dicen que el valor de control de un software vertical comparable no justifica el precio actual. TNE, sin accionista de control y con una capitalización de ≈ 10.250 M AUD, podría interesar a un fondo, pero a este múltiplo una oferta exigiría una prima difícil de financiar. Solo dos operaciones con cifra verificada: no pesan en la valoración.</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Los ingresos crecieron un 17,8 % anual entre FY2021 y FY2025 (311 a 599 M) [1, 2, 3, 4, 5], con el paso de licencias a SaaS (que primero frena y luego acelera los ingresos) y la entrada en el Reino Unido. El ARR, que anticipa los ingresos, creció un 17 % en el H1 FY2026 (598 M) y la guía de FY2026 es +16-18 % en el extremo alto [8, 10]. Proyectamos un 13,5 % en FY2026e (consenso: 679 M [26]), un 14 % y un 13 % en FY2027e-FY2028e (por debajo del ARR porque la consultoría y las licencias caen) y una bajada gradual hasta el 4 % en FY2035e. El objetivo de la empresa (ARR de más de 1.000 M en FY2030, ≈ +15 % anual [8]) queda algo por encima de nuestro base.</w:t>
      </w:r>
    </w:p>
    <w:p>
      <w:pPr>
        <w:keepNext/>
        <w:spacing w:after="100"/>
      </w:pPr>
      <w:r>
        <w:rPr>
          <w:b/>
          <w:bCs/>
        </w:rPr>
        <w:t xml:space="preserve">Márgenes.</w:t>
      </w:r>
    </w:p>
    <w:p>
      <w:pPr>
        <w:spacing w:after="100"/>
      </w:pPr>
      <w:r>
        <w:t xml:space="preserve">El margen EBITDA pasó del 40,0 % en FY2021 al 42,5 % en FY2025 [1, 5], y la guía de FY2026 lleva el margen antes de impuestos al 32 % (30 % en FY2025) [8, 12]. La palanca es conocida: el SaaS ya está implantado, cada cliente nuevo cuesta poco de servir y el gasto en I+D (25 % de los ingresos) crece menos que las ventas. Proyectamos un 44,5 % en FY2026e y una subida de un punto al año hasta el 48,5 % en FY2031e, coherente con el objetivo de margen antes de impuestos del 35 % o más [8]. No suponemos más: la IA puede obligar a invertir más en I+D y la competencia de los grandes ERP limita la subida de precios.</w:t>
      </w:r>
    </w:p>
    <w:p>
      <w:pPr>
        <w:keepNext/>
        <w:spacing w:after="100"/>
      </w:pPr>
      <w:r>
        <w:rPr>
          <w:b/>
          <w:bCs/>
        </w:rPr>
        <w:t xml:space="preserve">Inversión y circulante.</w:t>
      </w:r>
    </w:p>
    <w:p>
      <w:pPr>
        <w:spacing w:after="100"/>
      </w:pPr>
      <w:r>
        <w:t xml:space="preserve">El capex de TNE es sobre todo I+D activado (84,4 M en FY2025), más comisiones de venta activadas (18,8 M) y algo de inmovilizado: 17,8 % de las ventas en FY2025 y 17-19 % en cinco años [1]. Proyectamos un 18,8 % en FY2026e bajando al 17 %, que incluye ≈ 1,1 puntos de altas de derechos de uso (pagos de arrendamiento de 7,2 M) porque los arrendamientos van en el puente. La amortización (13,5 % en FY2025) sube al 14 %: la de los desarrollos activados alcanza poco a poco a la inversión. El circulante es negativo, −42 % de las ventas, por los ingresos diferidos (294 M en FY2025): el crecimiento genera caja en vez de consumirla.</w:t>
      </w:r>
    </w:p>
    <w:p>
      <w:pPr>
        <w:keepNext/>
        <w:spacing w:after="100"/>
      </w:pPr>
      <w:r>
        <w:rPr>
          <w:b/>
          <w:bCs/>
        </w:rPr>
        <w:t xml:space="preserve">Coste del capital.</w:t>
      </w:r>
    </w:p>
    <w:p>
      <w:pPr>
        <w:spacing w:after="100"/>
      </w:pPr>
      <w:r>
        <w:t xml:space="preserve">Todo en AUD: bono australiano a 10 años del 5,31 % (RBA, tabla F2, 14-oct-2026) [29]. Beta de 1,15: la de la acción frente al S&amp;P/ASX 200 es de 1,30 mensual a 5 años (1,20 ajustada) y 1,65 semanal a 2 años [25]; la bajamos algo porque los ingresos son recurrentes y no hay deuda, pero no a la de un servicio público, porque la acción se mueve con el sector de software. Prima de mercado del 5,0 % (Damodaran: 4,2 % implícita a octubre de 2026 [30]). Sin prima adicional ni deuda: WACC del 11,06 %. Es alto para un negocio tan estable, y es la causa principal de la distancia con el precio; con la prima implícita del mercado el WACC baja al 10,1 % y el valor sube a 12,66 AUD.</w:t>
      </w:r>
    </w:p>
    <w:p>
      <w:pPr>
        <w:keepNext/>
        <w:spacing w:after="100"/>
      </w:pPr>
      <w:r>
        <w:rPr>
          <w:b/>
          <w:bCs/>
        </w:rPr>
        <w:t xml:space="preserve">Valor terminal.</w:t>
      </w:r>
    </w:p>
    <w:p>
      <w:pPr>
        <w:spacing w:after="100"/>
      </w:pPr>
      <w:r>
        <w:t xml:space="preserve">Crecimiento a perpetuidad del 3,0 %: inflación esperada en Australia del 2,5-3 % (objetivo del RBA del 2-3 %) y algo de crecimiento real, por debajo del bono (5,31 %) y del mercado (≈ 7 % [15]). El valor terminal pesa un 53 % del valor de la empresa y equivale a 6,5 veces el EBITDA de salida, muy por debajo de los comparables (26 veces el EBITDA de los últimos 12 meses): es el reflejo de un WACC del 11 % frente a un crecimiento del 3 %. Con un múltiplo de salida de 20 veces, el valor terminal se triplicaría; no lo usamos porque supondría que en 2035 el mercado sigue pagando por el crecimiento.</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10,14 %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0,95</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1" name="Gráfico 21" descr="Flujo de caja libre para la empresa proyectado (AU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14.707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8,33 %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2" name="Gráfico 22" descr="De dónde sale el valor empresa del DCF (AU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12,1 %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10,72</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13,83</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M (1 %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42,6 % (reinvierte el 56 %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 (histórico: 63,4 %)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 frente al 9,8 %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Sí</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FY2030e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 (hoy: 4,4 %)</w:t>
            </w:r>
          </w:p>
        </w:tc>
      </w:tr>
    </w:tbl>
    <w:p>
      <w:pPr>
        <w:spacing w:after="160" w:before="0"/>
      </w:pPr>
    </w:p>
    <w:p>
      <w:pPr>
        <w:spacing w:after="100"/>
      </w:pPr>
      <w:r>
        <w:t xml:space="preserve">La proyección apenas necesita inversión neta de la amortización (reinversión acumulada de 25 M, el 1 % del NOPAT, con un capex bruto medio del 17,7 % de las ventas). En un negocio de activos ligeros, el crecimiento medio del 9,8 % tiene que salir de subir precios y de ganar volumen sin capital nuevo, y la prueba es el poder de precios y la cuota (5,8 % del mercado en FY2030e, frente al 4,4 %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+6,5 % (clientes nuevos, sobre todo ayuntamientos en Australia y el Reino Unido, y módulos nuevos de Plus), precio del +5,5 % (subidas anuales ligadas al IPC y a la migración a Plus) y 1,5 puntos de perímetro (CourseLoop, comprada en FY2025) [1, 8, 10]. Cuadra con la guía de ARR del +16-18 % menos la caída de la consultoría.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+8 % (ventas nuevas y ampliaciones: la retención neta de ingresos es del 114 % [10]), precio del +5 % (Plus y los agentes de IA cobrados por uso [14]) y un punto de mezcla (más SaaS, menos consultoría).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+8 % y precio del +4,5 %; medio punto de mezcla. El Reino Unido (8,4 % de los ingresos, ventas nuevas −5 % en el H1 [10]) es la palanca menos segura.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+8 % y precio del +4 %; medio punto de mezcla.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del +8 % y precio del +4 %. Ingresos de 1.103 M AUD: el 5,8 % de un mercado direccionable de ≈ 18.900 M AUD en FY2030e (13.500 M hoy al ≈ 7 % anual [10, 15]) frente al 4,4 % de hoy: la cuota sube 1,4 puntos en cinco años, en línea con lo ganado en FY2021-FY2025.</w:t>
            </w:r>
          </w:p>
        </w:tc>
      </w:tr>
    </w:tbl>
    <w:p>
      <w:pPr>
        <w:spacing w:after="160" w:before="0"/>
      </w:pPr>
    </w:p>
    <w:p>
      <w:pPr>
        <w:spacing w:after="100"/>
      </w:pPr>
      <w:r>
        <w:t xml:space="preserve">Sí. Las tres pruebas pasan: el crecimiento proyectado (9,8 % de media) es la mitad del histórico (17,8 % en FY2021-FY2025) y no necesita inversión neta, porque el capex lo cubre la amortización y el circulante negativo financia el resto; la cuota del mercado direccionable pasa del 4,4 % al 5,8 % en FY2030e, por debajo del límite de 1,5 veces; y el poder de precios está demostrado: subidas anuales con bajas de ≈ 1 % y una retención neta del 114 % [10]. El foso son los costes de cambio: un ayuntamiento o una universidad tarda años en migrar su ERP y casi nunca lo hace [1].</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(FY2027e-FY2035e)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23,3 % (base: 9,4 %)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n.d.ningún margen hasta el 79 % justifica el precio (base: 48,5 %)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5,9 % (WACC: 11,1 %)</w:t>
            </w:r>
          </w:p>
        </w:tc>
      </w:tr>
    </w:tbl>
    <w:p>
      <w:pPr>
        <w:spacing w:after="160" w:before="0"/>
      </w:pPr>
    </w:p>
    <w:p>
      <w:pPr>
        <w:spacing w:after="100"/>
      </w:pPr>
      <w:r>
        <w:t xml:space="preserve">El DCF da 11,29 AUD por acción, un 63,9 % por debajo del precio, con el valor terminal en el 53 % del valor. El DCF inverso es lo importante: para justificar 31,30 AUD con nuestro WACC del 11,06 %, las ventas tendrían que crecer un 23,3 % al año de FY2027e a FY2035e (nuestro base: 9,4 %; el histórico: 17,8 %), y ningún margen hasta el 79 % lo justifica con nuestro crecimiento. Dicho de otra forma, quien compra hoy obtiene una rentabilidad implícita del 5,9 % anual, por debajo del bono australiano (5,31 %) más cualquier prima. Es exigente frente a la historia (la empresa nunca ha crecido al 23 % durante nueve años seguidos) y frente al consenso (+14-16 % en FY2027e [26]). El precio solo se sostiene si el mercado sigue descontando el negocio a menos del 8 %, como en 2024-2025.</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IA abarata el software de gestión: los clientes retrasan las decisiones, los rivales (Oracle, Workday, Civica en el Reino Unido) bajan precios y Plus no se cobra como se esperaba. 4 puntos menos de crecimiento y de margen desde FY2027e, como el frenazo de 2025 en las ventas nuevas del Reino Unido; crecimiento terminal del 2,5 %.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ARR crece al 15-17 % con ayuntamientos, educación y el Reino Unido; los ingresos al 13-14 % en FY2027-FY2028 y el margen EBITDA sube un punto al año hasta el 48,5 %; dividendo del 65-75 % del beneficio.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Plus y los agentes de IA suben el ingreso por cliente y el Reino Unido acelera: 2 puntos más de crecimiento y 1,5 puntos más de margen; el objetivo de 1.000 M de ARR se alcanza en FY2029.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Valor por acción por escenario (AUD) · precio actual 31,3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bCs/>
        </w:rPr>
        <w:t xml:space="preserve">Valor ponderado por probabilidad:</w:t>
      </w:r>
      <w:r>
        <w:t xml:space="preserve"> 10,86 AUD (-65,3 %).</w:t>
      </w:r>
    </w:p>
    <w:p>
      <w:pPr>
        <w:spacing w:after="100"/>
      </w:pPr>
      <w:r>
        <w:t xml:space="preserve">En el DCF todos los escenarios quedan muy por debajo del precio: el bajista (7,20 AUD) pierde un 77 % y el alcista (13,65) también pierde, un 56 %. A 12 meses, con la regla de múltiplos, el bajista pierde un 41 % y el alcista gana un 14 %: la asimetría es negativa (se pierde tres veces lo que se gana). No compensa: la acción ya descuenta un escenario mejor que nuestro alcista.</w:t>
      </w:r>
    </w:p>
    <w:p>
      <w:pPr>
        <w:pStyle w:val="Heading1"/>
      </w:pPr>
      <w:r>
        <w:t xml:space="preserve">22. Suma de partes</w:t>
      </w:r>
    </w:p>
    <w:p>
      <w:pPr>
        <w:pStyle w:val="Confianza"/>
        <w:spacing w:after="100"/>
      </w:pPr>
      <w:r>
        <w:t xml:space="preserve">Confianza: Media</w:t>
      </w:r>
    </w:p>
    <w:p>
      <w:pPr>
        <w:spacing w:after="100"/>
      </w:pPr>
      <w:r>
        <w:t xml:space="preserve">No la hacemos: TNE es un solo negocio (software de gestión para los mismos sectores en tres países) con segmentos por tipo de ingreso (SaaS, licencias y consultoría) que no tienen comparables separados [1].</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4" name="Gráfico 24" descr="Valor por acción según cada método (AUD) · precio actual 31,3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31,30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31,46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11,56 AUD (-63,1 % sobre 31,30).</w:t>
      </w:r>
    </w:p>
    <w:p>
      <w:pPr>
        <w:spacing w:after="100"/>
      </w:pPr>
      <w:r>
        <w:t xml:space="preserve">Pesamos el DCF un 50 %, los escenarios un 30 % y los comparables un 20 % (PER de los próximos 12 meses). El DCF manda porque el negocio es muy previsible (el 83,5 % de los ingresos es suscripción SaaS, las bajas son de ≈ 1 % y el ARR crece al 16-18 % [10]) y no tiene deuda. La dispersión entre métodos es pequeña (DCF 11,29; comparables 13,30; escenarios ponderados 10,86 AUD) y todos quedan muy lejos del precio (31,30): la acción no está cara frente a un método, lo está frente a todos. Con la prima implícita del mercado (4,2 %) el valor sube a 12,66 AUD. Las transacciones no pesan: la familia fundadora y los fondos no apuntan a una venta, y las referencias (PowerSchool a 6,9 veces ventas [31]) darían aún menos. El objetivo medio de los analistas (31,14) está a la par del precio [28].</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18,39</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(54.4x) ÷ 1.1 (tope: la mediana de 5 años, 43.1x,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32,91</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(ni la historia ni los comparables pagan más)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35,58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+14,6 %</w:t>
            </w:r>
          </w:p>
        </w:tc>
      </w:tr>
    </w:tbl>
    <w:p>
      <w:pPr>
        <w:spacing w:after="160" w:before="0"/>
      </w:pPr>
    </w:p>
    <w:p>
      <w:pPr>
        <w:spacing w:after="100"/>
      </w:pPr>
      <w:r>
        <w:rPr>
          <w:b/>
          <w:bCs/>
        </w:rPr>
        <w:t xml:space="preserve">Objetivo a 12 meses (ponderado):</w:t>
      </w:r>
      <w:r>
        <w:t xml:space="preserve"> 29,95 AUD · rentabilidad -3,4 % (base +6,0 %) · señal Mantener.</w:t>
      </w:r>
    </w:p>
    <w:p>
      <w:pPr>
        <w:spacing w:after="100"/>
      </w:pPr>
      <w:r>
        <w:t xml:space="preserve">Para comparar, con la regla v2 (historia al cierre, mismo precio): 38,7x / 50,4x / 53,7x, 2,3 % Mantener; con el tope anterior del base (×1,3, 14-oct mediodía): -5,1 % Mantener.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de FY2026e (0,494 AUD) coincide con el consenso (0,497) porque el ejercicio ya ha cerrado y la guía fija el beneficio [8, 26]. El de FY2027e (0,576) está un 4 % por debajo (0,602): suponemos ingresos un 1 % menores (774 frente a 785 M) y un margen algo más prudente. No hay consenso gratuito de FY2028e. Nuestro precio base a 12 meses (32,91 AUD) queda un 5,7 % por encima del objetivo medio de los analistas (31,14), dentro de su rango (22-36,56) [28]; la diferencia está en el múltiplo, no en el beneficio.</w:t>
      </w:r>
    </w:p>
    <w:p>
      <w:pPr>
        <w:keepNext/>
        <w:spacing w:after="100"/>
      </w:pPr>
      <w:r>
        <w:rPr>
          <w:b/>
          <w:bCs/>
        </w:rPr>
        <w:t xml:space="preserve">Del valor intrínseco al objetivo a 12 meses.</w:t>
      </w:r>
    </w:p>
    <w:p>
      <w:pPr>
        <w:spacing w:after="100"/>
      </w:pPr>
      <w:r>
        <w:t xml:space="preserve">El objetivo a 12 meses (29,95 AUD) da un −3,4 % con dividendo (+6,0 % el base). El base es un PER de 49,4x (el actual, 54,4x sobre nuestro BPA de FY2027e, recorre la mitad del camino hacia la mediana adelantada de 43,0x y la regla lo frena en ÷1,1) sobre un BPA de FY2028e de 0,666 AUD. El bajista usa el mínimo de cinco años (33,6x, el de 2022): −41 %. El alcista no puede pasar del base porque la media larga (46,4x) y los comparables (22,1x) están por debajo. La distancia con el valor intrínseco (11,56 AUD) es enorme: la tesis a 12 meses depende solo de que el mercado siga pagando más de 45 veces el beneficio; no hay catalizador que cierre la distancia hacia arriba.</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2026-11-17 (estimada)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FY2026, guía de FY2027 y dividendo final (el FY2025 se publicó el 18-nov-2025) [9]</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es beneficio antes de impuestos +18-20 % y ARR +16-18 % en el extremo alto [8]. En noviembre de 2025 la acción cayó un 17 % por un ARR algo menor de lo esperado y sin guía [35]: el ARR y la guía de FY2027 mueven más que el beneficio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2026-11-18</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del director de operaciones y nombramiento del director financiero definitivo [21, 22]</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Dos puestos clave cambian a la vez; un financiero de fuera daría tranquilidad tras las preguntas de diciembre de 2025 [20]</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2027-02 (junta)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de accionistas: guía actualizada de FY2027 (en febrero de 2026 la subió) [12, 19]</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subida de guía como la de febrero de 2026 (+8,2 % el día del anuncio [25]) sostendría el múltiplo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2027-05</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H1 FY2027: ARR, retención y ventas del Reino Unido [10]</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Reino Unido (ventas nuevas −5 % en el H1 FY2026) es la prueba de la segunda pata de crecimiento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y adopción de los agentes de IA y de Plus (cobro por conversación e interacción) [14, 17]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se cobra, sube el ingreso por cliente; si se regala, presiona el margen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Nuevas caídas o rebotes del sector de software por la IA (como el −10,5 % del 4-feb-2026) [15, 34]</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Mueven el múltiplo de todo el sector sin distinguir; a 54 veces el beneficio, el efecto en TNE es mayor</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el mercado deja de pagar más de 45 veces el beneficio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−41 % a 12 meses en el bajista (33,6x × 0,547); el valor intrínseco es de 11,56 AUD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que crece al 16-17 % al año y sin deuda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adelantado por debajo de 40 veces con el beneficio en guía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abarata el software de gestión o cambia la forma de venderlo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Tecnológico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 −35 % en el DCF en el bajista (4 puntos menos de crecimiento y de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Datos y procesos regulados de cada cliente, costes de cambio muy altos y producto propio de IA (Plus) [14]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Bajas por encima del 2 % o retención neta por debajo del 110 %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Frenazo del Reino Unido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El Reino Unido es el 8,4 % de los ingresos y una parte grande del crecimiento esperado; sin él, ≈ −2 puntos de crecimiento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de ayuntamientos y universidades que renuevan su ERP</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nuevas del Reino Unido en negativo dos semestres seguidos (−5 % en el H1 FY2026 [10])</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Rotación en la dirección financiera y de operaciones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efecto directo en el valor; sí en la confianza del mercado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consejero delegado (Chung) sigue y la guía se ha cumplido o superado cinco años seguidos [2]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 interino que se alarga o nuevas salidas [21, 22]</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Concentración en el sector público australiano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Australia es el 81,4 % de los ingresos [1]; un recorte del gasto local frenaría las ventas nuevas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Contratos de varios años y gasto en ERP difícil de recortar</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Menos contratos nuevos de ayuntamientos y universidades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Subidas de tipos o del bono australiano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Macro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Cada 0,5 puntos más de WACC ≈ −6 % del DCF (11,29 → 10,66 AUD)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neta de ≈ 196 M y sin deuda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Bono a 10 años por encima del 5,5 %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Ciberseguridad y fallos de servicio en la nube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Un fallo grave en un cliente público dañaría las ventas nuevas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 solo producto en la nube que la empresa opera y actualiza para todos los clientes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Incidentes publicados en clientes</w:t>
            </w:r>
          </w:p>
        </w:tc>
      </w:tr>
    </w:tbl>
    <w:p>
      <w:pPr>
        <w:spacing w:after="160" w:before="0"/>
      </w:pPr>
    </w:p>
    <w:p>
      <w:pPr>
        <w:pStyle w:val="Heading2"/>
      </w:pPr>
      <w:r>
        <w:t xml:space="preserve">Pre-mortem</w:t>
      </w:r>
    </w:p>
    <w:p>
      <w:pPr>
        <w:spacing w:after="100"/>
      </w:pPr>
      <w:r>
        <w:t xml:space="preserve">Octubre de 2029: la acción ha perdido un 40 %, a ≈ 19 AUD, aunque el beneficio ha crecido. En noviembre de 2026 TNE cumple la guía, pero el ARR de FY2027 se queda en el 14 % y el Reino Unido sigue sin vender. Los clientes públicos alargan las decisiones mientras prueban asistentes de IA de los grandes (Microsoft, Oracle, Workday) y TNE regala parte de Plus para no perderlos. El mercado, que ya había bajado el múltiplo de todo el software en 2026, deja de pagar la prima de calidad: el PER adelantado pasa de 54 a 30 veces, el de los comparables. Con un BPA de 0,62 AUD, 30 veces son 19 AUD. Lo habrían anticipado la retención neta por debajo del 110 % y las ventas nuevas del Reino Unido en negativo.</w:t>
      </w:r>
    </w:p>
    <w:p>
      <w:pPr>
        <w:pStyle w:val="Heading2"/>
      </w:pPr>
      <w:r>
        <w:t xml:space="preserve">Riesgo de inteligencia artificial</w:t>
      </w:r>
    </w:p>
    <w:p>
      <w:pPr>
        <w:spacing w:after="100"/>
      </w:pPr>
      <w:r>
        <w:rPr>
          <w:b/>
          <w:bCs/>
        </w:rPr>
        <w:t xml:space="preserve">Exposición:</w:t>
      </w:r>
      <w:r>
        <w:t xml:space="preserve"> Media · </w:t>
      </w:r>
      <w:r>
        <w:rPr>
          <w:b/>
          <w:bCs/>
        </w:rPr>
        <w:t xml:space="preserve">Sentido:</w:t>
      </w:r>
      <w:r>
        <w:t xml:space="preserve"> Mixto · </w:t>
      </w:r>
      <w:r>
        <w:rPr>
          <w:b/>
          <w:bCs/>
        </w:rPr>
        <w:t xml:space="preserve">Efecto en valor (3-5 años):</w:t>
      </w:r>
      <w:r>
        <w:t xml:space="preserve"> −10 % a +5 % a 3-5 años; el bajista (4 puntos menos de crecimiento y de margen) da −36 % en el DCF</w:t>
      </w:r>
    </w:p>
    <w:p>
      <w:pPr>
        <w:spacing w:after="100"/>
      </w:pPr>
      <w:r>
        <w:t xml:space="preserve">El ERP de un ayuntamiento o una universidad es un sistema de registro: datos regulados, procesos legales y años de migración, que la IA no sustituye a corto plazo; la ficha del sector lo pone en riesgo bajo-medio [15]. Lo que sí cambia es el precio por usuario (menos empleados que usan el sistema) y la diferenciación: si los grandes ERP y los agentes de terceros hacen el trabajo de los módulos, TNE pierde poder de precios. TNE lo ataca con Plus y agentes propios cobrados por uso [14, 17]. Señal: retención neta por debajo del 110 % o bajas por encima del 2 %.</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Lo material para las cifras es social y de gobierno: (1) la seguridad de los datos de ciudadanos y alumnos, porque un incidente grave en un sistema público dañaría la reputación y los concursos; TNE lo trata como riesgo principal y aloja los datos en el país del cliente [1, 18]; (2) la atracción y retención de ingenieros, que son el 60 % del coste; (3) la ética del uso de IA en decisiones públicas. El ambiental es menor (oficinas y nube) [18].</w:t>
      </w:r>
    </w:p>
    <w:p>
      <w:pPr>
        <w:pStyle w:val="Heading2"/>
      </w:pPr>
      <w:r>
        <w:t xml:space="preserve">Controversias</w:t>
      </w:r>
    </w:p>
    <w:p>
      <w:pPr>
        <w:spacing w:after="100"/>
      </w:pPr>
      <w:r>
        <w:t xml:space="preserve">No encontramos sanciones ni litigios materiales en los últimos tres años [1]. En diciembre de 2025 la empresa respondió a preguntas de accionistas sobre su director financiero por su paso anterior por Corporate Travel Management, investigada por su contabilidad; TNE le mantuvo la confianza y en julio de 2026 lo pasó a un puesto comercial [C].</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de la 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ARR nuevo de FY2026 viene de Plus y de los agentes de IA, y cuántos clientes pagan por uso?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si la IA sube el ingreso por cliente o solo defiende la base [14].</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Reino Unido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cayeron las ventas nuevas un 5 % en el H1 FY2026 y qué cartera hay para FY2027?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segunda pata de crecimiento del base [10].</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Dirección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habrá director financiero definitivo y quién sustituye al director de operaciones?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Dos salidas en cuatro meses tras las preguntas de diciembre de 2025 [20, 21, 22].</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subirá el gasto en I+D con la IA y qué parte se activará?</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54 % del I+D se activa: más I+D activado sube el beneficio contable pero no la caja [10].</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Fideicomiso de empleados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¿Seguirán comprando acciones en el mercado para cubrir los planes (≈ 87 M en 2026) o emitirán acciones nuevas?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un uso de caja del tamaño de un dividendo [13].</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Guía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¿Mantienen el objetivo de 1.000 M de ARR en FY2030 y el margen antes de impuestos del 35 %?</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Nuestro base queda algo por debajo de ese objetivo [8].</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Motley Fool Australia (página de TNE)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artículos de septiembre y octubre presentan a TNE como acción para «comprar y mantener una década» y «oportunidad rara» tras la caída, y la incluyen entre las rebajas de recomendación de la semana del 15-oct [37].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Motley Fool Australia (junio de 2026)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Explica la caída del 16 % desde el máximo de junio como venta de todo el software de crecimiento, sin noticia de la empresa [34].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Motley Fool Australia (mayo de 2026)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acción bajó un 4 % con un semestre en línea: el mercado esperaba que subiera la guía y no lo hizo [38].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Livewire Markets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Gestores australianos plantean cuatro preguntas: si la IA erosiona el modelo, cuánto aporta Plus, si el Reino Unido acelera y si el múltiplo aguanta [39].</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Webull / Motley Fool (septiembre de 2026)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 TNE (−23 %) y Xero (−58 %) desde máximos: TNE se ve más defensiva, pero aún cara [40].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IA destruye el software por puesto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TNE no cobra por puesto sino por inmuebles, alumnos y uso de IA, y la NRR sigue en el 114 % [10]; el riesgo real es el poder de negociación de los clientes y la sustitución de módulos, no la base de cobro.</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demasiado alta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 52 veces el BPA de los próximos 12 meses frente a ≈ 22 de los comparables y 43 de su mediana [26].</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Calidad y defensividad (compounder)</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16 años de récords, sin deuda y guía cumplida [2, 9]; pero la calidad ya está en el precio.</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Reino Unido como segundo motor</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ARR británico +23 % hasta 53 M, pero ventas nuevas −5 % en el H1 FY26 [10].</w:t>
            </w:r>
          </w:p>
        </w:tc>
      </w:tr>
    </w:tbl>
    <w:p>
      <w:pPr>
        <w:spacing w:after="160" w:before="0"/>
      </w:pPr>
    </w:p>
    <w:p>
      <w:pPr>
        <w:spacing w:after="100"/>
      </w:pPr>
      <w:r>
        <w:t xml:space="preserve">El inversor particular australiano sigue viendo a TNE como una de las pocas empresas de calidad de la tecnología local y compra en las caídas; el debate profesional es si la IA cambia su modelo y si el múltiplo aguanta. El sentimiento no es extremo: ni euforia ni capitulación. Coincide con nuestro análisis en la calidad y discrepa en el precio, que es donde está nuestra tesis. Un riesgo que los foros señalan y conviene vigilar es que la guía de FY26 se cumpla «solo» en línea, como en mayo, y el mercado vuelva a castigarlo.</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20 de 20 controles correctos. Fuentes: 40 (24 primarias); citas distintas en el texto: 39.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5,8 % en FY2030e frente al 4,4 %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-42,0 % frente a -42,5 % real: genera una variación de circulante de -31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53 %.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40 fuentes (24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11.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 sostenibilidad FY25 de la empresa; 2) informe anual FY25; 3) búsqueda de MSCI y Sustainalytics para TNE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presentaciones de la empresa; 2) ficha sectorial de software del repositorio; 3) búsqueda de cuotas de ERP del sector público australiano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remuneracion_ceo.ratio_salario_medio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 remuneraciones FY25; 2) informe de sostenibilidad FY25; 3) cálculo con la plantilla, que el informe anual no da en cifra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posicion_corta_pct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fichero diario de posiciones cortas de ASIC (RR…SSDailyAggShortPos.csv); 2) búsqueda de prensa sobre posiciones cortas en TNE; 3) Yahoo (shortPercentOfFloat vacío para la ASX)</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estimaciones FY2028e y EBITDA del 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(no abre la ficha de TNE); 2) Yahoo earningsTrend (solo FY26-FY27); 3) FNArena e Investing (sin cifras de FY28 ni EBITDA)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múltiplos de 3 o más operaciones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prensa de PowerSchool e Instructure; 2) búsqueda de Civica (Blackstone) y Altium (Renesas); 3) ficha sectorial de software del repositorio (sin transacciones)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Report 2025: estados consolidados de FY25 y FY24, notas 4 (segmentos), 5 (ingresos), 6 (gastos y amortizaciones), 7 (impuestos), 13-14 (inmovilizado e intangibles), 21 (capital), 23 (dividendos), 24 (CourseLoop), 30-31 (flujos y BPA), informe de remuneraciones e información de accionistas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Technology One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18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https://announcements.asx.com.au/asxpdf/20251118/pdf/06s446mgnpp1m0.pdf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Report 2024: estados consolidados de FY24 y FY23, notas 5 y 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Technology One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 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https://announcements.asx.com.au/asxpdf/20241119/pdf/06bjxy9wdn90x0.pdf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Preliminary Final Report FY23 (Appendix 4E y estados consolidados de FY23 y FY22)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Technology One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nov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https://announcements.asx.com.au/asxpdf/20231121/pdf/05xkw59688vh13.pdf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Preliminary Final Report FY22 (estados consolidados de FY22 y FY21, notas 5, 6 y 13; compra de Scientia)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Technology One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nov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https://announcements.asx.com.au/asxpdf/20221122/pdf/45hvxxd3rs9xpl.pdf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Preliminary Final Report FY21 (estados de FY21 y FY20)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Technology One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nov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https://announcements.asx.com.au/asxpdf/20211123/pdf/4538pklh5tb9rk.pdf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Appendix 4D y Financial Report del semestre cerrado el 31-mar-2026 (revisión limitada de EY)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Technology One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https://announcements.asx.com.au/asxpdf/20260519/pdf/06zqk9tj6tpz8f.pdf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Appendix 4D y Financial Report del semestre cerrado el 31-mar-2025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Technology One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https://announcements.asx.com.au/asxpdf/20250520/pdf/06jwynspzzz0vy.pdf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SaaS+ Momentum Drives Record ARR and Profit – Reaffirming Upgraded FY26 Guidance (nota de resultados H1 FY26)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Technology One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https://announcements.asx.com.au/asxpdf/20260519/pdf/06zqknrl05vfs7.pdf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SaaS+ &amp; UK momentum drive record ARR &amp; profit - beating guidance (nota de resultados FY25)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Technology One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https://announcements.asx.com.au/asxpdf/20251118/pdf/06s444hmjk0xmd.pdf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TNE H1 FY26 Half Year Results Presentation (ARR por vertical, Reino Unido, NRR, bajas, I+D, dividendo)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Technology One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https://announcements.asx.com.au/asxpdf/20260519/pdf/06zqksz2h9yrg9.pdf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TNE FY25 Full Year Results Presentation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Technology One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https://announcements.asx.com.au/asxpdf/20251118/pdf/06s451b1tvt3jf.pdf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Guidance Upgraded – AI driving TechnologyOne’s confidence in the future (guía FY26 en la junta)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Technology One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https://announcements.asx.com.au/asxpdf/20260218/pdf/06wfkfl8f34qtr.pdf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Completion of On-Market Purchase of Shares by ESP Trust (tramos 1 y 2: 2,8 M de acciones a 30,13 y 31,94 AUD)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Technology One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https://announcements.asx.com.au/asxpdf/20260827/pdf/073b583jbw5d8w.pdf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Analyst Presentation – TNE Unleashes AI Revolution (precios de Plus y de la IA en producto)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Technology One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https://announcements.asx.com.au/asxpdf/20251009/pdf/06qb45cz53jm4y.pdf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 sectorial: software de aplicaciones (tamaño del ERP según Apps Run The World, software para gobiernos, mapa del riesgo de 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de análisis (sectores/software-2026-10-14.md)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sectores/software-2026-10-14.md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2025 y ficha de Yahoo Finance de Tyler Technologies, Workday, Sage, Nemetschek, Constellation, Objective (ingresos y márgenes de los últimos 12 meses)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TNE launches Guide, extending AI to communities and students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Technology One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https://www.asx.com.au/asx/v2/statistics/displayAnnouncement.do?display=pdf&amp;idsId=03065135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TNE FY25 Sustainability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Technology One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https://www.asx.com.au/asx/v2/statistics/displayAnnouncement.do?display=pdf&amp;idsId=03031300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Results of FY25 Annual General Meeting (votaciones del 18-feb-2026)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Technology One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https://announcements.asx.com.au/asxpdf/20260218/pdf/06wg3fmmdw104c.pdf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TechnologyOne responds to shareholder enquiries related to CTM matter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Technology One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https://announcements.asx.com.au/asxpdf/20251208/pdf/06t2868bs8q1gq.pdf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TechnologyOne realigns and strengthens leadership structure (director financiero a vicepresidente; financiero en funciones)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Technology One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https://announcements.asx.com.au/asxpdf/20260716/pdf/071rtxwc8tgc5t.pdf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TechnologyOne Leadership Update (dimisión del director de operaciones, efectiva el 18-nov-2026)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Technology One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https://announcements.asx.com.au/asxpdf/20260819/pdf/072xjgh1x9dm4h.pdf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Appendix 3Y: E. Chung (27-mar-2026), P. Davis (25-feb y 8-jul-2026), D. Eckersley (20-feb-2026)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Technology One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https://announcements.asx.com.au/asxpdf/20260709/pdf/071kgbc3fbxcby.pdf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Avisos de accionista significativo: AustralianSuper (2-jun-2026), Vanguard (15-jul-2026), State Street (25-sep-2026)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Technology One Limited /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https://announcements.asx.com.au/asxpdf/20260925/pdf/074k280qg88jhw.pdf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históricos diarios de TNE.AX, STW.AX y ^AXIJ (precio, rango, betas, rentabilidades y cierres de ejercicio; herramientas/bolsa.mjs)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https://finance.yahoo.com/quote/TNE.AX/history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quoteSummary (earningsTrend, financialData) de TNE.AX y nueve comparables; tipos de cambio AUDUSD, GBPAUD, EURAUD, CADAUD y AUDNZD del 19-oct-2026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https://finance.yahoo.com/quote/TNE.AX/analysis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FNArena: consenso de TNE (BPA FY26 49,6 centavos, DPA 34,3; objetivo medio 32,19 AUD) y revisiones de Morgan Stanley y Jarden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FNArena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https://www.fnarena.com/stock-price-analysis/it-support/TNE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 consenso de 16 analistas (10 comprar, 4 mantener, 2 vender; objetivo medio 31,14 AUD, 22-36,56)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https://www.investing.com/equities/technology-one-consensus-estimates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RBA, tabla F2: rendimiento del bono del Gobierno australiano a 10 años (5,314 % el 14-oct-2026) y del indexado (2,983 %)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Reserve Bank of Australia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https://www.rba.gov.au/statistics/tables/csv/f2-data.csv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Damodaran, prima de riesgo implícita mensual del S&amp;P 500 (ERPbymonth,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NYU Stern (A. Damodaran)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Bain Capital completes acquisition of PowerSchool (valor empresa ≈ 5.600 M USD) y lectura de Piper Sandler (6,9 veces ventas de los próximos 12 meses)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Vista Equity Partners / 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https://www.vistaequitypartners.com/news/bain-capital-completes-acquisition-of-powerschool/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Instructure to be Acquired by KKR for $4.8 Billion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Nasdaq (nota de 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https://www.nasdaq.com/press-release/instructure-be-acquired-kkr-48-billion-2024-07-25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Listado anual de anuncios de TNE en la ASX (2025 y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https://www.asx.com.au/asx/v2/statistics/announcements.do?by=asxCode&amp;asxCode=TNE&amp;timeframe=Y&amp;year=2026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Down 16%: What on earth is going on with TechnologyOne shares?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 Australia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https://www.fool.com.au/2026/06/24/down-16-what-on-earth-is-going-on-with-technologyone-shares/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TechnologyOne shares slump despite beating full-year profit forecast and boosting dividends (ARR +18 % frente a ≈ 21 % esperado, sin guía FY26)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Business News Australia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https://www.businessnewsaustralia.com/articles/tecnologyone-shares-slump-despite-beating-full-year-profit-forecast.html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Why This ASX 200 Tech Stock Is Under Pressure Despite Another Record Result (H1 FY26: valoración, tipos e 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Kalkine Media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https://kalkinemedia.com/au/stocks/technology/why-this-asx-200-tech-stock-is-under-pressure-despite-another-record-result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 Australia: página de TNE (artículos de agosto-octubre de 2026; «6 ASX shares hit by broker downgrades this week», 15-oct-2026)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 Australia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https://www.fool.com.au/tickers/asx-tne/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Why are Technology One shares crashing 4% today? (resultados del H1 FY26)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 Australia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https://www.fool.com.au/2026/05/19/why-are-technology-one-shares-crashing-4-today/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4 questions that TechnologyOne needs to answer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Livewire Markets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https://www.livewiremarkets.com/wires/the-4-questions-that-technologyone-needs-to-answer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Down 23% and 58%, should I buy TechnologyOne and Xero shares now?</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Webull / 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https://www.webull.com/news/15341950276690944</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88,1 %</w:t>
      </w:r>
      <w:r>
        <w:t xml:space="preserve"> · Secciones con menos del 60 % de campos cubiertos: </w:t>
      </w:r>
      <w:r>
        <w:rPr>
          <w:b/>
          <w:bCs/>
        </w:rPr>
        <w:t xml:space="preserve">ninguna</w:t>
      </w:r>
      <w:r>
        <w:t xml:space="preserve"> · Generado el 19 oct 2026.</w:t>
      </w:r>
    </w:p>
    <w:p>
      <w:pPr>
        <w:pStyle w:val="Nota"/>
        <w:spacing w:after="100"/>
      </w:pPr>
      <w:r>
        <w:t xml:space="preserve">Cuentas consolidadas en millones de AUD con normas NIIF adoptadas en Australia (AASB). Australia no tiene XBRL público: FY2021-FY2025 salen de los informes anuales auditados y de los Preliminary Final Reports (Appendix 4E) de la ASX, y los semestres de los Appendix 4D con revisión limitada de EY [1, 2, 3, 4, 5, 6, 7]. FY2024 está reexpresado en el informe de FY2025. El ejercicio cierra el 30 de septiembre; FY2026 ya ha cerrado pero se publica hacia el 17-nov-2026, así que el último balance es el de 31-mar-2026 y el DCF empieza a contar flujos en FY2027e; la caja del segundo semestre de FY2026 se suma al puente como estimación propia (otros_ajustes). Precio: cierre de la ASX del 19-oct-2026 [25]. Comparables convertidos a AUD con los tipos del 19-oct-2026 [26]. El consenso gratuito solo llega a FY2027e.</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19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Technology One Limited (TNE)</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(AUD) · precio actual 31,30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(20,14 – 39,99)</c:v>
                </c:pt>
                <c:pt idx="1">
                  <c:v>Precio objetivo de los analistas (22,00 – 36,56)</c:v>
                </c:pt>
                <c:pt idx="2">
                  <c:v>Comparables: PER NTM (11,50 – 14,97)</c:v>
                </c:pt>
                <c:pt idx="3">
                  <c:v>DCF (WACC y g ± 0,5) (10,36 – 12,49)</c:v>
                </c:pt>
                <c:pt idx="4">
                  <c:v>Escenarios (bajista – alcista) (7,20 – 13,65)</c:v>
                </c:pt>
                <c:pt idx="5">
                  <c:v>DCF con la prima implícita del mercado (4,2 %)</c:v>
                </c:pt>
                <c:pt idx="6">
                  <c:v>Precio actual (31,30)</c:v>
                </c:pt>
              </c:strCache>
            </c:strRef>
          </c:cat>
          <c:val>
            <c:numRef>
              <c:f>Hoja1!$B$2:$B$8</c:f>
              <c:numCache>
                <c:formatCode>#,##0.0</c:formatCode>
                <c:ptCount val="7"/>
                <c:pt idx="0">
                  <c:v>20.14</c:v>
                </c:pt>
                <c:pt idx="1">
                  <c:v>22</c:v>
                </c:pt>
                <c:pt idx="2">
                  <c:v>11.5</c:v>
                </c:pt>
                <c:pt idx="3">
                  <c:v>10.36</c:v>
                </c:pt>
                <c:pt idx="4">
                  <c:v>7.2</c:v>
                </c:pt>
                <c:pt idx="5">
                  <c:v>11.89</c:v>
                </c:pt>
                <c:pt idx="6">
                  <c:v>31.14</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(20,14 – 39,99)</c:v>
                </c:pt>
                <c:pt idx="1">
                  <c:v>Precio objetivo de los analistas (22,00 – 36,56)</c:v>
                </c:pt>
                <c:pt idx="2">
                  <c:v>Comparables: PER NTM (11,50 – 14,97)</c:v>
                </c:pt>
                <c:pt idx="3">
                  <c:v>DCF (WACC y g ± 0,5) (10,36 – 12,49)</c:v>
                </c:pt>
                <c:pt idx="4">
                  <c:v>Escenarios (bajista – alcista) (7,20 – 13,65)</c:v>
                </c:pt>
                <c:pt idx="5">
                  <c:v>DCF con la prima implícita del mercado (4,2 %)</c:v>
                </c:pt>
                <c:pt idx="6">
                  <c:v>Precio actual (31,30)</c:v>
                </c:pt>
              </c:strCache>
            </c:strRef>
          </c:cat>
          <c:val>
            <c:numRef>
              <c:f>Hoja1!$C$2:$C$8</c:f>
              <c:numCache>
                <c:formatCode>#,##0.0</c:formatCode>
                <c:ptCount val="7"/>
                <c:pt idx="0">
                  <c:v>19.85</c:v>
                </c:pt>
                <c:pt idx="1">
                  <c:v>14.560000000000002</c:v>
                </c:pt>
                <c:pt idx="2">
                  <c:v>3.4700000000000006</c:v>
                </c:pt>
                <c:pt idx="3">
                  <c:v>2.130000000000001</c:v>
                </c:pt>
                <c:pt idx="4">
                  <c:v>6.45</c:v>
                </c:pt>
                <c:pt idx="5">
                  <c:v>1.7299999999999986</c:v>
                </c:pt>
                <c:pt idx="6">
                  <c:v>0.3200000000000003</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(AUD, millones)</a:t>
            </a:r>
          </a:p>
        </c:rich>
      </c:tx>
      <c:overlay val="0"/>
    </c:title>
    <c:autoTitleDeleted val="0"/>
    <c:plotArea>
      <c:layout/>
      <c:barChart>
        <c:barDir val="col"/>
        <c:grouping val="stacked"/>
        <c:varyColors val="0"/>
        <c:ser>
          <c:idx val="0"/>
          <c:order val="0"/>
          <c:tx>
            <c:strRef>
              <c:f>Hoja1!$B$1</c:f>
              <c:strCache>
                <c:ptCount val="1"/>
                <c:pt idx="0">
                  <c:v>Cuotas SaaS</c:v>
                </c:pt>
              </c:strCache>
            </c:strRef>
          </c:tx>
          <c:spPr>
            <a:solidFill>
              <a:srgbClr val="2A78D6"/>
            </a:solidFill>
            <a:ln w="12700">
              <a:solidFill>
                <a:srgbClr val="FFFFFF"/>
              </a:solidFill>
            </a:ln>
          </c:spPr>
          <c:invertIfNegative val="0"/>
          <c:cat>
            <c:strRef>
              <c:f>Hoja1!$A$2:$A$6</c:f>
              <c:strCache>
                <c:ptCount val="5"/>
                <c:pt idx="0">
                  <c:v>FY2021</c:v>
                </c:pt>
                <c:pt idx="1">
                  <c:v>FY2022</c:v>
                </c:pt>
                <c:pt idx="2">
                  <c:v>FY2023</c:v>
                </c:pt>
                <c:pt idx="3">
                  <c:v>FY2024</c:v>
                </c:pt>
                <c:pt idx="4">
                  <c:v>FY2025</c:v>
                </c:pt>
              </c:strCache>
            </c:strRef>
          </c:cat>
          <c:val>
            <c:numRef>
              <c:f>Hoja1!$B$2:$B$6</c:f>
              <c:numCache>
                <c:formatCode>#,##0</c:formatCode>
                <c:ptCount val="5"/>
                <c:pt idx="0">
                  <c:v>151.052</c:v>
                </c:pt>
                <c:pt idx="1">
                  <c:v>216.812</c:v>
                </c:pt>
                <c:pt idx="2">
                  <c:v>316.181</c:v>
                </c:pt>
                <c:pt idx="3">
                  <c:v>407.386</c:v>
                </c:pt>
                <c:pt idx="4">
                  <c:v>499.725</c:v>
                </c:pt>
              </c:numCache>
            </c:numRef>
          </c:val>
        </c:ser>
        <c:ser>
          <c:idx val="1"/>
          <c:order val="1"/>
          <c:tx>
            <c:strRef>
              <c:f>Hoja1!$C$1</c:f>
              <c:strCache>
                <c:ptCount val="1"/>
                <c:pt idx="0">
                  <c:v>Licencias (anuales e iniciales)</c:v>
                </c:pt>
              </c:strCache>
            </c:strRef>
          </c:tx>
          <c:spPr>
            <a:solidFill>
              <a:srgbClr val="EB6834"/>
            </a:solidFill>
            <a:ln w="12700">
              <a:solidFill>
                <a:srgbClr val="FFFFFF"/>
              </a:solidFill>
            </a:ln>
          </c:spPr>
          <c:invertIfNegative val="0"/>
          <c:cat>
            <c:strRef>
              <c:f>Hoja1!$A$2:$A$6</c:f>
              <c:strCache>
                <c:ptCount val="5"/>
                <c:pt idx="0">
                  <c:v>FY2021</c:v>
                </c:pt>
                <c:pt idx="1">
                  <c:v>FY2022</c:v>
                </c:pt>
                <c:pt idx="2">
                  <c:v>FY2023</c:v>
                </c:pt>
                <c:pt idx="3">
                  <c:v>FY2024</c:v>
                </c:pt>
                <c:pt idx="4">
                  <c:v>FY2025</c:v>
                </c:pt>
              </c:strCache>
            </c:strRef>
          </c:cat>
          <c:val>
            <c:numRef>
              <c:f>Hoja1!$C$2:$C$6</c:f>
              <c:numCache>
                <c:formatCode>#,##0</c:formatCode>
                <c:ptCount val="5"/>
                <c:pt idx="0">
                  <c:v>95.735</c:v>
                </c:pt>
                <c:pt idx="1">
                  <c:v>78.752</c:v>
                </c:pt>
                <c:pt idx="2">
                  <c:v>40.014</c:v>
                </c:pt>
                <c:pt idx="3">
                  <c:v>17.697</c:v>
                </c:pt>
                <c:pt idx="4">
                  <c:v>7.211</c:v>
                </c:pt>
              </c:numCache>
            </c:numRef>
          </c:val>
        </c:ser>
        <c:ser>
          <c:idx val="2"/>
          <c:order val="2"/>
          <c:tx>
            <c:strRef>
              <c:f>Hoja1!$D$1</c:f>
              <c:strCache>
                <c:ptCount val="1"/>
                <c:pt idx="0">
                  <c:v>Consultoría</c:v>
                </c:pt>
              </c:strCache>
            </c:strRef>
          </c:tx>
          <c:spPr>
            <a:solidFill>
              <a:srgbClr val="1BAF7A"/>
            </a:solidFill>
            <a:ln w="12700">
              <a:solidFill>
                <a:srgbClr val="FFFFFF"/>
              </a:solidFill>
            </a:ln>
          </c:spPr>
          <c:invertIfNegative val="0"/>
          <c:cat>
            <c:strRef>
              <c:f>Hoja1!$A$2:$A$6</c:f>
              <c:strCache>
                <c:ptCount val="5"/>
                <c:pt idx="0">
                  <c:v>FY2021</c:v>
                </c:pt>
                <c:pt idx="1">
                  <c:v>FY2022</c:v>
                </c:pt>
                <c:pt idx="2">
                  <c:v>FY2023</c:v>
                </c:pt>
                <c:pt idx="3">
                  <c:v>FY2024</c:v>
                </c:pt>
                <c:pt idx="4">
                  <c:v>FY2025</c:v>
                </c:pt>
              </c:strCache>
            </c:strRef>
          </c:cat>
          <c:val>
            <c:numRef>
              <c:f>Hoja1!$D$2:$D$6</c:f>
              <c:numCache>
                <c:formatCode>#,##0</c:formatCode>
                <c:ptCount val="5"/>
                <c:pt idx="0">
                  <c:v>64.508</c:v>
                </c:pt>
                <c:pt idx="1">
                  <c:v>72.67</c:v>
                </c:pt>
                <c:pt idx="2">
                  <c:v>73.183</c:v>
                </c:pt>
                <c:pt idx="3">
                  <c:v>80.52</c:v>
                </c:pt>
                <c:pt idx="4">
                  <c:v>91.566</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(FY2025)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Cuotas SaaS</c:v>
                </c:pt>
                <c:pt idx="1">
                  <c:v>Licencias (anuales e iniciales)</c:v>
                </c:pt>
                <c:pt idx="2">
                  <c:v>Consultoría</c:v>
                </c:pt>
              </c:strCache>
            </c:strRef>
          </c:cat>
          <c:val>
            <c:numRef>
              <c:f>Hoja1!$B$2:$B$4</c:f>
              <c:numCache>
                <c:formatCode>General</c:formatCode>
                <c:ptCount val="3"/>
                <c:pt idx="0">
                  <c:v>83.5</c:v>
                </c:pt>
                <c:pt idx="1">
                  <c:v>1.2</c:v>
                </c:pt>
                <c:pt idx="2">
                  <c:v>15.3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Australia</c:v>
                </c:pt>
                <c:pt idx="1">
                  <c:v>Nueva Zelanda y Asia-Pacífico</c:v>
                </c:pt>
                <c:pt idx="2">
                  <c:v>Reino Unido</c:v>
                </c:pt>
              </c:strCache>
            </c:strRef>
          </c:cat>
          <c:val>
            <c:numRef>
              <c:f>Hoja1!$B$2:$B$4</c:f>
              <c:numCache>
                <c:formatCode>0"%"</c:formatCode>
                <c:ptCount val="3"/>
                <c:pt idx="0">
                  <c:v>81.4</c:v>
                </c:pt>
                <c:pt idx="1">
                  <c:v>10.2</c:v>
                </c:pt>
                <c:pt idx="2">
                  <c:v>8.4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AUD (mercado direccionable de TNE; 2025 de la empresa y resto estimación propia al 7 % anual))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2025</c:v>
                </c:pt>
                <c:pt idx="1">
                  <c:v>2026e</c:v>
                </c:pt>
                <c:pt idx="2">
                  <c:v>2027e</c:v>
                </c:pt>
                <c:pt idx="3">
                  <c:v>2028e</c:v>
                </c:pt>
                <c:pt idx="4">
                  <c:v>2029e</c:v>
                </c:pt>
                <c:pt idx="5">
                  <c:v>2030e</c:v>
                </c:pt>
              </c:strCache>
            </c:strRef>
          </c:cat>
          <c:val>
            <c:numRef>
              <c:f>Hoja1!$B$2:$B$7</c:f>
              <c:numCache>
                <c:formatCode>#,##0</c:formatCode>
                <c:ptCount val="6"/>
                <c:pt idx="0">
                  <c:v>13500</c:v>
                </c:pt>
                <c:pt idx="1">
                  <c:v>14445</c:v>
                </c:pt>
                <c:pt idx="2">
                  <c:v>15456</c:v>
                </c:pt>
                <c:pt idx="3">
                  <c:v>16538</c:v>
                </c:pt>
                <c:pt idx="4">
                  <c:v>17696</c:v>
                </c:pt>
                <c:pt idx="5">
                  <c:v>18934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3</c:v>
                </c:pt>
                <c:pt idx="2">
                  <c:v>2</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TechnologyOne</c:v>
                </c:pt>
                <c:pt idx="1">
                  <c:v>Tyler Technologies</c:v>
                </c:pt>
                <c:pt idx="2">
                  <c:v>Workday</c:v>
                </c:pt>
                <c:pt idx="3">
                  <c:v>Oracle</c:v>
                </c:pt>
                <c:pt idx="4">
                  <c:v>Civica</c:v>
                </c:pt>
                <c:pt idx="5">
                  <c:v>Sage Group</c:v>
                </c:pt>
                <c:pt idx="6">
                  <c:v>Objective Corporation</c:v>
                </c:pt>
              </c:strCache>
            </c:strRef>
          </c:cat>
          <c:val>
            <c:numRef>
              <c:f>Hoja1!$B$2:$B$8</c:f>
              <c:numCache>
                <c:formatCode>0.0"%"</c:formatCode>
                <c:ptCount val="7"/>
                <c:pt idx="0">
                  <c:v>29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5</c:v>
                </c:pt>
                <c:pt idx="2">
                  <c:v>3</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(AUD,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FY2021</c:v>
                </c:pt>
                <c:pt idx="1">
                  <c:v>FY2022</c:v>
                </c:pt>
                <c:pt idx="2">
                  <c:v>FY2023</c:v>
                </c:pt>
                <c:pt idx="3">
                  <c:v>FY2024</c:v>
                </c:pt>
                <c:pt idx="4">
                  <c:v>FY2025</c:v>
                </c:pt>
                <c:pt idx="5">
                  <c:v>FY2026e</c:v>
                </c:pt>
                <c:pt idx="6">
                  <c:v>FY2027e</c:v>
                </c:pt>
                <c:pt idx="7">
                  <c:v>FY2028e</c:v>
                </c:pt>
                <c:pt idx="8">
                  <c:v>FY2029e</c:v>
                </c:pt>
                <c:pt idx="9">
                  <c:v>FY2030e</c:v>
                </c:pt>
                <c:pt idx="10">
                  <c:v>FY2031e</c:v>
                </c:pt>
                <c:pt idx="11">
                  <c:v>FY2032e</c:v>
                </c:pt>
                <c:pt idx="12">
                  <c:v>FY2033e</c:v>
                </c:pt>
                <c:pt idx="13">
                  <c:v>FY2034e</c:v>
                </c:pt>
                <c:pt idx="14">
                  <c:v>FY2035e</c:v>
                </c:pt>
              </c:strCache>
            </c:strRef>
          </c:cat>
          <c:val>
            <c:numRef>
              <c:f>Hoja1!$B$2:$B$16</c:f>
              <c:numCache>
                <c:formatCode>#,##0</c:formatCode>
                <c:ptCount val="15"/>
                <c:pt idx="0">
                  <c:v>311.295</c:v>
                </c:pt>
                <c:pt idx="1">
                  <c:v>368.234</c:v>
                </c:pt>
                <c:pt idx="2">
                  <c:v>429.378</c:v>
                </c:pt>
                <c:pt idx="3">
                  <c:v>505.603</c:v>
                </c:pt>
                <c:pt idx="4">
                  <c:v>598.502</c:v>
                </c:pt>
                <c:pt idx="5">
                  <c:v>679</c:v>
                </c:pt>
                <c:pt idx="6">
                  <c:v>774</c:v>
                </c:pt>
                <c:pt idx="7">
                  <c:v>875</c:v>
                </c:pt>
                <c:pt idx="8">
                  <c:v>984</c:v>
                </c:pt>
                <c:pt idx="9">
                  <c:v>1103</c:v>
                </c:pt>
                <c:pt idx="10">
                  <c:v>1213</c:v>
                </c:pt>
                <c:pt idx="11">
                  <c:v>1310</c:v>
                </c:pt>
                <c:pt idx="12">
                  <c:v>1388</c:v>
                </c:pt>
                <c:pt idx="13">
                  <c:v>1458</c:v>
                </c:pt>
                <c:pt idx="14">
                  <c:v>1516</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FY2021</c:v>
                </c:pt>
                <c:pt idx="1">
                  <c:v>FY2022</c:v>
                </c:pt>
                <c:pt idx="2">
                  <c:v>FY2023</c:v>
                </c:pt>
                <c:pt idx="3">
                  <c:v>FY2024</c:v>
                </c:pt>
                <c:pt idx="4">
                  <c:v>FY2025</c:v>
                </c:pt>
                <c:pt idx="5">
                  <c:v>FY2026e</c:v>
                </c:pt>
                <c:pt idx="6">
                  <c:v>FY2027e</c:v>
                </c:pt>
                <c:pt idx="7">
                  <c:v>FY2028e</c:v>
                </c:pt>
                <c:pt idx="8">
                  <c:v>FY2029e</c:v>
                </c:pt>
                <c:pt idx="9">
                  <c:v>FY2030e</c:v>
                </c:pt>
                <c:pt idx="10">
                  <c:v>FY2031e</c:v>
                </c:pt>
                <c:pt idx="11">
                  <c:v>FY2032e</c:v>
                </c:pt>
                <c:pt idx="12">
                  <c:v>FY2033e</c:v>
                </c:pt>
                <c:pt idx="13">
                  <c:v>FY2034e</c:v>
                </c:pt>
                <c:pt idx="14">
                  <c:v>FY2035e</c:v>
                </c:pt>
              </c:strCache>
            </c:strRef>
          </c:cat>
          <c:val>
            <c:numRef>
              <c:f>Hoja1!$C$2:$C$16</c:f>
              <c:numCache>
                <c:formatCode>#,##0</c:formatCode>
                <c:ptCount val="15"/>
                <c:pt idx="0">
                  <c:v>124.451</c:v>
                </c:pt>
                <c:pt idx="1">
                  <c:v>151.117</c:v>
                </c:pt>
                <c:pt idx="2">
                  <c:v>173.494</c:v>
                </c:pt>
                <c:pt idx="3">
                  <c:v>214.468</c:v>
                </c:pt>
                <c:pt idx="4">
                  <c:v>254.328</c:v>
                </c:pt>
                <c:pt idx="5">
                  <c:v>302</c:v>
                </c:pt>
                <c:pt idx="6">
                  <c:v>352</c:v>
                </c:pt>
                <c:pt idx="7">
                  <c:v>407</c:v>
                </c:pt>
                <c:pt idx="8">
                  <c:v>468</c:v>
                </c:pt>
                <c:pt idx="9">
                  <c:v>529</c:v>
                </c:pt>
                <c:pt idx="10">
                  <c:v>588</c:v>
                </c:pt>
                <c:pt idx="11">
                  <c:v>635</c:v>
                </c:pt>
                <c:pt idx="12">
                  <c:v>673</c:v>
                </c:pt>
                <c:pt idx="13">
                  <c:v>707</c:v>
                </c:pt>
                <c:pt idx="14">
                  <c:v>735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Hoja1!$B$2:$B$6</c:f>
              <c:numCache>
                <c:formatCode>0"%"</c:formatCode>
                <c:ptCount val="5"/>
                <c:pt idx="0">
                  <c:v>86.7</c:v>
                </c:pt>
                <c:pt idx="1">
                  <c:v>87.2</c:v>
                </c:pt>
                <c:pt idx="2">
                  <c:v>87</c:v>
                </c:pt>
                <c:pt idx="3">
                  <c:v>87.9</c:v>
                </c:pt>
                <c:pt idx="4">
                  <c:v>86.3</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Hoja1!$C$2:$C$6</c:f>
              <c:numCache>
                <c:formatCode>0"%"</c:formatCode>
                <c:ptCount val="5"/>
                <c:pt idx="0">
                  <c:v>40</c:v>
                </c:pt>
                <c:pt idx="1">
                  <c:v>41</c:v>
                </c:pt>
                <c:pt idx="2">
                  <c:v>40.4</c:v>
                </c:pt>
                <c:pt idx="3">
                  <c:v>42.4</c:v>
                </c:pt>
                <c:pt idx="4">
                  <c:v>42.5</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Hoja1!$D$2:$D$6</c:f>
              <c:numCache>
                <c:formatCode>0"%"</c:formatCode>
                <c:ptCount val="5"/>
                <c:pt idx="0">
                  <c:v>31.7</c:v>
                </c:pt>
                <c:pt idx="1">
                  <c:v>30.7</c:v>
                </c:pt>
                <c:pt idx="2">
                  <c:v>27.9</c:v>
                </c:pt>
                <c:pt idx="3">
                  <c:v>28.8</c:v>
                </c:pt>
                <c:pt idx="4">
                  <c:v>29</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Hoja1!$E$2:$E$6</c:f>
              <c:numCache>
                <c:formatCode>0"%"</c:formatCode>
                <c:ptCount val="5"/>
                <c:pt idx="0">
                  <c:v>23.4</c:v>
                </c:pt>
                <c:pt idx="1">
                  <c:v>24.1</c:v>
                </c:pt>
                <c:pt idx="2">
                  <c:v>24</c:v>
                </c:pt>
                <c:pt idx="3">
                  <c:v>23.3</c:v>
                </c:pt>
                <c:pt idx="4">
                  <c:v>23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Hoja1!$A$2:$A$6</c:f>
              <c:strCache>
                <c:ptCount val="5"/>
                <c:pt idx="0">
                  <c:v>1S24</c:v>
                </c:pt>
                <c:pt idx="1">
                  <c:v>2S24</c:v>
                </c:pt>
                <c:pt idx="2">
                  <c:v>1S25</c:v>
                </c:pt>
                <c:pt idx="3">
                  <c:v>2S25</c:v>
                </c:pt>
                <c:pt idx="4">
                  <c:v>1S26</c:v>
                </c:pt>
              </c:strCache>
            </c:strRef>
          </c:cat>
          <c:val>
            <c:numRef>
              <c:f>Hoja1!$B$2:$B$6</c:f>
              <c:numCache>
                <c:formatCode>0.0"%"</c:formatCode>
                <c:ptCount val="5"/>
                <c:pt idx="2">
                  <c:v>18.8</c:v>
                </c:pt>
                <c:pt idx="3">
                  <c:v>18</c:v>
                </c:pt>
                <c:pt idx="4">
                  <c:v>11.5</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Hoja1!$A$2:$A$6</c:f>
              <c:strCache>
                <c:ptCount val="5"/>
                <c:pt idx="0">
                  <c:v>1S24</c:v>
                </c:pt>
                <c:pt idx="1">
                  <c:v>2S24</c:v>
                </c:pt>
                <c:pt idx="2">
                  <c:v>1S25</c:v>
                </c:pt>
                <c:pt idx="3">
                  <c:v>2S25</c:v>
                </c:pt>
                <c:pt idx="4">
                  <c:v>1S26</c:v>
                </c:pt>
              </c:strCache>
            </c:strRef>
          </c:cat>
          <c:val>
            <c:numRef>
              <c:f>Hoja1!$C$2:$C$6</c:f>
              <c:numCache>
                <c:formatCode>0.0"%"</c:formatCode>
                <c:ptCount val="5"/>
                <c:pt idx="2">
                  <c:v>16.7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Hoja1!$B$2:$B$6</c:f>
              <c:numCache>
                <c:formatCode>0</c:formatCode>
                <c:ptCount val="5"/>
                <c:pt idx="0">
                  <c:v>60</c:v>
                </c:pt>
                <c:pt idx="1">
                  <c:v>57</c:v>
                </c:pt>
                <c:pt idx="2">
                  <c:v>53</c:v>
                </c:pt>
                <c:pt idx="3">
                  <c:v>49</c:v>
                </c:pt>
                <c:pt idx="4">
                  <c:v>37</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Hoja1!$C$2:$C$6</c:f>
              <c:numCache>
                <c:formatCode>0</c:formatCode>
                <c:ptCount val="5"/>
                <c:pt idx="0">
                  <c:v>0</c:v>
                </c:pt>
                <c:pt idx="1">
                  <c:v>0</c:v>
                </c:pt>
                <c:pt idx="2">
                  <c:v>0</c:v>
                </c:pt>
                <c:pt idx="3">
                  <c:v>0</c:v>
                </c:pt>
                <c:pt idx="4">
                  <c:v>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Hoja1!$D$2:$D$6</c:f>
              <c:numCache>
                <c:formatCode>0</c:formatCode>
                <c:ptCount val="5"/>
                <c:pt idx="0">
                  <c:v>357</c:v>
                </c:pt>
                <c:pt idx="1">
                  <c:v>377</c:v>
                </c:pt>
                <c:pt idx="2">
                  <c:v>322</c:v>
                </c:pt>
                <c:pt idx="3">
                  <c:v>198</c:v>
                </c:pt>
                <c:pt idx="4">
                  <c:v>182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(AUD,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FY2021</c:v>
                </c:pt>
                <c:pt idx="1">
                  <c:v>FY2022</c:v>
                </c:pt>
                <c:pt idx="2">
                  <c:v>FY2023</c:v>
                </c:pt>
                <c:pt idx="3">
                  <c:v>FY2024</c:v>
                </c:pt>
                <c:pt idx="4">
                  <c:v>FY2025</c:v>
                </c:pt>
              </c:strCache>
            </c:strRef>
          </c:cat>
          <c:val>
            <c:numRef>
              <c:f>Hoja1!$B$2:$B$6</c:f>
              <c:numCache>
                <c:formatCode>#,##0</c:formatCode>
                <c:ptCount val="5"/>
                <c:pt idx="0">
                  <c:v>61.102999999999994</c:v>
                </c:pt>
                <c:pt idx="1">
                  <c:v>71.78399999999999</c:v>
                </c:pt>
                <c:pt idx="2">
                  <c:v>95.77599999999998</c:v>
                </c:pt>
                <c:pt idx="3">
                  <c:v>112.41700000000002</c:v>
                </c:pt>
                <c:pt idx="4">
                  <c:v>180.994</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FY2021</c:v>
                </c:pt>
                <c:pt idx="1">
                  <c:v>FY2022</c:v>
                </c:pt>
                <c:pt idx="2">
                  <c:v>FY2023</c:v>
                </c:pt>
                <c:pt idx="3">
                  <c:v>FY2024</c:v>
                </c:pt>
                <c:pt idx="4">
                  <c:v>FY2025</c:v>
                </c:pt>
              </c:strCache>
            </c:strRef>
          </c:cat>
          <c:val>
            <c:numRef>
              <c:f>Hoja1!$C$2:$C$6</c:f>
              <c:numCache>
                <c:formatCode>#,##0</c:formatCode>
                <c:ptCount val="5"/>
                <c:pt idx="0">
                  <c:v>72.691</c:v>
                </c:pt>
                <c:pt idx="1">
                  <c:v>88.843</c:v>
                </c:pt>
                <c:pt idx="2">
                  <c:v>102.876</c:v>
                </c:pt>
                <c:pt idx="3">
                  <c:v>118.014</c:v>
                </c:pt>
                <c:pt idx="4">
                  <c:v>137.645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Hoja1!$B$2:$B$6</c:f>
              <c:numCache>
                <c:formatCode>0"%"</c:formatCode>
                <c:ptCount val="5"/>
                <c:pt idx="0">
                  <c:v>92.3</c:v>
                </c:pt>
                <c:pt idx="1">
                  <c:v>100.5</c:v>
                </c:pt>
                <c:pt idx="2">
                  <c:v>88.7</c:v>
                </c:pt>
                <c:pt idx="3">
                  <c:v>81.5</c:v>
                </c:pt>
                <c:pt idx="4">
                  <c:v>76.3</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Hoja1!$C$2:$C$6</c:f>
              <c:numCache>
                <c:formatCode>0"%"</c:formatCode>
                <c:ptCount val="5"/>
                <c:pt idx="0">
                  <c:v>11.1</c:v>
                </c:pt>
                <c:pt idx="1">
                  <c:v>11.1</c:v>
                </c:pt>
                <c:pt idx="2">
                  <c:v>11.1</c:v>
                </c:pt>
                <c:pt idx="3">
                  <c:v>11.1</c:v>
                </c:pt>
                <c:pt idx="4">
                  <c:v>11.1</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Hoja1!$D$2:$D$6</c:f>
              <c:numCache>
                <c:formatCode>0"%"</c:formatCode>
                <c:ptCount val="5"/>
                <c:pt idx="0">
                  <c:v>38.2</c:v>
                </c:pt>
                <c:pt idx="1">
                  <c:v>41.4</c:v>
                </c:pt>
                <c:pt idx="2">
                  <c:v>37.7</c:v>
                </c:pt>
                <c:pt idx="3">
                  <c:v>34.4</c:v>
                </c:pt>
                <c:pt idx="4">
                  <c:v>33.2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FY2021</c:v>
                </c:pt>
                <c:pt idx="1">
                  <c:v>FY2022</c:v>
                </c:pt>
                <c:pt idx="2">
                  <c:v>FY2023</c:v>
                </c:pt>
                <c:pt idx="3">
                  <c:v>FY2024</c:v>
                </c:pt>
                <c:pt idx="4">
                  <c:v>FY2025</c:v>
                </c:pt>
              </c:strCache>
            </c:strRef>
          </c:cat>
          <c:val>
            <c:numRef>
              <c:f>Hoja1!$B$2:$B$6</c:f>
              <c:numCache>
                <c:formatCode>0.0"x"</c:formatCode>
                <c:ptCount val="5"/>
                <c:pt idx="0">
                  <c:v>-0.89</c:v>
                </c:pt>
                <c:pt idx="1">
                  <c:v>-0.93</c:v>
                </c:pt>
                <c:pt idx="2">
                  <c:v>-1.1</c:v>
                </c:pt>
                <c:pt idx="3">
                  <c:v>-1.02</c:v>
                </c:pt>
                <c:pt idx="4">
                  <c:v>-1.05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(AUD,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FY2021</c:v>
                </c:pt>
                <c:pt idx="1">
                  <c:v>FY2022</c:v>
                </c:pt>
                <c:pt idx="2">
                  <c:v>FY2023</c:v>
                </c:pt>
                <c:pt idx="3">
                  <c:v>FY2024</c:v>
                </c:pt>
                <c:pt idx="4">
                  <c:v>FY2025</c:v>
                </c:pt>
              </c:strCache>
            </c:strRef>
          </c:cat>
          <c:val>
            <c:numRef>
              <c:f>Hoja1!$B$2:$B$6</c:f>
              <c:numCache>
                <c:formatCode>#,##0</c:formatCode>
                <c:ptCount val="5"/>
                <c:pt idx="0">
                  <c:v>10.228</c:v>
                </c:pt>
                <c:pt idx="1">
                  <c:v>0</c:v>
                </c:pt>
                <c:pt idx="2">
                  <c:v>0</c:v>
                </c:pt>
                <c:pt idx="3">
                  <c:v>0</c:v>
                </c:pt>
                <c:pt idx="4">
                  <c:v>43.748</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FY2021</c:v>
                </c:pt>
                <c:pt idx="1">
                  <c:v>FY2022</c:v>
                </c:pt>
                <c:pt idx="2">
                  <c:v>FY2023</c:v>
                </c:pt>
                <c:pt idx="3">
                  <c:v>FY2024</c:v>
                </c:pt>
                <c:pt idx="4">
                  <c:v>FY2025</c:v>
                </c:pt>
              </c:strCache>
            </c:strRef>
          </c:cat>
          <c:val>
            <c:numRef>
              <c:f>Hoja1!$C$2:$C$6</c:f>
              <c:numCache>
                <c:formatCode>#,##0</c:formatCode>
                <c:ptCount val="5"/>
                <c:pt idx="0">
                  <c:v>42.504</c:v>
                </c:pt>
                <c:pt idx="1">
                  <c:v>46.127</c:v>
                </c:pt>
                <c:pt idx="2">
                  <c:v>56.605</c:v>
                </c:pt>
                <c:pt idx="3">
                  <c:v>64.846</c:v>
                </c:pt>
                <c:pt idx="4">
                  <c:v>78.413</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FY2021</c:v>
                </c:pt>
                <c:pt idx="1">
                  <c:v>FY2022</c:v>
                </c:pt>
                <c:pt idx="2">
                  <c:v>FY2023</c:v>
                </c:pt>
                <c:pt idx="3">
                  <c:v>FY2024</c:v>
                </c:pt>
                <c:pt idx="4">
                  <c:v>FY2025</c:v>
                </c:pt>
              </c:strCache>
            </c:strRef>
          </c:cat>
          <c:val>
            <c:numRef>
              <c:f>Hoja1!$D$2:$D$6</c:f>
              <c:numCache>
                <c:formatCode>#,##0</c:formatCode>
                <c:ptCount val="5"/>
                <c:pt idx="0">
                  <c:v>0</c:v>
                </c:pt>
                <c:pt idx="1">
                  <c:v>0</c:v>
                </c:pt>
                <c:pt idx="2">
                  <c:v>0</c:v>
                </c:pt>
                <c:pt idx="3">
                  <c:v>0</c:v>
                </c:pt>
                <c:pt idx="4">
                  <c:v>30.379</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Ejecutivo</c:v>
                </c:pt>
              </c:strCache>
            </c:strRef>
          </c:cat>
          <c:val>
            <c:numRef>
              <c:f>Hoja1!$B$2:$B$3</c:f>
              <c:numCache>
                <c:formatCode>0</c:formatCode>
                <c:ptCount val="2"/>
                <c:pt idx="0">
                  <c:v>7</c:v>
                </c:pt>
                <c:pt idx="1">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JL Mactaggart Holdings (John Mactaggart, cofundador)</c:v>
                </c:pt>
                <c:pt idx="1">
                  <c:v>State Street</c:v>
                </c:pt>
                <c:pt idx="2">
                  <c:v>Vanguard</c:v>
                </c:pt>
                <c:pt idx="3">
                  <c:v>AustralianSuper</c:v>
                </c:pt>
                <c:pt idx="4">
                  <c:v>Fideicomiso de empleados (autocartera)</c:v>
                </c:pt>
              </c:strCache>
            </c:strRef>
          </c:cat>
          <c:val>
            <c:numRef>
              <c:f>Hoja1!$B$2:$B$6</c:f>
              <c:numCache>
                <c:formatCode>0.0"%"</c:formatCode>
                <c:ptCount val="5"/>
                <c:pt idx="0">
                  <c:v>6</c:v>
                </c:pt>
                <c:pt idx="1">
                  <c:v>6.03</c:v>
                </c:pt>
                <c:pt idx="2">
                  <c:v>6</c:v>
                </c:pt>
                <c:pt idx="3">
                  <c:v>5.19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13.9</c:v>
                </c:pt>
                <c:pt idx="1">
                  <c:v>-12.2</c:v>
                </c:pt>
                <c:pt idx="2">
                  <c:v>24.2</c:v>
                </c:pt>
                <c:pt idx="3">
                  <c:v>34.6</c:v>
                </c:pt>
                <c:pt idx="4">
                  <c:v>-1.1</c:v>
                </c:pt>
                <c:pt idx="5">
                  <c:v>56.2</c:v>
                </c:pt>
                <c:pt idx="6">
                  <c:v>2.6</c:v>
                </c:pt>
                <c:pt idx="7">
                  <c:v>17</c:v>
                </c:pt>
                <c:pt idx="8">
                  <c:v>103.7</c:v>
                </c:pt>
                <c:pt idx="9">
                  <c:v>-10.7</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7.1</c:v>
                </c:pt>
                <c:pt idx="1">
                  <c:v>6.9</c:v>
                </c:pt>
                <c:pt idx="2">
                  <c:v>-7</c:v>
                </c:pt>
                <c:pt idx="3">
                  <c:v>17.5</c:v>
                </c:pt>
                <c:pt idx="4">
                  <c:v>-0.8</c:v>
                </c:pt>
                <c:pt idx="5">
                  <c:v>12.3</c:v>
                </c:pt>
                <c:pt idx="6">
                  <c:v>-7.8</c:v>
                </c:pt>
                <c:pt idx="7">
                  <c:v>7.3</c:v>
                </c:pt>
                <c:pt idx="8">
                  <c:v>7.5</c:v>
                </c:pt>
                <c:pt idx="9">
                  <c:v>6.4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Hoja1!$B$2:$B$6</c:f>
              <c:numCache>
                <c:formatCode>0.0"x"</c:formatCode>
                <c:ptCount val="5"/>
                <c:pt idx="0">
                  <c:v>28.6</c:v>
                </c:pt>
                <c:pt idx="1">
                  <c:v>21.8</c:v>
                </c:pt>
                <c:pt idx="2">
                  <c:v>28.1</c:v>
                </c:pt>
                <c:pt idx="3">
                  <c:v>35.4</c:v>
                </c:pt>
                <c:pt idx="4">
                  <c:v>48.8</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Hoja1!$C$2:$C$6</c:f>
              <c:numCache>
                <c:formatCode>0.0"x"</c:formatCode>
                <c:ptCount val="5"/>
                <c:pt idx="0">
                  <c:v>28.6</c:v>
                </c:pt>
                <c:pt idx="1">
                  <c:v>28.6</c:v>
                </c:pt>
                <c:pt idx="2">
                  <c:v>28.6</c:v>
                </c:pt>
                <c:pt idx="3">
                  <c:v>28.6</c:v>
                </c:pt>
                <c:pt idx="4">
                  <c:v>28.6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(AUD,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FY2026e</c:v>
                </c:pt>
                <c:pt idx="1">
                  <c:v>FY2027e</c:v>
                </c:pt>
                <c:pt idx="2">
                  <c:v>FY2028e</c:v>
                </c:pt>
                <c:pt idx="3">
                  <c:v>FY2029e</c:v>
                </c:pt>
                <c:pt idx="4">
                  <c:v>FY2030e</c:v>
                </c:pt>
                <c:pt idx="5">
                  <c:v>FY2031e</c:v>
                </c:pt>
                <c:pt idx="6">
                  <c:v>FY2032e</c:v>
                </c:pt>
                <c:pt idx="7">
                  <c:v>FY2033e</c:v>
                </c:pt>
                <c:pt idx="8">
                  <c:v>FY2034e</c:v>
                </c:pt>
                <c:pt idx="9">
                  <c:v>FY2035e</c:v>
                </c:pt>
              </c:strCache>
            </c:strRef>
          </c:cat>
          <c:val>
            <c:numRef>
              <c:f>Hoja1!$B$2:$B$11</c:f>
              <c:numCache>
                <c:formatCode>#,##0</c:formatCode>
                <c:ptCount val="10"/>
                <c:pt idx="0">
                  <c:v>153</c:v>
                </c:pt>
                <c:pt idx="1">
                  <c:v>187</c:v>
                </c:pt>
                <c:pt idx="2">
                  <c:v>219</c:v>
                </c:pt>
                <c:pt idx="3">
                  <c:v>255</c:v>
                </c:pt>
                <c:pt idx="4">
                  <c:v>291</c:v>
                </c:pt>
                <c:pt idx="5">
                  <c:v>319</c:v>
                </c:pt>
                <c:pt idx="6">
                  <c:v>336</c:v>
                </c:pt>
                <c:pt idx="7">
                  <c:v>349</c:v>
                </c:pt>
                <c:pt idx="8">
                  <c:v>363</c:v>
                </c:pt>
                <c:pt idx="9">
                  <c:v>371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(AUD,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1643</c:v>
                </c:pt>
                <c:pt idx="1">
                  <c:v>1856</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(AUD) · precio actual 31,30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7.2</c:v>
                </c:pt>
                <c:pt idx="1">
                  <c:v>11.29</c:v>
                </c:pt>
                <c:pt idx="2">
                  <c:v>13.65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(AUD) · precio actual 31,30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(20,14 – 39,99)</c:v>
                </c:pt>
                <c:pt idx="1">
                  <c:v>Precio objetivo de los analistas (22,00 – 36,56)</c:v>
                </c:pt>
                <c:pt idx="2">
                  <c:v>Comparables: PER NTM (11,50 – 14,97)</c:v>
                </c:pt>
                <c:pt idx="3">
                  <c:v>DCF (WACC y g ± 0,5) (10,36 – 12,49)</c:v>
                </c:pt>
                <c:pt idx="4">
                  <c:v>Escenarios (bajista – alcista) (7,20 – 13,65)</c:v>
                </c:pt>
                <c:pt idx="5">
                  <c:v>DCF con la prima implícita del mercado (4,2 %)</c:v>
                </c:pt>
                <c:pt idx="6">
                  <c:v>Precio actual (31,30)</c:v>
                </c:pt>
              </c:strCache>
            </c:strRef>
          </c:cat>
          <c:val>
            <c:numRef>
              <c:f>Hoja1!$B$2:$B$8</c:f>
              <c:numCache>
                <c:formatCode>#,##0.0</c:formatCode>
                <c:ptCount val="7"/>
                <c:pt idx="0">
                  <c:v>20.14</c:v>
                </c:pt>
                <c:pt idx="1">
                  <c:v>22</c:v>
                </c:pt>
                <c:pt idx="2">
                  <c:v>11.5</c:v>
                </c:pt>
                <c:pt idx="3">
                  <c:v>10.36</c:v>
                </c:pt>
                <c:pt idx="4">
                  <c:v>7.2</c:v>
                </c:pt>
                <c:pt idx="5">
                  <c:v>11.89</c:v>
                </c:pt>
                <c:pt idx="6">
                  <c:v>31.14</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(20,14 – 39,99)</c:v>
                </c:pt>
                <c:pt idx="1">
                  <c:v>Precio objetivo de los analistas (22,00 – 36,56)</c:v>
                </c:pt>
                <c:pt idx="2">
                  <c:v>Comparables: PER NTM (11,50 – 14,97)</c:v>
                </c:pt>
                <c:pt idx="3">
                  <c:v>DCF (WACC y g ± 0,5) (10,36 – 12,49)</c:v>
                </c:pt>
                <c:pt idx="4">
                  <c:v>Escenarios (bajista – alcista) (7,20 – 13,65)</c:v>
                </c:pt>
                <c:pt idx="5">
                  <c:v>DCF con la prima implícita del mercado (4,2 %)</c:v>
                </c:pt>
                <c:pt idx="6">
                  <c:v>Precio actual (31,30)</c:v>
                </c:pt>
              </c:strCache>
            </c:strRef>
          </c:cat>
          <c:val>
            <c:numRef>
              <c:f>Hoja1!$C$2:$C$8</c:f>
              <c:numCache>
                <c:formatCode>#,##0.0</c:formatCode>
                <c:ptCount val="7"/>
                <c:pt idx="0">
                  <c:v>19.85</c:v>
                </c:pt>
                <c:pt idx="1">
                  <c:v>14.560000000000002</c:v>
                </c:pt>
                <c:pt idx="2">
                  <c:v>3.4700000000000006</c:v>
                </c:pt>
                <c:pt idx="3">
                  <c:v>2.130000000000001</c:v>
                </c:pt>
                <c:pt idx="4">
                  <c:v>6.45</c:v>
                </c:pt>
                <c:pt idx="5">
                  <c:v>1.7299999999999986</c:v>
                </c:pt>
                <c:pt idx="6">
                  <c:v>0.3200000000000003</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