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Rightmove plc</w:t>
      </w:r>
    </w:p>
    <w:p>
      <w:pPr>
        <w:spacing w:after="60"/>
        <w:rPr>
          <w:color w:val="52514E"/>
          <w:sz w:val="22"/>
          <w:szCs w:val="22"/>
        </w:rPr>
      </w:pPr>
      <w:r>
        <w:rPr>
          <w:color w:val="52514E"/>
          <w:sz w:val="22"/>
          <w:szCs w:val="22"/>
        </w:rPr>
        <w:t xml:space="preserve">RMV · London Stock Exchange (Main Market) · ISIN GB00BGDT3G23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4,89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5,53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+15,2 % (base +13,1 %)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5,21 GBP · mercado 5,96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3.581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Rightmove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RMV / GB00BGDT3G23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Milton Keynes (Reino Unido) · 2000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plc.rightmove.co.uk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3.581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3.562 M GBP</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5,53 GBP</w:t>
      </w:r>
      <w:r>
        <w:t xml:space="preserve"> frente a 4,89 · Rentabilidad a 12 meses </w:t>
      </w:r>
      <w:r>
        <w:rPr>
          <w:b/>
          <w:bCs/>
        </w:rPr>
        <w:t xml:space="preserve">+15,2 % (base +13,1 %)</w:t>
      </w:r>
      <w:r>
        <w:t xml:space="preserve"> · Valor intrínseco 5,21 GBP · con la prima implícita del mercado: 5,96 (+21,9 %) · Alcista / bajista +26,2 % / -25,1 %</w:t>
      </w:r>
    </w:p>
    <w:p>
      <w:pPr>
        <w:spacing w:after="100"/>
      </w:pPr>
      <w:r>
        <w:rPr>
          <w:b/>
        </w:rPr>
        <w:t xml:space="preserve">La recomendación y por qué.</w:t>
      </w:r>
      <w:r>
        <w:t xml:space="preserve"> Comprar, con convicción baja. El objetivo a 12 meses es de 5,53 GBP (nuestro BPA de 2028 por el PER de la regla común) y la rentabilidad a 12 meses es del 15,2 % ponderada y del 13,1 % en el caso base, con dividendo; el valor intrínseco es de 5,21 GBP, un 6,6 % sobre el precio de 4,889. El objetivo medio de los analistas, 5,95, queda dentro de nuestro rango (3,88-7,38). La razón en una frase: el precio, el más bajo en múltiplos de la década, descuenta que el portal dominante del Reino Unido pierde el poder de precios, y las recompras ya anunciadas (≈11 % del capital en 12 meses) suben el beneficio por acción aunque eso no pase. La convicción es baja porque la ponderada está a 0,2 puntos del umbral del 15 %, la asimetría es de 1,04 veces y la regla del valor intrínseco solo da Comprar con la prima del mercado; subiría a media si el tribunal rechaza certificar la demanda colectiva tras la vista del 2-3 de noviembre de 2026.</w:t>
      </w:r>
    </w:p>
    <w:p>
      <w:pPr>
        <w:spacing w:after="100"/>
      </w:pPr>
      <w:r>
        <w:rPr>
          <w:b/>
        </w:rPr>
        <w:t xml:space="preserve">El negocio.</w:t>
      </w:r>
      <w:r>
        <w:t xml:space="preserve"> Rightmove tiene el 89 % del tiempo en portales inmobiliarios británicos (Comscore) y más del 85 % de su tráfico es directo u orgánico [2]. Cobra una suscripción mensual a 19.272 clientes con un ARPA de 1.621 GBP que sube un 6-8 % al año [1, 3]. El margen EBITDA es del 68,5 % y el ROIC del 545 %, frente a un WACC del 10,05 %. La calidad de la empresa sostiene el crecimiento proyectado (veredicto: Sí): el 5,4 % anual del caso base sale solo del precio, sin capital, y es menor que el 6,6 % de 2019-2025.</w:t>
      </w:r>
    </w:p>
    <w:p>
      <w:pPr>
        <w:spacing w:after="100"/>
      </w:pPr>
      <w:r>
        <w:rPr>
          <w:b/>
        </w:rPr>
        <w:t xml:space="preserve">Finanzas.</w:t>
      </w:r>
      <w:r>
        <w:t xml:space="preserve"> Ingresos de 425,1 M en 2025 (+9 %), caja libre de ≈226 M y ninguna deuda [1, 10]. 2026 es año de inversión: ingresos +6-8 % (guía rebajada en julio por la obra nueva) y beneficio subyacente +3-5 % [3]. La línea de 200 M financiará recompras por encima de la caja libre [3].</w:t>
      </w:r>
    </w:p>
    <w:p>
      <w:pPr>
        <w:spacing w:after="100"/>
      </w:pPr>
      <w:r>
        <w:rPr>
          <w:b/>
        </w:rPr>
        <w:t xml:space="preserve">Valoración.</w:t>
      </w:r>
      <w:r>
        <w:t xml:space="preserve"> El DCF da 5,50 GBP (+12,5 %) y la síntesis 5,21; con la prima del mercado, 5,96. El DCF inverso dice que el precio descuenta un crecimiento del 3,4 % anual frente al 5,2 % de nuestro base, o un margen del 63,3 % frente al 71 %. Cotiza a 16,9 veces el beneficio frente a una media de 24,9 en 2019-2025 y por debajo de su mínimo (18,5), y a 11,8 veces el EBITDA, con poca prima sobre comparables peores. El objetivo a 12 meses supera al valor intrínseco porque el BPA de 2028 crece un 36 %, la mitad por recompras anunciadas.</w:t>
      </w:r>
    </w:p>
    <w:p>
      <w:pPr>
        <w:spacing w:after="100"/>
      </w:pPr>
      <w:r>
        <w:rPr>
          <w:b/>
        </w:rPr>
        <w:t xml:space="preserve">Riesgos y catalizadores.</w:t>
      </w:r>
      <w:r>
        <w:t xml:space="preserve"> El mayor riesgo es la demanda colectiva de ≈1.500 M por tarifas excesivas: si limita las subidas, el bajista vale 3,66 GBP (−25,1 %) [33]. Después, CoStar con OnTheMarket y la búsqueda con IA, que hoy trae menos del 0,5 % de las visitas [2, 19]. Los foros están divididos: los inversores ven exagerado el miedo a la IA y aplauden las recompras, mientras los agentes inmobiliarios son hostiles a los precios; esa hostilidad es la base del litigio [60].</w:t>
      </w:r>
    </w:p>
    <w:p>
      <w:pPr>
        <w:spacing w:after="100"/>
      </w:pPr>
      <w:r>
        <w:rPr>
          <w:b/>
        </w:rPr>
        <w:t xml:space="preserve">Qué cambiaría la decisión.</w:t>
      </w:r>
      <w:r>
        <w:t xml:space="preserve"> Compraríamos con más convicción por debajo de 4,90 GBP y venderíamos por encima de 6,26. Pasaríamos a Mantener si el tribunal certifica la demanda y la guía de 2027 no supera un +5 % de ingresos, o si el ARPA crece menos de un 4 % en un semestre.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5,53 GBP</w:t>
      </w:r>
      <w:r>
        <w:t xml:space="preserve"> (rentabilidad +15,2 % (base +13,1 %)) · Valor intrínseco: 5,21 GBP (+6,6 % sobre 4,89) · con la prima implícita del mercado: 5,96 (+21,9 %)</w:t>
      </w:r>
    </w:p>
    <w:p>
      <w:pPr>
        <w:spacing w:after="100"/>
      </w:pPr>
      <w:r>
        <w:t xml:space="preserve">Rightmove es el portal inmobiliario dominante del Reino Unido: 89 % del tiempo en portales, 19.272 agencias y promotores que pagan una suscripción mensual y un margen EBITDA del 68,5 % sin necesidad de capital [1, 2]. Ha crecido un 6,6 % anual en 2019-2025 subiendo el ARPA y devuelve toda la caja.</w:t>
      </w:r>
    </w:p>
    <w:p>
      <w:pPr>
        <w:spacing w:after="100"/>
      </w:pPr>
      <w:r>
        <w:t xml:space="preserve">El precio, 4,889 GBP, descuenta un crecimiento del 3,4 % anual o un margen del 63,3 % para siempre, y la acción cotiza a 16,9 veces el beneficio, por debajo de su mínimo de la década. El mercado castiga tres cosas: la guía de beneficio de 2026 (+3-5 %) por el plan de IA, la demanda colectiva de ≈1.500 M y el miedo a que la búsqueda con IA sustituya al portal [16, 33].</w:t>
      </w:r>
    </w:p>
    <w:p>
      <w:pPr>
        <w:spacing w:after="100"/>
      </w:pPr>
      <w:r>
        <w:t xml:space="preserve">Para invertir hay que creer que el poder de precios aguanta: que el tribunal no certifica la demanda o que, si lo hace, no limita las subidas, y que la IA es una herramienta del portal y no su sustituto. Con eso, las recompras (≈11 % del capital en 12 meses) y un ARPA +6-7 % llevan el BPA de 2028 a 0,38 GBP [3].</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 × 0,32 = 3,88 · 14,2x × 0,38 = 5,42 · 18,5x × 0,40 = 7,38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 / 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 (nuestro base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 / -25,1 %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4,90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4,90 y 6,26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6,26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tribunal certifica la demanda colectiva en noviembre de 2026 y la empresa congela tarifas, pasaríamos a Mantener.</w:t>
      </w:r>
    </w:p>
    <w:p>
      <w:pPr>
        <w:pStyle w:val="ListParagraph"/>
        <w:numPr>
          <w:ilvl w:val="0"/>
          <w:numId w:val="2"/>
        </w:numPr>
        <w:spacing w:after="60"/>
      </w:pPr>
      <w:r>
        <w:t xml:space="preserve">Si el ARPA crece menos de un 4 % interanual en un semestre, pasaríamos a Mantener.</w:t>
      </w:r>
    </w:p>
    <w:p>
      <w:pPr>
        <w:pStyle w:val="ListParagraph"/>
        <w:numPr>
          <w:ilvl w:val="0"/>
          <w:numId w:val="2"/>
        </w:numPr>
        <w:spacing w:after="60"/>
      </w:pPr>
      <w:r>
        <w:t xml:space="preserve">Si la cuota de tiempo en portales (Comscore) baja del 85 %, revisaríamos el foso.</w:t>
      </w:r>
    </w:p>
    <w:p>
      <w:pPr>
        <w:pStyle w:val="ListParagraph"/>
        <w:numPr>
          <w:ilvl w:val="0"/>
          <w:numId w:val="2"/>
        </w:numPr>
        <w:spacing w:after="60"/>
      </w:pPr>
      <w:r>
        <w:t xml:space="preserve">Por encima de 6,26 GBP, Vender; por debajo de 4,90, la compra gana margen.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se frena al 3,4 % anual o que el margen cae al 63 % por la competencia, la IA y el litigio.</w:t>
      </w:r>
    </w:p>
    <w:p>
      <w:pPr>
        <w:keepNext/>
        <w:spacing w:after="100"/>
      </w:pPr>
      <w:r>
        <w:rPr>
          <w:b/>
          <w:bCs/>
        </w:rPr>
        <w:t xml:space="preserve">Lo que creemos nosotros.</w:t>
      </w:r>
    </w:p>
    <w:p>
      <w:pPr>
        <w:spacing w:after="100"/>
      </w:pPr>
      <w:r>
        <w:t xml:space="preserve">El ARPA seguirá creciendo un 5-7 % mientras la cuota de tiempo esté por encima del 85 %; la inversión en IA es temporal y el margen vuelve al 71 %.</w:t>
      </w:r>
    </w:p>
    <w:p>
      <w:pPr>
        <w:keepNext/>
        <w:spacing w:after="100"/>
      </w:pPr>
      <w:r>
        <w:rPr>
          <w:b/>
          <w:bCs/>
        </w:rPr>
        <w:t xml:space="preserve">Por qué podemos tener razón.</w:t>
      </w:r>
    </w:p>
    <w:p>
      <w:pPr>
        <w:spacing w:after="100"/>
      </w:pPr>
      <w:r>
        <w:t xml:space="preserve">La cuota de tiempo marcó récord en 2025 tras tres años de CoStar y el tráfico de IA es &lt; 0,5 % [2]; pero el litigio es binario y no tenemos ventaja de información sobre él.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Dominio del mercado</w:t>
      </w:r>
      <w:r>
        <w:t xml:space="preserve">: 89 % del tiempo en portales y 85 % de tráfico directo u orgánico [2].</w:t>
      </w:r>
    </w:p>
    <w:p>
      <w:pPr>
        <w:pStyle w:val="ListParagraph"/>
        <w:numPr>
          <w:ilvl w:val="0"/>
          <w:numId w:val="2"/>
        </w:numPr>
        <w:spacing w:after="60"/>
      </w:pPr>
      <w:r>
        <w:rPr>
          <w:b/>
        </w:rPr>
        <w:t xml:space="preserve">Poder de precios demostrado</w:t>
      </w:r>
      <w:r>
        <w:t xml:space="preserve">: ARPA +6 % en 2025 y +7 % en el 1S26 [1, 3].</w:t>
      </w:r>
    </w:p>
    <w:p>
      <w:pPr>
        <w:pStyle w:val="ListParagraph"/>
        <w:numPr>
          <w:ilvl w:val="0"/>
          <w:numId w:val="2"/>
        </w:numPr>
        <w:spacing w:after="60"/>
      </w:pPr>
      <w:r>
        <w:rPr>
          <w:b/>
        </w:rPr>
        <w:t xml:space="preserve">Devolución de caja</w:t>
      </w:r>
      <w:r>
        <w:t xml:space="preserve">: más de 400 M en 12 meses, ≈11 % de la capitalización [3].</w:t>
      </w:r>
    </w:p>
    <w:p>
      <w:pPr>
        <w:pStyle w:val="ListParagraph"/>
        <w:numPr>
          <w:ilvl w:val="0"/>
          <w:numId w:val="2"/>
        </w:numPr>
        <w:spacing w:after="60"/>
      </w:pPr>
      <w:r>
        <w:rPr>
          <w:b/>
        </w:rPr>
        <w:t xml:space="preserve">Valoración</w:t>
      </w:r>
      <w:r>
        <w:t xml:space="preserve">: 16,9 veces el beneficio frente a una media de 24,9 en 2019-2025.</w:t>
      </w:r>
    </w:p>
    <w:p>
      <w:pPr>
        <w:pStyle w:val="ListParagraph"/>
        <w:numPr>
          <w:ilvl w:val="0"/>
          <w:numId w:val="2"/>
        </w:numPr>
        <w:spacing w:after="60"/>
      </w:pPr>
      <w:r>
        <w:rPr>
          <w:b/>
        </w:rPr>
        <w:t xml:space="preserve">ROIC del 545 %</w:t>
      </w:r>
      <w:r>
        <w:t xml:space="preserve">: cada libra de ingresos nuevos llega casi entera al beneficio.</w:t>
      </w:r>
    </w:p>
    <w:p>
      <w:pPr>
        <w:pStyle w:val="Heading2"/>
      </w:pPr>
      <w:r>
        <w:t xml:space="preserve">En contra</w:t>
      </w:r>
    </w:p>
    <w:p>
      <w:pPr>
        <w:pStyle w:val="ListParagraph"/>
        <w:numPr>
          <w:ilvl w:val="0"/>
          <w:numId w:val="2"/>
        </w:numPr>
        <w:spacing w:after="60"/>
      </w:pPr>
      <w:r>
        <w:rPr>
          <w:b/>
        </w:rPr>
        <w:t xml:space="preserve">Demanda colectiva</w:t>
      </w:r>
      <w:r>
        <w:t xml:space="preserve"> de ≈1.500 M por tarifas excesivas, con vista el 2-3 de noviembre [33].</w:t>
      </w:r>
    </w:p>
    <w:p>
      <w:pPr>
        <w:pStyle w:val="ListParagraph"/>
        <w:numPr>
          <w:ilvl w:val="0"/>
          <w:numId w:val="2"/>
        </w:numPr>
        <w:spacing w:after="60"/>
      </w:pPr>
      <w:r>
        <w:rPr>
          <w:b/>
        </w:rPr>
        <w:t xml:space="preserve">Beneficio plano en 2026</w:t>
      </w:r>
      <w:r>
        <w:t xml:space="preserve">: +3-5 % por el plan de IA de 60 M [16].</w:t>
      </w:r>
    </w:p>
    <w:p>
      <w:pPr>
        <w:pStyle w:val="ListParagraph"/>
        <w:numPr>
          <w:ilvl w:val="0"/>
          <w:numId w:val="2"/>
        </w:numPr>
        <w:spacing w:after="60"/>
      </w:pPr>
      <w:r>
        <w:rPr>
          <w:b/>
        </w:rPr>
        <w:t xml:space="preserve">Obra nueva en caída</w:t>
      </w:r>
      <w:r>
        <w:t xml:space="preserve">: guía de ingresos rebajada al 6-8 % [3].</w:t>
      </w:r>
    </w:p>
    <w:p>
      <w:pPr>
        <w:pStyle w:val="ListParagraph"/>
        <w:numPr>
          <w:ilvl w:val="0"/>
          <w:numId w:val="2"/>
        </w:numPr>
        <w:spacing w:after="60"/>
      </w:pPr>
      <w:r>
        <w:rPr>
          <w:b/>
        </w:rPr>
        <w:t xml:space="preserve">CoStar</w:t>
      </w:r>
      <w:r>
        <w:t xml:space="preserve"> invierte para ganar cuota con OnTheMarket [19].</w:t>
      </w:r>
    </w:p>
    <w:p>
      <w:pPr>
        <w:pStyle w:val="ListParagraph"/>
        <w:numPr>
          <w:ilvl w:val="0"/>
          <w:numId w:val="2"/>
        </w:numPr>
        <w:spacing w:after="60"/>
      </w:pPr>
      <w:r>
        <w:rPr>
          <w:b/>
        </w:rPr>
        <w:t xml:space="preserve">Asimetría de solo 1,04 veces</w:t>
      </w:r>
      <w:r>
        <w:t xml:space="preserve"> con nuestro WACC.</w:t>
      </w:r>
    </w:p>
    <w:p>
      <w:pPr>
        <w:pStyle w:val="Heading2"/>
      </w:pPr>
      <w:r>
        <w:t xml:space="preserve">Qué tiene que pasar para que la tesis funcione</w:t>
      </w:r>
    </w:p>
    <w:p>
      <w:pPr>
        <w:spacing w:after="100"/>
      </w:pPr>
      <w:r>
        <w:t xml:space="preserve">La tesis depende de que el ARPA siga creciendo un 5-7 % al año. La señal de que no se cumple sería una certificación de la demanda colectiva seguida de una congelación de tarifas, o un ARPA por debajo del +4 % en un semestre con sucursales a la baja.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ARPA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todo 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Sucursales de agencia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16.385 (+2 %)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amenaza de CoStar.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tiempo (Comscore)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efecto red.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de IA no puede alargarse.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colectiva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Vista 2-3 nov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Certificación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binario.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 / 16,2x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Rightmove nació en 2000 como empresa conjunta de cuatro grupos del sector inmobiliario británico (Countrywide, Connells, Halifax y Royal &amp; SunAlliance) para tener su propio portal frente a la prensa local [24]. Salió a bolsa en Londres en 2006, entró en el FTSE 100 y desde 2007 recompra acciones cada año: ha comprado 557 M de acciones desde entonces [26]. En 2020 regaló meses de suscripción a las agencias durante el confinamiento (ingresos −29 %) [7]. En 2024 rechazó cuatro propuestas de REA Group, la última a 781 p por acción [27]. En noviembre de 2025 anunció 60 M de inversión en IA en tres años y la acción cayó un 12,5 % en un día [16]; en junio de 2026 salió del FTSE 100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Countrywide, Connells, Halifax y Royal &amp; SunAlliance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del programa de recompras continuado: 557 M de acciones recompradas hasta 2026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Descuentos a los clientes por la pandemia: ingresos −29 % y beneficio operativo −37 %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CoStar compra OnTheMarket y anuncia una gran inversión para competir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Rechaza cuatro propuestas de REA Group; la última, 781 p por acción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60 M de inversión en IA (2026-2028); la acción cae un 12,5 % el día del anuncio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FTSE 100; demanda colectiva de ≈1.500 M ante el CAT; programa de recompra de 350 M [3, 23, 28].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Rightmove es el mayor portal inmobiliario del Reino Unido. Las agencias inmobiliarias (16.385 sucursales a dic-2025) y los promotores de obra nueva (2.887 promociones) pagan una suscripción mensual por anunciar sus inmuebles y recibir contactos de compradores e inquilinos [1]. Los usuarios no pagan. Vende también productos adicionales dentro de los paquetes (más visibilidad, valoraciones en línea, datos) y desarrolla «áreas de crecimiento»: inmuebles comerciales, hipotecas y servicios de alquiler, que facturaron 29,1 M en 2025 (+25 %) [2]. El 100 % de los ingresos son del Reino Unido.</w:t>
      </w:r>
    </w:p>
    <w:p>
      <w:pPr>
        <w:pStyle w:val="Heading2"/>
      </w:pPr>
      <w:r>
        <w:t xml:space="preserve">Cómo gana dinero</w:t>
      </w:r>
    </w:p>
    <w:p>
      <w:pPr>
        <w:spacing w:after="100"/>
      </w:pPr>
      <w:r>
        <w:t xml:space="preserve">Casi todos los ingresos son recurrentes: suscripción mensual por sucursal, con un ARPA de 1.621 GBP al mes en 2025 [1]. El crecimiento sale del ARPA (precio y, sobre todo, paquetes superiores), mientras el número de clientes crece un 1-2 % al año en agencias y cae en obra nueva [3]. Los costes son casi todos de personal, tecnología y marketing: con un 100 % de margen bruto, cada libra extra de ARPA pasa casi entera al beneficio, y el margen operativo subyacente fue del 70 % en 2025 [1]. El plan de IA lo baja al 67-69 % en 2026 [3, 16]. La estacionalidad es mínima.</w:t>
      </w:r>
    </w:p>
    <w:p>
      <w:pPr>
        <w:pStyle w:val="Heading2"/>
      </w:pPr>
      <w:r>
        <w:t xml:space="preserve">Segmentos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Agencia (venta y alquiler)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Obra nueva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1S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Agencia (venta y alquiler)</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Obra nueva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pesa de forma relevante: son miles de sucursales, aunque las grandes cadenas (Connells, Countrywide) negocian como grupo. La retención de agencias fue en 2025 la segunda más alta de la década [1]. El poder de precios es la tesis y también el riesgo: el ARPA pasó de 1.524 a 1.621 GBP (+6 %) en 2025 y +8 % en agencia en el 1S26, muy por encima de la inflación [1, 3]; pero las agencias se quejan de las tarifas, CoStar ofrece OnTheMarket como alternativa barata [20] y la demanda colectiva sostiene que las tarifas de 2020-2026 fueron excesivas [23].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ARPA total (GBP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sobre todo por producto (paquetes superiores)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ARPA de agencia (GBP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ARPA de obra nueva (GBP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Sucursales de agencia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+1-2 %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Promociones de obra nueva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 en el 1S26; guía 2026: −6 a −10 %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del tiempo en portales (Comscore)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récord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 con SimilarWeb, data.ai y Sensor Tower; más del 85 % del tráfico es directo u orgánico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publicidad inmobiliaria residencial en internet del Reino Unido: lo que pagan agencias y promotores a los portales (Rightmove, Zoopla, OnTheMarket) por anunciar inmuebles en venta y alquiler. No hay una estadística oficial de su tamaño; los ingresos de Rightmove (425 M en 2025) son la mayor parte, y Zoopla (Silver Lake) y OnTheMarket (CoStar) no publican cuentas separadas recientes.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agencias y promotores activos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Sucursales de agencia +2 % en 2025; promociones de obra nueva −1 % en 2025 y −4 % en el 1S26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precios del portal dominante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ARPA +6 % en 2025 y +7 % en el 1S26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CoStar (OnTheMarket)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de OnTheMarket +55 % y contactos +94 % desde la compra, según la propia CoStar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Búsqueda con 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tráfico desde modelos de lenguaje es &lt; 0,5 % de las visitas de Rightmove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competencia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colectiva de ≈1.500 M por tarifas excesivas; vista de certificación el 2-3 de noviembre de 2026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tiene el 89 % del tiempo en portales (Comscore) [2]; CoStar invierte para cambiarlo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Agencias fragmentadas, pero organizadas en cadenas y con una demanda colectiva en marcha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«proveedores» son los anuncios, que aportan los propios clientes; el coste es de personal y tecnología.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CoStar es un entrante con dinero; la IA generativa abre otra vía de acceso al comprador.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Redes sociales y webs propias de las agencias no han restado tráfico: más del 85 % es directo u orgánico [2].</w:t>
            </w:r>
          </w:p>
        </w:tc>
      </w:tr>
    </w:tbl>
    <w:p>
      <w:pPr>
        <w:spacing w:after="160" w:before="0"/>
      </w:pPr>
    </w:p>
    <w:p>
      <w:pPr>
        <w:pStyle w:val="Heading2"/>
      </w:pPr>
      <w:r>
        <w:t xml:space="preserve">Ciclo</w:t>
      </w:r>
    </w:p>
    <w:p>
      <w:pPr>
        <w:spacing w:after="100"/>
      </w:pPr>
      <w:r>
        <w:t xml:space="preserve">Los ingresos de Rightmove dependen poco de las transacciones: las agencias pagan la suscripción mientras tienen sucursal abierta. En 2008-09 cerraron sucursales; en 2020 el ingreso cayó un 29 % solo por los descuentos voluntarios [7]; en 2022-23, con la subida de tipos y menos compraventas, los ingresos siguieron creciendo un 9-10 % [6]. El punto débil del ciclo hoy es la obra nueva (promociones −6 a −10 % en 2026) [3].</w:t>
      </w:r>
    </w:p>
    <w:p>
      <w:pPr>
        <w:pStyle w:val="Heading2"/>
      </w:pPr>
      <w:r>
        <w:t xml:space="preserve">Regulación</w:t>
      </w:r>
    </w:p>
    <w:p>
      <w:pPr>
        <w:spacing w:after="100"/>
      </w:pPr>
      <w:r>
        <w:t xml:space="preserve">La Ley de mercados digitales (DMCC Act 2024) da a la CMA poderes sobre empresas con estatus estratégico, pero Rightmove no está designada. El riesgo regulatorio concreto es la demanda colectiva ante el Competition Appeal Tribunal por abuso de posición dominante en las tarifas (abril 2020-abril 2026), de ≈1.500-1.600 M y financiada por Innsworth (Elliott): la vista para certificarla es el 2-3 de noviembre de 2026 [23]. Además, el impuesto británico sobre servicios digitales afecta al beneficio operativo [16].</w:t>
      </w:r>
    </w:p>
    <w:p>
      <w:pPr>
        <w:pStyle w:val="Heading2"/>
      </w:pPr>
      <w:r>
        <w:t xml:space="preserve">Tendencias y disrupción</w:t>
      </w:r>
    </w:p>
    <w:p>
      <w:pPr>
        <w:spacing w:after="100"/>
      </w:pPr>
      <w:r>
        <w:t xml:space="preserve">La IA generativa puede cambiar cómo se busca vivienda: si los asistentes llegan a ser la puerta de entrada, el portal pierde el contacto directo con el comprador. Rightmove responde invirtiendo 60 M en tres años (valoraciones en línea, búsqueda conversacional, app en ChatGPT) [16]. CoStar, con OnTheMarket, compite en precio y gasta en marketing [19]. Las agencias híbridas y en línea concentran sucursales, lo que limita el crecimiento de clientes.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portal inmobiliario del Reino Unido: 89 % del tiempo en portales según Comscore (75 % con SimilarWeb, data.ai y Sensor Tower)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Zoopla (Houseful, Silver Lake)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portal histórico; propiedad de Silver Lake, sin cuentas recientes publicadas. Según una plataforma de gestión de contactos, OnTheMarket ya le supera en contactos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OnTheMarket (CoStar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CSGP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Comprado por CoStar en 2023 [21]; visitas +55 %, páginas vistas +110 % y contactos +94 % desde la compra según la propia empresa (enero de 2026) [19]. Compite con precio y marketing.</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Compradores van donde están los anuncios y agencias donde están los compradores: 89 % del tiempo en portales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agencia que deja Rightmove pierde la mayor parte de los contactos; retención de 2025 la segunda más alta de la década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85 % del tráfico llega directo u orgánico, sin pagar adquisición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subyacente del 70 % frente al 66 % de Auto Trader y 55-60 % de REA y Scout24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sostiene un portal dominante; los rivales no publican beneficios.</w:t>
            </w:r>
          </w:p>
        </w:tc>
      </w:tr>
    </w:tbl>
    <w:p>
      <w:pPr>
        <w:spacing w:after="160" w:before="0"/>
      </w:pPr>
    </w:p>
    <w:p>
      <w:pPr>
        <w:pStyle w:val="Heading2"/>
      </w:pPr>
      <w:r>
        <w:t xml:space="preserve">Amenazas</w:t>
      </w:r>
    </w:p>
    <w:p>
      <w:pPr>
        <w:spacing w:after="100"/>
      </w:pPr>
      <w:r>
        <w:t xml:space="preserve">Tres amenazas, de mayor a menor probabilidad: (1) un límite a las subidas de precios, por la demanda colectiva o por presión de las agencias, que convierta el crecimiento del ARPA del 6-8 % en uno del 3 % (probabilidad media) [23]; (2) CoStar, que puede perder dinero años con OnTheMarket para ganar cuota (media-baja: tras tres años, Rightmove sigue con récord de cuota de tiempo) [2, 19]; (3) la búsqueda con IA, que hoy aporta menos del 0,5 % del tráfico pero podría desplazar el punto de entrada (baja a tres años, incierta a diez).</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2019-2025: ingresos </w:t>
      </w:r>
      <w:r>
        <w:rPr>
          <w:b/>
          <w:bCs/>
        </w:rPr>
        <w:t xml:space="preserve">6,6 %</w:t>
      </w:r>
      <w:r>
        <w:t xml:space="preserve">, EBITDA </w:t>
      </w:r>
      <w:r>
        <w:rPr>
          <w:b/>
          <w:bCs/>
        </w:rPr>
        <w:t xml:space="preserve">5,3 %</w:t>
      </w:r>
      <w:r>
        <w:t xml:space="preserve">, BPA </w:t>
      </w:r>
      <w:r>
        <w:rPr>
          <w:b/>
          <w:bCs/>
        </w:rPr>
        <w:t xml:space="preserve">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289,3 M en 2019 a 425,1 M en 2025 (TCAC del 6,6 %), todo orgánico y todo del Reino Unido [1, 7]. El único bache fue 2020 (−29 %), por los descuentos voluntarios a las agencias en el confinamiento [7]. El margen operativo publicado es del 68-74 %: bajó de 70,8 % en 2023 a 65,7 % en 2024 por 9,2 M de costes de la defensa frente a REA y la compra de HomeViews, y volvió al 67,7 % en 2025 [1, 4]. El subyacente, sin pagos en acciones, fue del 70 % en 2025 [1]. Para 2026 la guía es de ingresos +6-8 % y beneficio operativo subyacente +3-5 %, lo que baja el margen subyacente a ≈67-69 % por el plan de IA [3, 16]. El beneficio por acción sube más que el beneficio (+15 % en 2025) por las recompras: las acciones bajaron de 883 M a 773 M en seis años.</w:t>
      </w:r>
    </w:p>
    <w:p>
      <w:pPr>
        <w:pStyle w:val="Heading2"/>
      </w:pPr>
      <w:r>
        <w:t xml:space="preserve">Ajustes y partidas no recurrentes</w:t>
      </w:r>
    </w:p>
    <w:p>
      <w:pPr>
        <w:spacing w:after="100"/>
      </w:pPr>
      <w:r>
        <w:t xml:space="preserve">La empresa publica un beneficio operativo «subyacente» que excluye los pagos en acciones (8,5 M en 2025) y los costes de transacción (9,2 M en 2024) [1, 4, 10]. Usamos las cifras publicadas (con pagos en acciones), que son un coste real y recurrente; solo los 9,2 M de 2024 se tratan como no recurrentes. El BPA subyacente fue de 29,1 p en 2025 frente a 28,1 p publicado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Rightmove publica semestres. En el 1S26 (31-jul-2026) los ingresos subieron un 7 %, hasta 225,8 M, con Agencia +9 % (163,9 M); el beneficio operativo subyacente, un 3 %, hasta 155,1 M, y el margen bajó de 71 % a 69 % por la inversión en producto, tecnología y datos [3]. La dirección </w:t>
      </w:r>
      <w:r>
        <w:rPr>
          <w:b/>
        </w:rPr>
        <w:t xml:space="preserve">rebajó la guía de ingresos de 2026 del 8-10 % al 6-8 %</w:t>
      </w:r>
      <w:r>
        <w:t xml:space="preserve"> por la caída de promociones de obra nueva (−6 a −10 %), pero mantuvo la del beneficio operativo subyacente (+3-5 %) y la del BPA subyacente (≥ +5 %) [3, 18]. El mensaje cambió respecto a febrero: entonces la tesis era la aceleración por producto e IA (Online Agent Valuation con la adopción más rápida de su historia; tráfico desde modelos de lenguaje &lt; 0,5 % de las visitas) [1, 2]; en julio, el foco pasó a la devolución de caja: más de 400 M en 12 meses hasta julio de 2027, unos 330 M en recompras, con una línea de crédito nueva de 200 M [3, 18]. En noviembre de 2025 había presentado el plan de inversión de 60 M en tres años y la ambición de un crecimiento del beneficio operativo de al menos el 12 % en 2030, que no es guía [16]. Sin transcripción gratuita: no se puede decir qué evitó contestar.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Rightmove no necesita balance: activo total de 128,2 M a dic-2025 para 425 M de ingresos, caja de 42,9 M y ninguna deuda [11, 14]. Devuelve cada año más del 100 % de la caja libre (recompras y dividendos), así que la caja no crece. Eso cambia en 2026: la línea de 200 M permite recomprar por encima de la caja libre (más de 400 M de devolución en 12 meses) y llevar la deuda neta a ≈0,5 veces el EBITDA [3, 18].</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1.022</w:t>
      </w:r>
      <w:r>
        <w:t xml:space="preserve">, conversión </w:t>
      </w:r>
      <w:r>
        <w:rPr>
          <w:b/>
          <w:bCs/>
        </w:rPr>
        <w:t xml:space="preserve">103 %</w:t>
      </w:r>
      <w:r>
        <w:t xml:space="preserve"> del beneficio neto; adquisiciones 0, dividendos 346, recompras 705.</w:t>
      </w:r>
    </w:p>
    <w:p>
      <w:pPr>
        <w:spacing w:after="100"/>
      </w:pPr>
      <w:r>
        <w:t xml:space="preserve">El flujo operativo pasó de 195,0 M en 2021 a 236,3 M en 2025 y la conversión del beneficio en caja libre ronda el 100 % [10]. El capex es mínimo: 10,2 M en 2025 (2,4 % de las ventas), de los que 9,3 M son desarrollo capitalizado [10]; el plan de IA añade ≈6 M capitalizados en 2026 [16]. En cinco años se han devuelto ≈1.050 M (705 M en recompras y 346 M en dividendos), más que la caja libre generada. Capex 2021-2023 y dividendos pagados de 2021-2022 son estimaciones propias.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sencillas: ingresos por suscripción mensual, 100 % de margen bruto, sin existencias ni deuda. Lo que vigilar: (1) el beneficio «subyacente» excluye los pagos en acciones (8,5 M, el 3 % del beneficio operativo) [10]; (2) la capitalización de desarrollo sube con el plan de IA (9,3 M en 2025 y ≈15 M en 2026) y desplaza gasto a amortización futura [10, 16]. El Altman Z de 57,5 y el Piotroski F de 7 no dicen mucho en una empresa sin deuda ni activos; el Beneish M no se calcula por falta de desglose del balance. No se ha podido leer la opinión del auditor en esta sesión.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creciente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≈9 M a ≈15 M en 2026 con el plan de IA [10,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subyacente sin pagos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8,5-9,8 M al año; usamos el publicado [1,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194,1 % · </w:t>
      </w:r>
      <w:r>
        <w:rPr>
          <w:b/>
          <w:bCs/>
        </w:rPr>
        <w:t xml:space="preserve">WACC</w:t>
      </w:r>
      <w:r>
        <w:t xml:space="preserve">: 10,1 %.</w:t>
      </w:r>
    </w:p>
    <w:p>
      <w:pPr>
        <w:spacing w:after="100"/>
      </w:pPr>
      <w:r>
        <w:t xml:space="preserve">Rightmove crea valor como casi ninguna empresa cotizada: un NOPAT de 216 M en 2025 sobre un capital invertido de ≈40 M, un ROIC del 545 %, frente a un WACC del 10,05 % [11, 14]. El ROIC sale del margen (68 % de EBITDA) y de no necesitar activos: la cifra es de tres cifras desde 2021 porque devuelve toda la caja. El ROIC incremental histórico es del 194 %. Supera a Auto Trader (≈51 %), su comparable más parecido, por no tener fondo de comercio de compras [45]. El dato útil no es el nivel, sino que cada libra de ingresos nuevos llega casi entera al beneficio.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42,9 M a dic-2025, sin deuda financiera, y línea de crédito revolving nueva de 200 M (julio de 2026) para financiar recompras [3,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Sin deuda financiera al cierre de 2025 [11]. La línea de 200 M firmada con los resultados del 1S26 equivale a ≈0,5 veces el EBITDA si se dispone entera; se usará para recompras [3, 18]. El pasivo contingente relevante es la demanda colectiva de ≈1.500 M ante el Competition Appeal Tribunal por presunto abuso de posición dominante en las tarifas a agencias y promotores (abril de 2020 a abril de 2026); la vista de certificación es el 2-3 de noviembre de 2026 y la empresa la considera sin fundamento (ver gobierno y riesgos). No hay pensiones de prestación definida relevantes.</w:t>
      </w:r>
    </w:p>
    <w:p>
      <w:pPr>
        <w:pStyle w:val="Heading1"/>
      </w:pPr>
      <w:r>
        <w:t xml:space="preserve">12. Asignación de capital</w:t>
      </w:r>
    </w:p>
    <w:p>
      <w:pPr>
        <w:pStyle w:val="Confianza"/>
        <w:spacing w:after="100"/>
      </w:pPr>
      <w:r>
        <w:t xml:space="preserve">Confianza: Media</w:t>
      </w:r>
    </w:p>
    <w:p>
      <w:pPr>
        <w:spacing w:after="100"/>
      </w:pPr>
      <w:r>
        <w:t xml:space="preserve">Prioridades: invertir en el negocio (60 M en tres años de plan de IA) y devolver el resto [16]. Dividendo progresivo con un pago del ≈38-40 % del beneficio (10,64 p en 2025; intermedio de 2026 de 4,17 p, +3 %) [1, 3]. Recompras continuas desde 2007 [26]. En julio de 2026 anunció más de 400 M de devolución en 12 meses hasta julio de 2027, unos 330 M en recompras (programa de hasta 350 M), financiados en parte con una línea de crédito de 200 M [3,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HomeViews (opiniones de residentes en obra nueva)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 sin deterioros conocidos [4].</w:t>
            </w:r>
          </w:p>
        </w:tc>
      </w:tr>
    </w:tbl>
    <w:p>
      <w:pPr>
        <w:spacing w:after="160" w:before="0"/>
      </w:pPr>
    </w:p>
    <w:p>
      <w:pPr>
        <w:spacing w:after="100"/>
      </w:pPr>
      <w:r>
        <w:t xml:space="preserve">Rightmove es un caso de asignación de capital disciplinada: casi nada de compras, ROIC de tres cifras y devolución de toda la caja libre. Las acciones bajaron de 883 M en 2019 a 732,5 M en septiembre de 2026 (−17 %) [26]. La duda es el precio de las recompras: en 2021 compró 176,9 M a precios de 7-8 GBP y hoy cotiza a 4,89 [10, 41]. Endeudarse para recomprar a 16-17 veces el beneficio, el mínimo de su historia, tiene más sentido que hacerlo a 30-37 veces como en 2019-2021.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Johan Svanström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Reelegido en la junta de 2026 con el 96,3 % a favor [30]. Bajo su mandato: ingresos de 364 a 425 M (2023-2025), defensa frente a REA en 2024 y giro hacia la inversión en IA en noviembre de 2025 [1,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subyacente del 70 % (reafirmada en noviembre de 2025)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70 %, beneficio operativo subyacente 297,7 M (+9 %)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+8-10 %, beneficio operativo subyacente +3-5 %, BPA subyacente ≥ +5 %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rebajados a +6-8 % en julio; beneficio y BPA mantenidos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cumplió la guía de margen de 2025 y mantiene la de beneficio de 2026, pero rebajó la de ingresos a mitad de año por la obra nueva [3]. El cambio de discurso de noviembre de 2025 (invertir 60 M y aceptar 3-5 % de crecimiento del beneficio) fue una decisión de largo plazo que el mercado castigó [16]. No se ha podido verificar en esta sesión la composición del resto del equipo (director financiero, presidente) ni sus participaciones: queda como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 estadounidense (6 %, según prensa)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2026, con rumores de opa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10,4 M de acciones a 14-sep-2026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la junta del 8-may-2026 el informe de remuneración tuvo un 3,45 % en contra y la nueva política de remuneración un 9,39 % en contra, el voto más débil de la junta [30]. En contra del informe: 1,44 % en 2025 [31] y 3,37 % en 2024 [32]. Participó el 74 % del capital [30]. No se ha podido leer el informe de remuneración (métricas y pesos del variable) en esta sesión.</w:t>
      </w:r>
    </w:p>
    <w:p>
      <w:pPr>
        <w:pStyle w:val="Heading2"/>
      </w:pPr>
      <w:r>
        <w:t xml:space="preserve">Operaciones vinculadas, estructura de control y defensas</w:t>
      </w:r>
    </w:p>
    <w:p>
      <w:pPr>
        <w:spacing w:after="100"/>
      </w:pPr>
      <w:r>
        <w:t xml:space="preserve">Sin accionista de control: capital disperso entre institucionales, con una acción un voto y sin blindajes conocidos [30, 35]. El consejo rechazó en 2024 cuatro propuestas de REA Group, la última de 781 p por acción, por infravalorar la empresa [27]; la acción cotiza hoy un 37 % por debajo de esa oferta. La normativa británica de opas (City Code) obliga a ofrecer a todos el mismo precio.</w:t>
      </w:r>
    </w:p>
    <w:p>
      <w:pPr>
        <w:pStyle w:val="Heading2"/>
      </w:pPr>
      <w:r>
        <w:t xml:space="preserve">Señales de alerta</w:t>
      </w:r>
    </w:p>
    <w:p>
      <w:pPr>
        <w:pStyle w:val="ListParagraph"/>
        <w:numPr>
          <w:ilvl w:val="0"/>
          <w:numId w:val="2"/>
        </w:numPr>
        <w:spacing w:after="60"/>
      </w:pPr>
      <w:r>
        <w:t xml:space="preserve">Demanda colectiva de ≈1.500 M ante el Competition Appeal Tribunal por abuso de posición dominante (tarifas de 2020-2026); vista de certificación el 2-3 de noviembre de 2026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2026 (31-jul-2026): ingresos +6-8 % (antes +8-10 %), beneficio operativo subyacente +3-5 % y BPA subyacente ≥ +5 %; sucursales de agencia +1-2 % y promociones de obra nueva −6 a −10 % [3]. Plan de noviembre de 2025: beneficio operativo subyacente +3-10 % al año en 2026-2028 (fase de inversión) y ambición de al menos +12 % en 2030, que la empresa dice que no es guía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BPA del ejercicio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 6,65</w:t>
            </w:r>
          </w:p>
        </w:tc>
      </w:tr>
    </w:tbl>
    <w:p>
      <w:pPr>
        <w:spacing w:after="160" w:before="0"/>
      </w:pPr>
    </w:p>
    <w:p>
      <w:pPr>
        <w:pStyle w:val="Heading2"/>
      </w:pPr>
      <w:r>
        <w:t xml:space="preserve">Revisiones de estimaciones</w:t>
      </w:r>
    </w:p>
    <w:p>
      <w:pPr>
        <w:spacing w:after="100"/>
      </w:pPr>
      <w:r>
        <w:t xml:space="preserve">Tras el 1S26 los objetivos se movieron en ambas direcciones: JPMorgan subió el suyo a 429 p con infraponderar, Citigroup a 486 p (neutral), Deutsche Bank reiteró comprar con 665 p y Berenberg comprar con 575 p [39]; Jefferies inició con infraponderar. El objetivo medio pasó de 607 p (31-jul) a 595 p (8-oct) [38]. No hay estimaciones gratuitas de 2027-2028 por año: Simply Wall St da un crecimiento esperado del BPA del 9,3 % anual y de los ingresos del 7,8 % (febrero de 2026) [40]. En noviembre de 2025 RBC estimó que la nueva guía rebajaba un 4-6 % el beneficio operativo del consenso [16].</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caído un 33 % en un año [36]: −12,5 % el 6-nov-2025 (llegó a −28 % en la sesión) con el plan de inversión en IA y la guía de beneficio de 2026 [16], salida del FTSE 100 en junio de 2026 (cerró a 417,9 p antes de la revisión) [28] y mínimo del año de 391,4 p [37]. Desde entonces ha rebotado a la zona de 490-500 p, con +8,9 % el 8-oct sin noticia identificada [38].</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Rightmove cotiza a 16,9 veces el beneficio de los últimos 12 meses frente a una media de 24,9 veces en los cierres de 2019-2025 (−32 %) y por debajo del mínimo de esos años (18,5 veces en 2025); a 11,8 veces el EBITDA frente a una media de 17,7. El cambio es de percepción, no de cifras: el crecimiento del beneficio baja del 9-10 % al 3-5 % durante el plan de IA y el mercado añade el riesgo de desintermediación por la IA y la demanda colectiva. Los cierres anuales son aproximados.</w:t>
      </w:r>
    </w:p>
    <w:p>
      <w:pPr>
        <w:pStyle w:val="Heading1"/>
      </w:pPr>
      <w:r>
        <w:t xml:space="preserve">18. Comparables cotizados</w:t>
      </w:r>
    </w:p>
    <w:p>
      <w:pPr>
        <w:pStyle w:val="Confianza"/>
        <w:spacing w:after="100"/>
      </w:pPr>
      <w:r>
        <w:t xml:space="preserve">Confianza: Media</w:t>
      </w:r>
    </w:p>
    <w:p>
      <w:pPr>
        <w:spacing w:after="100"/>
      </w:pPr>
      <w:r>
        <w:t xml:space="preserve">Siete portales de anuncios clasificados cotizados con modelo de suscripción o pago por anuncio y márgenes altos: el líder alemán de inmobiliario (Scout24), el portal británico de coches con el modelo más parecido (Auto Trader), los dos australianos que dominan su vertical (REA en inmobiliario, CAR Group en coches), los dos portales de coches de EE. UU. (CarGurus, Cars.com) y Hemnet en Suecia. Fuera quedan Adevinta (no cotiza desde 2024), Schibsted (MarketScreener no da su EBITDA) y eBay (marketplace generalista). Todas las cifras son de MarketScreener a 9-oct-2026, convertidas a GBP con los tipos del Banco de Inglaterra del 8-oct-2026 [29, 46, 47, 48, 49, 50, 51]. Auto Trader, con datos del informe propio del 10-oct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 Trader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Scout24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Hemnet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10,3x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15,3x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6,8x / 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Rightmove cotiza a 11,8 veces el EBITDA de los últimos 12 meses frente a la mediana de 10,3 del grupo y a 16,2 veces el beneficio de los próximos 12 frente a 15,3. La prima es pequeña para el mejor margen del grupo (68,5 % frente a una mediana del 55,9 %), un ROIC de tres cifras y una cuota del 89 % del tiempo en su mercado. Los comparables más parecidos están a 10,3 veces (Auto Trader) y 13,3 (Scout24); REA, que ofreció 781 p en 2024, cotiza a 18,7. El grupo incluye tres negocios peores (Cars.com, CarGurus, Hemnet) que bajan la mediana: el valor implícito por comparables es un suelo, no una referencia central.</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AutoScout24 (con FinanceScout24 y Finanzcheck)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Hellman &amp; Friedman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100 % por ≈2.900 M EUR (precio de 2.892 M antes de ajustes), 26,1x el EBITDA operativo ordinario de los 12 meses a septiembre de 2019 [27]. Valor empresa en GBP al tipo del 8-oct-2026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(49 %)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de 1.625 M USD, 26,5x el EBITDA ajustado de 2020 (61 M USD) y 13,2x sus ingresos ajustados (123 M USD); portales de vehículos industriales, recreativos y motos en EE. UU. [53].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(51 %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Eurazeo vende su 51 % valorando Trader Interactive en 1.897 M USD, 25,0x el EBITDA ajustado de 2021 [54].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Adevinta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Permira y Blackstone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115 NOK por acción, valor de las acciones ≈141.000 M NOK; prima del 54 % sobre la media ponderada de tres meses hasta el 19-sep-2023. El anuncio no publica valor empresa ni múltiplo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(propuesta no aceptada)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propuesta, rechazada por el consejo: 346 p en efectivo, 0,0417 acciones de REA y 6 p de dividendo especial, 781 p por acción y ≈6.200 M GBP por el capital; prima del 41 % sobre el precio sin perturbar de 556 p [56]. Valor empresa y múltiplos estimación propia: 6.200 M menos la caja neta de 31,5 M de 2023, sobre el EBITDA (269,6 M) y las ventas (364,3 M) de 2023 según MarketScreener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4,43 AUD por acción; valor empresa implícito de 3.000 M AUD (631,7 M de acciones, 185,8 M de deuda neta a dic-2024 más 12,6 M de dividendos y 12,1 M de minoritarios y asociadas); prima del 42,0 % sobre el precio sin perturbar de 3,12 AUD [57]. El anuncio no da el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26,1x (25,6x – 26,3x)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10,51 – 10,82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Las tres operaciones cerradas con múltiplo publicado se pagaron a 25-26,5x el EBITDA (AutoScout24 en 2019 y las dos mitades de Trader Interactive en 2021-2022) [27, 53, 54], en un entorno de tipos bajos. La propuesta de REA por Rightmove, el comparable más directo de Auto Trader por mercado y margen, implicaba ≈23x el EBITDA de 2023 y una prima del 41 %, y el consejo la rechazó por insuficiente [56]. Las primas en las exclusiones de bolsa recientes rondan el 41-54 % [55, 56, 57]. Auto Trader cotiza a ≈10x el EBITDA de FY26 [43]. Su tamaño, ≈3.700 M GBP de capitalización, está al alcance del capital privado que compró Adevinta y AutoScout24. El valor empresa se convierte a GBP con los tipos del Banco de Inglaterra del 8-oct-2026 [52]; los múltiplos no dependen del tipo.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+7,0 % en 2026 (punto medio de la guía de 6-8 %) [3] y +7,0 % en 2027-2028, en línea con el +7-10 % de 2022-2025 sin la ayuda de la obra nueva [1]. Todo sale del ARPA (+6 % en 2025, +7 % en el 1S26): precio y paquetes superiores, con sucursales +0-1 % [1, 3]. Después baja hasta el 3,0 % en 2035. Simply Wall St recoge un crecimiento esperado de ingresos del 7,8 % anual [40]: estamos algo por debajo.</w:t>
      </w:r>
    </w:p>
    <w:p>
      <w:pPr>
        <w:keepNext/>
        <w:spacing w:after="100"/>
      </w:pPr>
      <w:r>
        <w:rPr>
          <w:b/>
          <w:bCs/>
        </w:rPr>
        <w:t xml:space="preserve">Márgenes.</w:t>
      </w:r>
    </w:p>
    <w:p>
      <w:pPr>
        <w:spacing w:after="100"/>
      </w:pPr>
      <w:r>
        <w:t xml:space="preserve">Margen EBITDA publicado del 68,4 % en 2026 (guía de beneficio subyacente +3-5 % menos ≈10 M de pagos en acciones) y 68,5-69,0 % en 2027-2028, fase de inversión [16]. Sube al 71 % desde 2030, por debajo del 72-74 % de 2019-2023, porque la inversión en IA y la competencia de CoStar no desaparecen. Solo recogemos a medias la ambición de crecer un 12 % en beneficio en 2030 [16].</w:t>
      </w:r>
    </w:p>
    <w:p>
      <w:pPr>
        <w:keepNext/>
        <w:spacing w:after="100"/>
      </w:pPr>
      <w:r>
        <w:rPr>
          <w:b/>
          <w:bCs/>
        </w:rPr>
        <w:t xml:space="preserve">Inversión y circulante.</w:t>
      </w:r>
    </w:p>
    <w:p>
      <w:pPr>
        <w:spacing w:after="100"/>
      </w:pPr>
      <w:r>
        <w:t xml:space="preserve">Capex del 3,5 % de las ventas en 2026 (desarrollo capitalizado de ≈15 M con el plan de IA) que baja al 3,0 %, igual que la amortización al final [10, 16]. Circulante nulo: se cobra por mes y no hay existencias.</w:t>
      </w:r>
    </w:p>
    <w:p>
      <w:pPr>
        <w:keepNext/>
        <w:spacing w:after="100"/>
      </w:pPr>
      <w:r>
        <w:rPr>
          <w:b/>
          <w:bCs/>
        </w:rPr>
        <w:t xml:space="preserve">Coste del capital.</w:t>
      </w:r>
    </w:p>
    <w:p>
      <w:pPr>
        <w:spacing w:after="100"/>
      </w:pPr>
      <w:r>
        <w:t xml:space="preserve">Tasa libre del 5,39 % (gilt a 10 años, 7-oct-2026) [43], beta de 0,90 (0,99 según Lightyear y 0,75 la de Auto Trader, su comparable directo) [42], prima de mercado del 5,5 % y un 5 % de deuda (la línea de 200 M): WACC del 10,05 %. Con la prima implícita del mercado (4,2 %) el WACC baja al 8,9 % [44].</w:t>
      </w:r>
    </w:p>
    <w:p>
      <w:pPr>
        <w:keepNext/>
        <w:spacing w:after="100"/>
      </w:pPr>
      <w:r>
        <w:rPr>
          <w:b/>
          <w:bCs/>
        </w:rPr>
        <w:t xml:space="preserve">Valor terminal.</w:t>
      </w:r>
    </w:p>
    <w:p>
      <w:pPr>
        <w:spacing w:after="100"/>
      </w:pPr>
      <w:r>
        <w:t xml:space="preserve">Crecimiento a perpetuidad del 3,0 %: inflación británica de ≈2-2,5 % más algo de precio real, por debajo de la tasa libre menos medio punto. El valor terminal pesa el 55 %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M (0 % del NOPAT)</w:t>
            </w:r>
          </w:p>
        </w:tc>
      </w:tr>
    </w:tbl>
    <w:p>
      <w:pPr>
        <w:spacing w:after="160" w:before="0"/>
      </w:pPr>
    </w:p>
    <w:p>
      <w:pPr>
        <w:spacing w:after="100"/>
      </w:pPr>
      <w:r>
        <w:t xml:space="preserve">La proyección apenas necesita inversión neta de la amortización (reinversión acumulada de 10 M, el 0 % del NOPAT, con un capex bruto medio del 3,2 % de las ventas). En un negocio de activos ligeros, el crecimiento medio del 5,3 %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ingresos +6-8 % [3]: ARPA +7 % en el 1S26 con sucursales de agencia +1-2 % y promociones de obra nueva −6 a −10 % (volumen neto ≈0).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ARPA +6 % (precio y paquetes) como en 2025 [1]; sucursales +0,5 %; áreas de crecimiento +0,5 puntos (29,1 M en 2025, +25 %)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productos de IA (valoraciones en línea) dentro del ARPA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ARPA +5,5 %: menos margen para subir precios tras años de subidas.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ARPA +5 %, como el promedio de la década.</w:t>
            </w:r>
          </w:p>
        </w:tc>
      </w:tr>
    </w:tbl>
    <w:p>
      <w:pPr>
        <w:spacing w:after="160" w:before="0"/>
      </w:pPr>
    </w:p>
    <w:p>
      <w:pPr>
        <w:spacing w:after="100"/>
      </w:pPr>
      <w:r>
        <w:t xml:space="preserve">La proyección apenas necesita capital (reinversión del 0 % del NOPAT), así que la prueba es el poder de precios y la cuota. Rightmove ha subido el ARPA un 6-8 % al año con una cuota del 89 % del tiempo en portales y retención récord [1, 2], y el caso base (5,4 % anual, todo precio) es menor que el 6,6 % de 2019-2025. La cuota de mercado no tiene que subir. El riesgo no es de capacidad sino de permiso para subir precios (demanda colectiva, CoStar): está en el bajista. Prueba hecha a mano porque el motor no la hace con reinversión casi nula (lecciones).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 (base: 5,2 %)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63,3 % (base: 71,0 %)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10,1 %)</w:t>
            </w:r>
          </w:p>
        </w:tc>
      </w:tr>
    </w:tbl>
    <w:p>
      <w:pPr>
        <w:spacing w:after="160" w:before="0"/>
      </w:pPr>
    </w:p>
    <w:p>
      <w:pPr>
        <w:spacing w:after="100"/>
      </w:pPr>
      <w:r>
        <w:t xml:space="preserve">El DCF da 5,50 GBP por acción, un 12,5 % sobre el precio, con un valor terminal del 55 % y un WACC del 10,05 %. El DCF inverso dice que el precio descuenta un crecimiento del 3,4 % anual en 2027-2035 frente al 5,2 % de nuestro caso base, o un margen EBITDA del 63,3 % frente al 71 %: es decir, que Rightmove deje de subir precios por encima de la inflación o pierda seis puntos de margen para siempre. Es un supuesto prudente para una empresa que creció un 6,6 % anual en 2019-2025 con márgenes del 68-74 %, pero no absurdo con la demanda colectiva y la IA como amenazas. La rentabilidad implícita es del 10,9 %, por encima del WACC (10,1 %) y del 8,9 % que pide el mercado: con la prima del mercado, el valor sube a 5,96 GBP.</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colectiva se certifica en noviembre y las agencias, con CoStar ofreciendo precios bajos, frenan las subidas: el ARPA crece un 3 % y las sucursales caen. Rightmove invierte más para defenderse y el margen pierde 5 puntos. Ya le pasó en 2020, cuando regaló meses de suscripción.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cumplida: ingresos +7 % hasta 2028 por ARPA, margen del 68-69 % durante el plan de IA y vuelta al 71 % en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productos de IA (valoraciones, datos, hipotecas) suben el ARPA como en 2021-2023 (+9-10 % de ingresos) y el margen vuelve al 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5,21 GBP (+6,6 %).</w:t>
      </w:r>
    </w:p>
    <w:p>
      <w:pPr>
        <w:spacing w:after="100"/>
      </w:pPr>
      <w:r>
        <w:t xml:space="preserve">El bajista vale 3,66 GBP (−25,1 %) y el alcista 6,17 (+26,2 %): asimetría de 1,04 veces con nuestro WACC, que no compensa por sí sola. Con la prima del mercado la asimetría sube a 3,62 veces. El bajista es verosímil (2020 lo demostró y la demanda colectiva lo hace posible); el alcista exige que la IA sume ingresos, que aún no ha probado.</w:t>
      </w:r>
    </w:p>
    <w:p>
      <w:pPr>
        <w:pStyle w:val="Heading1"/>
      </w:pPr>
      <w:r>
        <w:t xml:space="preserve">22. Suma de partes</w:t>
      </w:r>
    </w:p>
    <w:p>
      <w:pPr>
        <w:pStyle w:val="Confianza"/>
        <w:spacing w:after="100"/>
      </w:pPr>
      <w:r>
        <w:t xml:space="preserve">Confianza: Alta</w:t>
      </w:r>
    </w:p>
    <w:p>
      <w:pPr>
        <w:spacing w:after="100"/>
      </w:pPr>
      <w:r>
        <w:t xml:space="preserve">No aplica: un solo negocio (portal inmobiliario británico); las áreas de crecimiento facturaron 29,1 M en 2025, el 7 % de los ingresos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5,21 GBP (+6,6 % sobre 4,89).</w:t>
      </w:r>
    </w:p>
    <w:p>
      <w:pPr>
        <w:spacing w:after="100"/>
      </w:pPr>
      <w:r>
        <w:t xml:space="preserve">Pesos: DCF 50 %, escenarios 25 % y comparables 25 %; sin transacciones (una opa no es el caso base, aunque REA ofreciera 781 p en 2024) ni suma de partes. El DCF es el método más fiable en un negocio sin capital ni deuda y con márgenes estables; los comparables (mediana EV/EBITDA de 10,3 veces) están lastrados por negocios peores y dan un suelo. La síntesis da 5,21 GBP (+6,6 %); con la prima del mercado, 5,96 (+21,9 %). La dispersión es amplia: de 4,25 por comparables a 10,74 por transacciones.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+53,2 %</w:t>
            </w:r>
          </w:p>
        </w:tc>
      </w:tr>
    </w:tbl>
    <w:p>
      <w:pPr>
        <w:spacing w:after="160" w:before="0"/>
      </w:pPr>
    </w:p>
    <w:p>
      <w:pPr>
        <w:spacing w:after="100"/>
      </w:pPr>
      <w:r>
        <w:rPr>
          <w:b/>
          <w:bCs/>
        </w:rPr>
        <w:t xml:space="preserve">Objetivo a 12 meses (ponderado):</w:t>
      </w:r>
      <w:r>
        <w:t xml:space="preserve"> 5,53 GBP · rentabilidad +15,2 % (base +13,1 %) · señal Comprar.</w:t>
      </w:r>
    </w:p>
    <w:p>
      <w:pPr>
        <w:keepNext/>
        <w:spacing w:after="100"/>
      </w:pPr>
      <w:r>
        <w:rPr>
          <w:b/>
          <w:bCs/>
        </w:rPr>
        <w:t xml:space="preserve">Frente al consenso (solo contraste).</w:t>
      </w:r>
    </w:p>
    <w:p>
      <w:pPr>
        <w:spacing w:after="100"/>
      </w:pPr>
      <w:r>
        <w:t xml:space="preserve">El consenso de MarketBeat da un BPA de 30,2 p para 2026; nuestra proyección da ≈30 p en 2026 publicado, en línea [38]. No hay consenso gratuito de 2028. Nuestro precio base (5,42 GBP) queda un 8,9 % por debajo del objetivo medio de los analistas (5,95; rango 4,29-6,65, ocho analistas, con recortes en el último trimestre) [38, 39]: la diferencia está en el múltiplo (14,2 veces, el PER actual sobre nuestro BPA de 2027e) y no en el beneficio.</w:t>
      </w:r>
    </w:p>
    <w:p>
      <w:pPr>
        <w:keepNext/>
        <w:spacing w:after="100"/>
      </w:pPr>
      <w:r>
        <w:rPr>
          <w:b/>
          <w:bCs/>
        </w:rPr>
        <w:t xml:space="preserve">Del valor intrínseco al objetivo a 12 meses.</w:t>
      </w:r>
    </w:p>
    <w:p>
      <w:pPr>
        <w:spacing w:after="100"/>
      </w:pPr>
      <w:r>
        <w:t xml:space="preserve">El objetivo a 12 meses (5,53 GBP, +15,2 % con dividendo) queda por encima del valor intrínseco de la síntesis (5,21): el BPA de 2028 crece un 36 % sobre 2025, la mitad por las recompras ya anunciadas (≈400 M en 12 meses, ≈11 % del capital), y el múltiplo base es el de hoy, no el histórico. Lo que cierra la distancia al alcista es que se disipe el riesgo legal (vista del 2-3 de noviembre) y que el plan de IA muestre ingresos en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nov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de certificación de la demanda colectiva ante el Competition Appeal Tribunal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se disipa el mayor riesgo; certificación: años de litigio y presión sobre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jul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≈330 M y dividendos (más de 400 M en total)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 de la capitalización devuelta en 12 meses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2027 (estimado)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ingresos +6-8 % y beneficio +3-5 %; primera guía del segundo año del plan de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ingresos de los productos de IA en el ARPA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la inversión de 60 M rinde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Interés de compradores (REA, capital privado)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ofreció 781 p en 2024; la acción cotiza un 37 % por debajo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por abuso de posición dominante (≈1.500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(bajista) si limita las subidas de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de certificación; la empresa la considera sin fundamento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tribunal tras la vista del 2-3 de noviembre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la búsqueda con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desde modelos de lenguaje &lt; 0,5 %; 85 % directo u orgánico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tiempo por debajo del 85 % (Comscore) o tráfico de IA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CoStar gana cuota con OnTheMarket a precios bajos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tiempo récord en 2025 tras tres años de CoStar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Sucursales de agencia en caída o retención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obra nueva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obra nueva y otros pesan ≈27 % de los ingresos; agencia sigue +9 %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Promociones por debajo del −10 %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plan de IA no da ingresos y el margen no vuelve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acotada (60 M en tres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por debajo del 67 %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con deuda a precios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máxima ≈0,5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 vez el EBITDA</w:t>
            </w:r>
          </w:p>
        </w:tc>
      </w:tr>
    </w:tbl>
    <w:p>
      <w:pPr>
        <w:spacing w:after="160" w:before="0"/>
      </w:pPr>
    </w:p>
    <w:p>
      <w:pPr>
        <w:pStyle w:val="Heading2"/>
      </w:pPr>
      <w:r>
        <w:t xml:space="preserve">Pre-mortem</w:t>
      </w:r>
    </w:p>
    <w:p>
      <w:pPr>
        <w:spacing w:after="100"/>
      </w:pPr>
      <w:r>
        <w:t xml:space="preserve">Octubre de 2029: la acción vale 2,9 GBP, un 40 % menos. En noviembre de 2026 el tribunal certificó la demanda colectiva y las grandes cadenas de agencias, envalentonadas, negociaron como bloque: Rightmove congeló las tarifas de 2027 para no alimentar el litigio. Al mismo tiempo, los asistentes de IA empezaron a enseñar viviendas con datos de las propias agencias y de OnTheMarket, que CoStar regalaba. El ARPA, que subía un 7 %, pasó a subir un 2 %; las sucursales cayeron un 3 % al año por la concentración de agencias. El plan de IA no generó ingresos visibles y el margen se quedó en el 64 %. El mercado, que ya pagaba 16 veces el beneficio, pasó a pagar 12, como a un negocio maduro sin crecimiento. Las recompras con deuda a 5 GBP destruyeron valor. Las señales que lo habrían anticipado: la certificación del tribunal, un ARPA por debajo del +4 % en un semestre y una caída de la cuota de tiempo de Comscore por debajo del 85 %.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de gobierno y de competencia, no ambientales: el trato a los clientes en precios (demanda colectiva) y la protección de datos de millones de usuarios. La huella de carbono de un negocio de oficina y nube es pequeña.</w:t>
      </w:r>
    </w:p>
    <w:p>
      <w:pPr>
        <w:pStyle w:val="Heading2"/>
      </w:pPr>
      <w:r>
        <w:t xml:space="preserve">Controversias</w:t>
      </w:r>
    </w:p>
    <w:p>
      <w:pPr>
        <w:spacing w:after="100"/>
      </w:pPr>
      <w:r>
        <w:t xml:space="preserve">Demanda colectiva de ≈1.500 M presentada en 2025-26 ante el Competition Appeal Tribunal por tarifas excesivas a agencias y promotores (2020-2026); la empresa la rechaza [23]. Sin sanciones firmes conocidas.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subida del ARPA de 2027 será precio de tarifa y qué parte paquetes superiores, y cambia eso la demanda colectiva?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el crecimiento del caso base sale del ARPA.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exposición máxima razonable si se certifica la demanda, y hay provisión?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reclamación (≈1.500 M) equivale al 40 %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productos de IA espera la dirección en 2027-2028 y con qué métrica se medirá el plan de 60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ambición de 2030 (+12 % de beneficio)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sucursales usan OnTheMarket como segundo portal y cuántas han dejado Rightmove?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amenaza de CoStar mejor que el tráfico.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apalancamiento está dispuesto a recomprar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línea de 200 M cambia la política de balance sin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Obra nueva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tocará fondo la caída de promociones?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la rebaja de la guía de ingresos de julio.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(ii view)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recompra de 90 M por encima de lo esperado y la caída por la IA exagerada; mantiene la opinión favorable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Kalkine (comentario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Atribuye el rebote a la devolución de caja y a la estrategia de IA tras el 1S26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Negotiator (comentarios de agentes)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Agentes inmobiliarios predicen el declive del portal por sus precios y la IA; es la voz de los clientes, no de los inversores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Substack de inversión (Cayucos Capital)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de inversor particular: el foso sigue intacto y la acción descuenta demasiado la amenaza de la IA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Blog de inversión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Destaca que el crecimiento aguanta pero la obra nueva obliga a rebajar la guía; la recompra sostiene la acción [63].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como sustituto del portal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tráfico desde modelos de lenguaje es &lt; 0,5 % de las visitas y la cuota de tiempo marcó récord en 2025 [1, 2]: hoy no hay erosión medible.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devolución de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más de 400 M en 12 meses, ≈11 % de la capitalización, financiados en parte con deuda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abusivos y demanda colectiva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existe (≈1.500 M) y la vista es el 2-3 de noviembre [33]; la certificación no implica culpa.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Interés de compradores (REA, fondos)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ofreció 781 p en 2024 [27]; la prensa cita a un inversor estadounidense con un 6 % [34].</w:t>
            </w:r>
          </w:p>
        </w:tc>
      </w:tr>
    </w:tbl>
    <w:p>
      <w:pPr>
        <w:spacing w:after="160" w:before="0"/>
      </w:pPr>
    </w:p>
    <w:p>
      <w:pPr>
        <w:spacing w:after="100"/>
      </w:pPr>
      <w:r>
        <w:t xml:space="preserve">El sentimiento pasó de la capitulación de noviembre de 2025 a una mejora prudente: los inversores particulares y los comentaristas valoran la recompra y ven exagerada la amenaza de la IA, mientras los clientes (agentes) son hostiles. Esa hostilidad es la señal que más importa, porque es la base de la demanda colectiva y el límite real al poder de precios. No hay euforia: el sentimiento no contradice la tesis ni el consenso de analistas (dividido, 4 comprar, 3 mantener, 1 vender) [38]. Pocos debates de foros abren desde aquí: confianza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63 (23 primarias); citas distintas en el texto: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8, 15, 17, 22,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del balance (clientes, proveedores, intangibles,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la web de la empresa: no abre (solo WebSearch); 2) Stock Analysis, TipRanks, Kalkine y Simply Wall St vía búsqueda: solo totales y caja; 3) prensa: no publica el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2019-2022 y beneficio neto 2019-2020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2019-2022: no abren; 2) Stock Analysis vía búsqueda: solo 2021-2025; 3) derivado: amortización ≈1,4 % de las ventas (2023) y beneficio = BAI × 0,81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2021-2023, dividendos pagados 2021-2022 y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de flujos de los informes anuales: no abren; 2) Stock Analysis y TipRanks vía búsqueda: solo 2024-2025 de capex; 3) dividendos = DPA pagados × acciones medias (estimación); capex 2021-2023 estimado en 1,5-3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2) búsqueda: sin resultado; 3) no se gastan más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serie y crecimiento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 oficial (ONS) de publicidad inmobiliaria: no existe; 2) cuentas de Zoopla y OnTheMarket: no publicadas por separado; 3) informes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Zoopla y OnTheMarket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Companies House: no abre; 2) informe de CoStar: no desglosa OnTheMarket; 3) prensa: solo métricas de tráfico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y Sustainalytics: no abren; 2) informe anual: no abre; 3) no se gastan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comisiones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(solo WebSearch); 2) búsqueda de la junta 2026: solo votos; 3) prensa: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(PDMR)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PDMR: no abre; 2) búsqueda: sin resultados claros; 3) no se gastan más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presidente y participaciones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no abre; 2) búsqueda de la junta: no nombra cargos; 3) no se ponen nombres sin comprobar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sin red; 2) búsqueda de históricos: solo cierres sueltos; 3) registro de cortos de la FCA: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2027e y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(solo WebSearch); 2) MarketBeat y Stockopedia vía búsqueda: solo BPA del ejercicio; 3) Simply Wall St: solo tasas de crecimiento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inversores (Reddit, LSE Chat,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y Stocktwits: sin red (solo WebSearch); 2) búsqueda de foros: devuelve prensa; 3) LSE Chat da 403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2025 (RNS, 27-feb-2026)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https://plc.rightmove.co.uk/content/uploads/2026/02/Rightmove-RNS-27.02.26.pdf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https://plc.rightmove.co.uk/content/uploads/2026/02/260227-FY25-Presentation.pdf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https://www.investegate.co.uk/announcement/rns/rightmove--rmv/half-year-financial-report/9697048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Results 2024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https://www.investegate.co.uk/announcement/rns/rightmove--rmv/final-results/8756717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https://plc.rightmove.co.uk/content/uploads/2024/03/Rightmove-plc-Annual-Report-2023.pdf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Results 2022 (RNS, National Storage Mechanism)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https://data.fca.org.uk/artefacts/NSM/RNS/4692777.html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https://plc.rightmove.co.uk/content/uploads/2023/09/rightmove-annual-report-2020.pdf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https://www.investegate.co.uk/announcement/rns/rightmove--rmv/half-year-report/8999714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income statement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https://stockanalysis.com/quote/lon/RMV/financials/income-statement/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cash flow statement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https://stockanalysis.com/quote/lon/RMV/financials/cash-flow-statement/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balance sheet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https://stockanalysis.com/quote/lon/RMV/financials/balance-sheet/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(LSE:RMV):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https://kalkinemedia.com/pl/companies/lse-rmv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balance sheet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https://www.tipranks.com/stocks/gb:rmv/financials/balance-sheet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financial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https://simplywall.st/stocks/gb/media/lse-rmv/rightmove-shares/health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dividends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https://www.hl.co.uk/shares/shares-search-results/r/rightmove-plc-ord-gbp-0.001/dividends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(RNS, 6-nov-2025)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https://plc.rightmove.co.uk/content/uploads/2025/11/251106-RNS-Trading-Update.pdf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news: Rightmove 2020 revenue down 29% but edges ahead of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 UK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https://www.morningstar.co.uk/uk/news/AN_1614328527393798100/top-news-rightmove-2020-revenue-down-29-but-edges-ahead-of-forecasts.aspx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reduces annual sales view but announces new capital returns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https://www.ajbell.co.uk/news/articles/rightmove-reduces-annual-sales-view-announces-new-capital-returns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OnTheMarket Says CoStar Backing Delivering Traffic, Stock and Leads Surge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Marketplaces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https://www.onlinemarketplaces.com/?p=105003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CoStar CEO Andy Florance disappointed REA Group didn't buy Rightmove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Marketplaces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https://onlinemarketplaces.com/articles/costar-ceo-andy-florance-im-disappointed-that-rea-group-didnt-buy-rightmove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OnTheMarket / CoStar shareholder vote: takeover approved with 94% majority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Marketplaces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https://www.onlinemarketplaces.com/articles/otm-shareholders-vote-outcome-costar-takeover-approved-with-94-majority/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Reaffirms 2026 Guidance As Peers Pull Ahead On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Marketplaces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https://www.onlinemarketplaces.com/articles/rightmove-reaffirms-2026-guidance-as-peers-pull-ahead-on-growth/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Rightmove's £1.6B antitrust headache: the rising tide of UK class 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Jones 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https://www.jonesday.com/de/insights/2026/04/rightmoves-16b-antitrust-headache-the-rising-tide-of-uk-class-actions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historia corporativa (Final Results 31 December 2013, accionistas fundadores)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https://lse.co.uk/rns/RMV/rightmove-plc-final-results-31-december-2013-iw6m979xy6mp5xt.html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OnTheMarket has overtaken Zoopla says leads management platform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Negotiator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https://thenegotiator.co.uk/news/leads-management-firm-says-onthemarket-has-overtaken-zoopla-rightmove/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(RNS, 14-sep-2026): capital y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https://www.investegate.co.uk/announcement/prn/rightmove--rmv/transaction-in-own-shares/9770357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 to sell AutoScout24 for attractive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https://www.scout24.com/en/news-media/news/detail/scout24-ag-to-sell-autoscout24-for-attractive-valuation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share price falls after FTSE 100 exit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Property Industry Eye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https://propertyindustryeye.com/rightmove-share-price-falls-after-ftse-100-exit/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https://www.marketscreener.com/quote/stock/RIGHTMOVE-PLC-45538042/finances/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2026 (RNS,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https://www.investegate.co.uk/announcement/prn/rightmove--rmv/result-of-agm/9560118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2025 (RNS, 9-may-2025)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https://www.investegate.co.uk/announcement/prn/rightmove--rmv/result-of-agm/8871079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2024 (RNS, 10-may-2024)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https://plc.rightmove.co.uk/content/uploads/2024/05/2024.05.10-AGM-Results-Announcement.pdf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Court Date Secured for £1.5Bn Rightmove Lawsuit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Marketplaces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https://www.onlinemarketplaces.com/articles/first-court-date-secured-for-1-5bn-rightmove-lawsuit/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investor buys 6% stake in Rightmove as takeover rumours fly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Negotiator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https://thenegotiator.co.uk/news/marketing-news/us-investor-buys-6-stake-in-rightmove-as-takeover-rumours-fly/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(RNS, 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https://www.finanznachrichten.de/nachrichten-2026-09/69460819-rightmove-plc-total-voting-rights-008.htm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(LON:RMV): cotización y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https://www.stockopedia.com/share-prices/rightmove-LON:RMV/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(RMV)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https://www.investsmart.com.au/security/lon/rmv/rightmove-plc/share-price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(LON:RMV) stock price up 8.9% (alerta con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https://www.marketbeat.com/instant-alerts/price-rightmove-lon-rmv-stock-price-up-89-whats-next-2026-10-08/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precio objetivo de JPMorgan, Citigroup, Deutsche Bank y Berenberg (alertas)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https://www.marketbeat.com/instant-alerts/rightmove-lonrmv-given-new-gbx-486-price-target-at-citigroup-2026-08-05/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previsiones (crecimiento esperado de beneficio y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https://simplywall.st/stocks/gb/media/lse-rmv/rightmove-shares/future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 RTMVY) - Price History (cierres mensuales del ADR)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https://www.digrin.com/stocks/detail/RTMVY/price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(RMV)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Lightyear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https://lightyear.com/gb/stock/RMV:LSE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nominal a la par del gilt a 10 años (serie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https://www.bankofengland.co.uk/boeapps/database/_iadb-fromshowcolumns.asp?csv.x=yes&amp;Datefrom=01/Sep/2026&amp;Dateto=10/Oct/2026&amp;SeriesCodes=IUDMNPY&amp;CSVF=TN&amp;UsingCodes=Y&amp;VPD=Y&amp;VFD=N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Auto Trader (corte 10-oct-2026): datos de mercado de Auto Trader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a partir de los resultados FY26 de Auto Trader y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https://plc.autotrader.co.uk/media/usjleen0/full-year-press-release-fy26.pdf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https://www.marketscreener.com/quote/stock/SCOUT24-SE-24181607/finances/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https://www.marketscreener.com/quote/stock/REA-GROUP-LIMITED-6492683/finances/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https://www.marketscreener.com/quote/stock/CAR-GROUP-LIMITED-21002328/finances/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https://www.marketscreener.com/quote/stock/CARGURUS-INC-38123462/finances/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https://www.marketscreener.com/quote/stock/CARS-COM-INC-40449845/finances/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Hemnet: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https://www.marketscreener.com/quote/stock/HEMNET-GROUP-AB-122145266/finances/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frente a la libra (XUDLUSS, XUDLERS, XUDLADS, XUDLSKS)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https://www.bankofengland.co.uk/boeapps/database/_iadb-fromshowcolumns.asp?csv.x=yes&amp;Datefrom=01/Oct/2026&amp;Dateto=10/Oct/2026&amp;SeriesCodes=XUDLUSS,XUDLERS,XUDLADS,XUDLSKS,XUDLNKS&amp;CSVF=TN&amp;UsingCodes=Y&amp;VPD=Y&amp;VFD=N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 announces acquisition (49 % de Trader Interactive) and entitlement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carsales.com Ltd (ASX: CAR)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https://quoteapi.com/resources/4ec85c869fdae450/announcements/car.asx/3A566980/CAR_carsales_Announces_Acquisition_and_Entitlement_Offer.pdf?embed=1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 to sell the remaining 51% of its stake in Trader Interactive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https://en.newsroom.eurazeo.com/news/eurazeo-to-sell-the-remaining-51-of-its-stake-in-trader-interactive-0de4c-52e2c.html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Permira and Blackstone announce voluntary offer for all outstanding ordinary class A shares in Adevinta at NOK 115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Adevinta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https://adevinta.com/press-releases/permira-and-blackstone-announce-voluntary-offer-for-all-outstanding-ordinary-class-a-shares-in-adevinta-at-nok-115-per-share/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fourth proposal to Rightmove plc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https://announcements.asx.com.au/asxpdf/20240927/pdf/068fkm60skz437.pdf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enters into Scheme Implementation Deed with CoStar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https://announcements.asx.com.au/asxpdf/20250509/pdf/06jkzs19tnt4l0.pdf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Rightmove restarts share buybacks as AI spend gathers pace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https://www.ii.co.uk/analysis-commentary/ii-view-rightmove-restarts-share-buybacks-ai-spend-gathers-pace-ii538293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share price builds bullish pressure as AI innovation, capital returns and investor optimism support recovery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https://kalkine.co.uk/news/technology/rightmove-share-price-builds-bullish-pressure-as-ai-innovation-capital-returns-and-investor-optimism-support-recovery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“They will be studied like Blockbuster Video” – agents predict Rightmove demise (comentarios de agentes)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Negotiator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https://thenegotiator.co.uk/news/marketing-news/they-will-be-studied-like-blockbusters-agents-predict-rightmove-demise/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 Update on Rightmove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Cayucos Capital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https://cayucoscapital.substack.com/p/an-update-on-rightmove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avoids more share price woes as court date set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Negotiator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https://thenegotiator.co.uk/news/marketing-news/rightmove-hit-by-more-share-price-woes-as-court-date-set/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half-year results 2026: growth holds as New Homes cuts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Josh Thompson (blog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https://joshthompson.co.uk/investing/rightmove-half-year-results-2026-new-homes-guidance-buybacks/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83,3 %</w:t>
      </w:r>
      <w:r>
        <w:t xml:space="preserve"> · Secciones con menos del 60 % de campos cubiertos: </w:t>
      </w:r>
      <w:r>
        <w:rPr>
          <w:b/>
          <w:bCs/>
        </w:rPr>
        <w:t xml:space="preserve">gobierno, bolsa</w:t>
      </w:r>
      <w:r>
        <w:t xml:space="preserve"> · Generado el 14 oct 2026.</w:t>
      </w:r>
    </w:p>
    <w:p>
      <w:pPr>
        <w:pStyle w:val="Nota"/>
        <w:spacing w:after="100"/>
      </w:pPr>
      <w:r>
        <w:t xml:space="preserve">Entorno de trabajo en la nube con acceso solo a la búsqueda web: no se han podido abrir el informe anual, la web de inversores ni bajar históricos de cotización. Las cifras salen de los comunicados de resultados citados por la búsqueda y de agregadores (Stock Analysis, Kalkine, TipRanks, Simply Wall St) [1, 3, 9, 10, 11, 12, 13, 14]. Se valora la acción ordinaria de Londres (RMV), que cotiza en peniques; precio y valores por acción en libras: 488,9 p = 4,889 GBP, última sesión disponible antes del corte (Stockopedia) [36]. Acciones: 732,5 M de derechos de voto a 14-sep-2026 [26]; el puente es el balance de dic-2025 con un ajuste estimado por la caja consumida en recompras y dividendos hasta septiembre. Estimaciones propias: amortizaciones 2019-2022, beneficio neto 2019-2020, capex 2021-2023 y dividendos pagados 2021-2022; los cierres anuales de cotización son aproximados (ADR convertido) [41]. El balance solo tiene totales: sin desglose de circulante. Consenso de un solo agregador (MarketBeat) y sin estimaciones de 2027-2028. Comparables y transacciones reutilizados del informe de Auto Trader del 10-oct (MarketScreener a 9-oct-2026).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Rightmove plc (RMV)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(4,29 – 6,65)</c:v>
                </c:pt>
                <c:pt idx="1">
                  <c:v>Comparables: PER NTM (3,70 – 5,99)</c:v>
                </c:pt>
                <c:pt idx="2">
                  <c:v>DCF (WACC y g ± 0,5) (4,96 – 6,22)</c:v>
                </c:pt>
                <c:pt idx="3">
                  <c:v>Escenarios (bajista – alcista) (3,66 – 6,17)</c:v>
                </c:pt>
                <c:pt idx="4">
                  <c:v>DCF con la prima implícita del mercado (4,2 %)</c:v>
                </c:pt>
                <c:pt idx="5">
                  <c:v>Precio actual (4,89)</c:v>
                </c:pt>
              </c:strCache>
            </c:strRef>
          </c:cat>
          <c:val>
            <c:numRef>
              <c:f>Hoja1!$B$2:$B$7</c:f>
              <c:numCache>
                <c:formatCode>#,##0.00</c:formatCode>
                <c:ptCount val="6"/>
                <c:pt idx="0">
                  <c:v>4.29</c:v>
                </c:pt>
                <c:pt idx="1">
                  <c:v>3.7</c:v>
                </c:pt>
                <c:pt idx="2">
                  <c:v>4.96</c:v>
                </c:pt>
                <c:pt idx="3">
                  <c:v>3.66</c:v>
                </c:pt>
                <c:pt idx="4">
                  <c:v>6.02</c:v>
                </c:pt>
                <c:pt idx="5">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(4,29 – 6,65)</c:v>
                </c:pt>
                <c:pt idx="1">
                  <c:v>Comparables: PER NTM (3,70 – 5,99)</c:v>
                </c:pt>
                <c:pt idx="2">
                  <c:v>DCF (WACC y g ± 0,5) (4,96 – 6,22)</c:v>
                </c:pt>
                <c:pt idx="3">
                  <c:v>Escenarios (bajista – alcista) (3,66 – 6,17)</c:v>
                </c:pt>
                <c:pt idx="4">
                  <c:v>DCF con la prima implícita del mercado (4,2 %)</c:v>
                </c:pt>
                <c:pt idx="5">
                  <c:v>Precio actual (4,89)</c:v>
                </c:pt>
              </c:strCache>
            </c:strRef>
          </c:cat>
          <c:val>
            <c:numRef>
              <c:f>Hoja1!$C$2:$C$7</c:f>
              <c:numCache>
                <c:formatCode>#,##0.00</c:formatCode>
                <c:ptCount val="6"/>
                <c:pt idx="0">
                  <c:v>2.3600000000000003</c:v>
                </c:pt>
                <c:pt idx="1">
                  <c:v>2.29</c:v>
                </c:pt>
                <c:pt idx="2">
                  <c:v>1.2599999999999998</c:v>
                </c:pt>
                <c:pt idx="3">
                  <c:v>2.51</c:v>
                </c:pt>
                <c:pt idx="4">
                  <c:v>1.1100000000000003</c:v>
                </c:pt>
                <c:pt idx="5">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Agencia (venta y alquiler)</c:v>
                </c:pt>
              </c:strCache>
            </c:strRef>
          </c:tx>
          <c:spPr>
            <a:solidFill>
              <a:srgbClr val="2A78D6"/>
            </a:solidFill>
            <a:ln w="12700">
              <a:solidFill>
                <a:srgbClr val="FFFFFF"/>
              </a:solidFill>
            </a:ln>
          </c:spPr>
          <c:invertIfNegative val="0"/>
          <c:cat>
            <c:strRef>
              <c:f>Hoja1!$A$2</c:f>
              <c:strCache>
                <c:ptCount val="1"/>
                <c:pt idx="0">
                  <c:v>1S26</c:v>
                </c:pt>
              </c:strCache>
            </c:strRef>
          </c:cat>
          <c:val>
            <c:numRef>
              <c:f>Hoja1!$B$2</c:f>
              <c:numCache>
                <c:formatCode>#,##0</c:formatCode>
                <c:ptCount val="1"/>
                <c:pt idx="0">
                  <c:v>163.9</c:v>
                </c:pt>
              </c:numCache>
            </c:numRef>
          </c:val>
        </c:ser>
        <c:ser>
          <c:idx val="1"/>
          <c:order val="1"/>
          <c:tx>
            <c:strRef>
              <c:f>Hoja1!$C$1</c:f>
              <c:strCache>
                <c:ptCount val="1"/>
                <c:pt idx="0">
                  <c:v>Obra nueva y otros</c:v>
                </c:pt>
              </c:strCache>
            </c:strRef>
          </c:tx>
          <c:spPr>
            <a:solidFill>
              <a:srgbClr val="EB6834"/>
            </a:solidFill>
            <a:ln w="12700">
              <a:solidFill>
                <a:srgbClr val="FFFFFF"/>
              </a:solidFill>
            </a:ln>
          </c:spPr>
          <c:invertIfNegative val="0"/>
          <c:cat>
            <c:strRef>
              <c:f>Hoja1!$A$2</c:f>
              <c:strCache>
                <c:ptCount val="1"/>
                <c:pt idx="0">
                  <c:v>1S26</c:v>
                </c:pt>
              </c:strCache>
            </c:strRef>
          </c:cat>
          <c:val>
            <c:numRef>
              <c:f>Hoja1!$C$2</c:f>
              <c:numCache>
                <c:formatCode>#,##0</c:formatCode>
                <c:ptCount val="1"/>
                <c:pt idx="0">
                  <c:v>61.9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(1S26)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Agencia (venta y alquiler)</c:v>
                </c:pt>
                <c:pt idx="1">
                  <c:v>Obra nueva y otros</c:v>
                </c:pt>
              </c:strCache>
            </c:strRef>
          </c:cat>
          <c:val>
            <c:numRef>
              <c:f>Hoja1!$B$2:$B$3</c:f>
              <c:numCache>
                <c:formatCode>General</c:formatCode>
                <c:ptCount val="2"/>
                <c:pt idx="0">
                  <c:v>72.6</c:v>
                </c:pt>
                <c:pt idx="1">
                  <c:v>27.4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Reino Unido</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Rightmove</c:v>
                </c:pt>
                <c:pt idx="1">
                  <c:v>Zoopla (Houseful, Silver Lake)</c:v>
                </c:pt>
                <c:pt idx="2">
                  <c:v>OnTheMarket (CoStar Group)</c:v>
                </c:pt>
              </c:strCache>
            </c:strRef>
          </c:cat>
          <c:val>
            <c:numRef>
              <c:f>Hoja1!$B$2:$B$4</c:f>
              <c:numCache>
                <c:formatCode>0.0"%"</c:formatCode>
                <c:ptCount val="3"/>
                <c:pt idx="0">
                  <c:v>67.7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289.3</c:v>
                </c:pt>
                <c:pt idx="1">
                  <c:v>205.7</c:v>
                </c:pt>
                <c:pt idx="2">
                  <c:v>304.9</c:v>
                </c:pt>
                <c:pt idx="3">
                  <c:v>332.6</c:v>
                </c:pt>
                <c:pt idx="4">
                  <c:v>364.3</c:v>
                </c:pt>
                <c:pt idx="5">
                  <c:v>389.9</c:v>
                </c:pt>
                <c:pt idx="6">
                  <c:v>425.1</c:v>
                </c:pt>
                <c:pt idx="7">
                  <c:v>455</c:v>
                </c:pt>
                <c:pt idx="8">
                  <c:v>487</c:v>
                </c:pt>
                <c:pt idx="9">
                  <c:v>521</c:v>
                </c:pt>
                <c:pt idx="10">
                  <c:v>555</c:v>
                </c:pt>
                <c:pt idx="11">
                  <c:v>588</c:v>
                </c:pt>
                <c:pt idx="12">
                  <c:v>617</c:v>
                </c:pt>
                <c:pt idx="13">
                  <c:v>645</c:v>
                </c:pt>
                <c:pt idx="14">
                  <c:v>671</c:v>
                </c:pt>
                <c:pt idx="15">
                  <c:v>694</c:v>
                </c:pt>
                <c:pt idx="16">
                  <c:v>715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217.7</c:v>
                </c:pt>
                <c:pt idx="1">
                  <c:v>138.6</c:v>
                </c:pt>
                <c:pt idx="2">
                  <c:v>230.1</c:v>
                </c:pt>
                <c:pt idx="3">
                  <c:v>245.8</c:v>
                </c:pt>
                <c:pt idx="4">
                  <c:v>263</c:v>
                </c:pt>
                <c:pt idx="5">
                  <c:v>271.5</c:v>
                </c:pt>
                <c:pt idx="6">
                  <c:v>296.2</c:v>
                </c:pt>
                <c:pt idx="7">
                  <c:v>311</c:v>
                </c:pt>
                <c:pt idx="8">
                  <c:v>333</c:v>
                </c:pt>
                <c:pt idx="9">
                  <c:v>359</c:v>
                </c:pt>
                <c:pt idx="10">
                  <c:v>388</c:v>
                </c:pt>
                <c:pt idx="11">
                  <c:v>417</c:v>
                </c:pt>
                <c:pt idx="12">
                  <c:v>438</c:v>
                </c:pt>
                <c:pt idx="13">
                  <c:v>458</c:v>
                </c:pt>
                <c:pt idx="14">
                  <c:v>476</c:v>
                </c:pt>
                <c:pt idx="15">
                  <c:v>493</c:v>
                </c:pt>
                <c:pt idx="16">
                  <c:v>508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100</c:v>
                </c:pt>
                <c:pt idx="1">
                  <c:v>100</c:v>
                </c:pt>
                <c:pt idx="2">
                  <c:v>100</c:v>
                </c:pt>
                <c:pt idx="3">
                  <c:v>100</c:v>
                </c:pt>
                <c:pt idx="4">
                  <c:v>100</c:v>
                </c:pt>
                <c:pt idx="5">
                  <c:v>100</c:v>
                </c:pt>
                <c:pt idx="6">
                  <c:v>100</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75.3</c:v>
                </c:pt>
                <c:pt idx="1">
                  <c:v>67.4</c:v>
                </c:pt>
                <c:pt idx="2">
                  <c:v>75.5</c:v>
                </c:pt>
                <c:pt idx="3">
                  <c:v>73.9</c:v>
                </c:pt>
                <c:pt idx="4">
                  <c:v>72.2</c:v>
                </c:pt>
                <c:pt idx="5">
                  <c:v>69.6</c:v>
                </c:pt>
                <c:pt idx="6">
                  <c:v>69.7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73.9</c:v>
                </c:pt>
                <c:pt idx="1">
                  <c:v>65.7</c:v>
                </c:pt>
                <c:pt idx="2">
                  <c:v>74.2</c:v>
                </c:pt>
                <c:pt idx="3">
                  <c:v>72.5</c:v>
                </c:pt>
                <c:pt idx="4">
                  <c:v>70.8</c:v>
                </c:pt>
                <c:pt idx="5">
                  <c:v>68.1</c:v>
                </c:pt>
                <c:pt idx="6">
                  <c:v>67.7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59.8</c:v>
                </c:pt>
                <c:pt idx="1">
                  <c:v>53.1</c:v>
                </c:pt>
                <c:pt idx="2">
                  <c:v>60.1</c:v>
                </c:pt>
                <c:pt idx="3">
                  <c:v>58.8</c:v>
                </c:pt>
                <c:pt idx="4">
                  <c:v>54.7</c:v>
                </c:pt>
                <c:pt idx="5">
                  <c:v>49.4</c:v>
                </c:pt>
                <c:pt idx="6">
                  <c:v>51.1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10.2</c:v>
                </c:pt>
                <c:pt idx="3">
                  <c:v>7.9</c:v>
                </c:pt>
                <c:pt idx="4">
                  <c:v>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193.5</c:v>
                </c:pt>
                <c:pt idx="1">
                  <c:v>196.1</c:v>
                </c:pt>
                <c:pt idx="2">
                  <c:v>203.7</c:v>
                </c:pt>
                <c:pt idx="3">
                  <c:v>202.20000000000002</c:v>
                </c:pt>
                <c:pt idx="4">
                  <c:v>226.10000000000002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183.1</c:v>
                </c:pt>
                <c:pt idx="1">
                  <c:v>195.7</c:v>
                </c:pt>
                <c:pt idx="2">
                  <c:v>199.2</c:v>
                </c:pt>
                <c:pt idx="3">
                  <c:v>192.7</c:v>
                </c:pt>
                <c:pt idx="4">
                  <c:v>217.1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2">
                  <c:v>814.1</c:v>
                </c:pt>
                <c:pt idx="3">
                  <c:v>772.6</c:v>
                </c:pt>
                <c:pt idx="4">
                  <c:v>675.2</c:v>
                </c:pt>
                <c:pt idx="5">
                  <c:v>564.1</c:v>
                </c:pt>
                <c:pt idx="6">
                  <c:v>545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c:v>
                </c:pt>
                <c:pt idx="1">
                  <c:v>10</c:v>
                </c:pt>
                <c:pt idx="2">
                  <c:v>10</c:v>
                </c:pt>
                <c:pt idx="3">
                  <c:v>10</c:v>
                </c:pt>
                <c:pt idx="4">
                  <c:v>10</c:v>
                </c:pt>
                <c:pt idx="5">
                  <c:v>10</c:v>
                </c:pt>
                <c:pt idx="6">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2">
                  <c:v>259.7</c:v>
                </c:pt>
                <c:pt idx="3">
                  <c:v>282.2</c:v>
                </c:pt>
                <c:pt idx="4">
                  <c:v>289.5</c:v>
                </c:pt>
                <c:pt idx="5">
                  <c:v>256.4</c:v>
                </c:pt>
                <c:pt idx="6">
                  <c:v>266.1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-0.21</c:v>
                </c:pt>
                <c:pt idx="1">
                  <c:v>-0.16</c:v>
                </c:pt>
                <c:pt idx="2">
                  <c:v>-0.15</c:v>
                </c:pt>
                <c:pt idx="3">
                  <c:v>-0.15</c:v>
                </c:pt>
                <c:pt idx="4">
                  <c:v>-0.14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64.7</c:v>
                </c:pt>
                <c:pt idx="1">
                  <c:v>67.6</c:v>
                </c:pt>
                <c:pt idx="2">
                  <c:v>68.8</c:v>
                </c:pt>
                <c:pt idx="3">
                  <c:v>66.1</c:v>
                </c:pt>
                <c:pt idx="4">
                  <c:v>78.6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176.9</c:v>
                </c:pt>
                <c:pt idx="1">
                  <c:v>133.8</c:v>
                </c:pt>
                <c:pt idx="2">
                  <c:v>132.9</c:v>
                </c:pt>
                <c:pt idx="3">
                  <c:v>115.6</c:v>
                </c:pt>
                <c:pt idx="4">
                  <c:v>146.2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Inversor estadounidense (6 %, según prensa)</c:v>
                </c:pt>
                <c:pt idx="1">
                  <c:v>Autocartera</c:v>
                </c:pt>
              </c:strCache>
            </c:strRef>
          </c:cat>
          <c:val>
            <c:numRef>
              <c:f>Hoja1!$B$2:$B$3</c:f>
              <c:numCache>
                <c:formatCode>0.0"%"</c:formatCode>
                <c:ptCount val="2"/>
                <c:pt idx="0">
                  <c:v>6</c:v>
                </c:pt>
                <c:pt idx="1">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2">
                  <c:v>29.5</c:v>
                </c:pt>
                <c:pt idx="3">
                  <c:v>17.2</c:v>
                </c:pt>
                <c:pt idx="4">
                  <c:v>17.7</c:v>
                </c:pt>
                <c:pt idx="5">
                  <c:v>18.5</c:v>
                </c:pt>
                <c:pt idx="6">
                  <c:v>13.4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17.7</c:v>
                </c:pt>
                <c:pt idx="1">
                  <c:v>17.7</c:v>
                </c:pt>
                <c:pt idx="2">
                  <c:v>17.7</c:v>
                </c:pt>
                <c:pt idx="3">
                  <c:v>17.7</c:v>
                </c:pt>
                <c:pt idx="4">
                  <c:v>17.7</c:v>
                </c:pt>
                <c:pt idx="5">
                  <c:v>17.7</c:v>
                </c:pt>
                <c:pt idx="6">
                  <c:v>17.7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Rightmove</c:v>
                </c:pt>
                <c:pt idx="1">
                  <c:v>Auto Trader</c:v>
                </c:pt>
                <c:pt idx="2">
                  <c:v>Scout24</c:v>
                </c:pt>
                <c:pt idx="3">
                  <c:v>REA Group</c:v>
                </c:pt>
                <c:pt idx="4">
                  <c:v>CAR Group</c:v>
                </c:pt>
                <c:pt idx="5">
                  <c:v>CarGurus</c:v>
                </c:pt>
                <c:pt idx="6">
                  <c:v>Cars.com</c:v>
                </c:pt>
                <c:pt idx="7">
                  <c:v>Hemnet</c:v>
                </c:pt>
              </c:strCache>
            </c:strRef>
          </c:cat>
          <c:val>
            <c:numRef>
              <c:f>Hoja1!$B$2:$B$9</c:f>
              <c:numCache>
                <c:formatCode>0.0"x"</c:formatCode>
                <c:ptCount val="8"/>
                <c:pt idx="1">
                  <c:v>9.5</c:v>
                </c:pt>
                <c:pt idx="2">
                  <c:v>10.6</c:v>
                </c:pt>
                <c:pt idx="3">
                  <c:v>15.9</c:v>
                </c:pt>
                <c:pt idx="4">
                  <c:v>12.3</c:v>
                </c:pt>
                <c:pt idx="5">
                  <c:v>6.4</c:v>
                </c:pt>
                <c:pt idx="6">
                  <c:v>4.1</c:v>
                </c:pt>
                <c:pt idx="7">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Auto Trader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3.9</c:v>
                </c:pt>
              </c:numCache>
            </c:numRef>
          </c:xVal>
          <c:yVal>
            <c:numRef>
              <c:f>Hoja1!$C$2</c:f>
              <c:numCache>
                <c:formatCode>0.0"x"</c:formatCode>
                <c:ptCount val="1"/>
                <c:pt idx="0">
                  <c:v>9.5</c:v>
                </c:pt>
              </c:numCache>
            </c:numRef>
          </c:yVal>
          <c:smooth val="0"/>
        </c:ser>
        <c:ser>
          <c:idx val="1"/>
          <c:order val="1"/>
          <c:tx>
            <c:strRef>
              <c:f>Hoja1!$A$3</c:f>
              <c:strCache>
                <c:ptCount val="1"/>
                <c:pt idx="0">
                  <c:v>Scout24</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14.7</c:v>
                </c:pt>
              </c:numCache>
            </c:numRef>
          </c:xVal>
          <c:yVal>
            <c:numRef>
              <c:f>Hoja1!$C$3</c:f>
              <c:numCache>
                <c:formatCode>0.0"x"</c:formatCode>
                <c:ptCount val="1"/>
                <c:pt idx="0">
                  <c:v>10.6</c:v>
                </c:pt>
              </c:numCache>
            </c:numRef>
          </c:yVal>
          <c:smooth val="0"/>
        </c:ser>
        <c:ser>
          <c:idx val="2"/>
          <c:order val="2"/>
          <c:tx>
            <c:strRef>
              <c:f>Hoja1!$A$4</c:f>
              <c:strCache>
                <c:ptCount val="1"/>
                <c:pt idx="0">
                  <c:v>REA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6.1</c:v>
                </c:pt>
              </c:numCache>
            </c:numRef>
          </c:xVal>
          <c:yVal>
            <c:numRef>
              <c:f>Hoja1!$C$4</c:f>
              <c:numCache>
                <c:formatCode>0.0"x"</c:formatCode>
                <c:ptCount val="1"/>
                <c:pt idx="0">
                  <c:v>15.9</c:v>
                </c:pt>
              </c:numCache>
            </c:numRef>
          </c:yVal>
          <c:smooth val="0"/>
        </c:ser>
        <c:ser>
          <c:idx val="3"/>
          <c:order val="3"/>
          <c:tx>
            <c:strRef>
              <c:f>Hoja1!$A$5</c:f>
              <c:strCache>
                <c:ptCount val="1"/>
                <c:pt idx="0">
                  <c:v>CAR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10.8</c:v>
                </c:pt>
              </c:numCache>
            </c:numRef>
          </c:xVal>
          <c:yVal>
            <c:numRef>
              <c:f>Hoja1!$C$5</c:f>
              <c:numCache>
                <c:formatCode>0.0"x"</c:formatCode>
                <c:ptCount val="1"/>
                <c:pt idx="0">
                  <c:v>12.3</c:v>
                </c:pt>
              </c:numCache>
            </c:numRef>
          </c:yVal>
          <c:smooth val="0"/>
        </c:ser>
        <c:ser>
          <c:idx val="4"/>
          <c:order val="4"/>
          <c:tx>
            <c:strRef>
              <c:f>Hoja1!$A$6</c:f>
              <c:strCache>
                <c:ptCount val="1"/>
                <c:pt idx="0">
                  <c:v>CarGurus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8.5</c:v>
                </c:pt>
              </c:numCache>
            </c:numRef>
          </c:xVal>
          <c:yVal>
            <c:numRef>
              <c:f>Hoja1!$C$6</c:f>
              <c:numCache>
                <c:formatCode>0.0"x"</c:formatCode>
                <c:ptCount val="1"/>
                <c:pt idx="0">
                  <c:v>6.4</c:v>
                </c:pt>
              </c:numCache>
            </c:numRef>
          </c:yVal>
          <c:smooth val="0"/>
        </c:ser>
        <c:ser>
          <c:idx val="5"/>
          <c:order val="5"/>
          <c:tx>
            <c:strRef>
              <c:f>Hoja1!$A$7</c:f>
              <c:strCache>
                <c:ptCount val="1"/>
                <c:pt idx="0">
                  <c:v>Cars.com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1.4</c:v>
                </c:pt>
              </c:numCache>
            </c:numRef>
          </c:xVal>
          <c:yVal>
            <c:numRef>
              <c:f>Hoja1!$C$7</c:f>
              <c:numCache>
                <c:formatCode>0.0"x"</c:formatCode>
                <c:ptCount val="1"/>
                <c:pt idx="0">
                  <c:v>4.1</c:v>
                </c:pt>
              </c:numCache>
            </c:numRef>
          </c:yVal>
          <c:smooth val="0"/>
        </c:ser>
        <c:ser>
          <c:idx val="6"/>
          <c:order val="6"/>
          <c:tx>
            <c:strRef>
              <c:f>Hoja1!$A$8</c:f>
              <c:strCache>
                <c:ptCount val="1"/>
                <c:pt idx="0">
                  <c:v>Hemnet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-2.3</c:v>
                </c:pt>
              </c:numCache>
            </c:numRef>
          </c:xVal>
          <c:yVal>
            <c:numRef>
              <c:f>Hoja1!$C$8</c:f>
              <c:numCache>
                <c:formatCode>0.0"x"</c:formatCode>
                <c:ptCount val="1"/>
                <c:pt idx="0">
                  <c:v>10</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AutoScout24 (con FinanceScout24 y Finanzcheck)</c:v>
                </c:pt>
                <c:pt idx="1">
                  <c:v>Trader Interactive (49 %)</c:v>
                </c:pt>
                <c:pt idx="2">
                  <c:v>Trader Interactive (51 % restante)</c:v>
                </c:pt>
                <c:pt idx="3">
                  <c:v>Adevinta</c:v>
                </c:pt>
                <c:pt idx="4">
                  <c:v>Rightmove (propuesta no aceptada)</c:v>
                </c:pt>
                <c:pt idx="5">
                  <c:v>Domain Holdings Australia</c:v>
                </c:pt>
              </c:strCache>
            </c:strRef>
          </c:cat>
          <c:val>
            <c:numRef>
              <c:f>Hoja1!$B$2:$B$7</c:f>
              <c:numCache>
                <c:formatCode>0.0"x"</c:formatCode>
                <c:ptCount val="6"/>
                <c:pt idx="0">
                  <c:v>26.1</c:v>
                </c:pt>
                <c:pt idx="1">
                  <c:v>26.5</c:v>
                </c:pt>
                <c:pt idx="2">
                  <c:v>25</c:v>
                </c:pt>
                <c:pt idx="4">
                  <c:v>22.9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220</c:v>
                </c:pt>
                <c:pt idx="1">
                  <c:v>237</c:v>
                </c:pt>
                <c:pt idx="2">
                  <c:v>256</c:v>
                </c:pt>
                <c:pt idx="3">
                  <c:v>278</c:v>
                </c:pt>
                <c:pt idx="4">
                  <c:v>299</c:v>
                </c:pt>
                <c:pt idx="5">
                  <c:v>315</c:v>
                </c:pt>
                <c:pt idx="6">
                  <c:v>329</c:v>
                </c:pt>
                <c:pt idx="7">
                  <c:v>342</c:v>
                </c:pt>
                <c:pt idx="8">
                  <c:v>354</c:v>
                </c:pt>
                <c:pt idx="9">
                  <c:v>365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1806</c:v>
                </c:pt>
                <c:pt idx="1">
                  <c:v>2206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4,89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3.66</c:v>
                </c:pt>
                <c:pt idx="1">
                  <c:v>5.5</c:v>
                </c:pt>
                <c:pt idx="2">
                  <c:v>6.17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(4,29 – 6,65)</c:v>
                </c:pt>
                <c:pt idx="1">
                  <c:v>Comparables: PER NTM (3,70 – 5,99)</c:v>
                </c:pt>
                <c:pt idx="2">
                  <c:v>DCF (WACC y g ± 0,5) (4,96 – 6,22)</c:v>
                </c:pt>
                <c:pt idx="3">
                  <c:v>Escenarios (bajista – alcista) (3,66 – 6,17)</c:v>
                </c:pt>
                <c:pt idx="4">
                  <c:v>DCF con la prima implícita del mercado (4,2 %)</c:v>
                </c:pt>
                <c:pt idx="5">
                  <c:v>Precio actual (4,89)</c:v>
                </c:pt>
              </c:strCache>
            </c:strRef>
          </c:cat>
          <c:val>
            <c:numRef>
              <c:f>Hoja1!$B$2:$B$7</c:f>
              <c:numCache>
                <c:formatCode>#,##0.00</c:formatCode>
                <c:ptCount val="6"/>
                <c:pt idx="0">
                  <c:v>4.29</c:v>
                </c:pt>
                <c:pt idx="1">
                  <c:v>3.7</c:v>
                </c:pt>
                <c:pt idx="2">
                  <c:v>4.96</c:v>
                </c:pt>
                <c:pt idx="3">
                  <c:v>3.66</c:v>
                </c:pt>
                <c:pt idx="4">
                  <c:v>6.02</c:v>
                </c:pt>
                <c:pt idx="5">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(4,29 – 6,65)</c:v>
                </c:pt>
                <c:pt idx="1">
                  <c:v>Comparables: PER NTM (3,70 – 5,99)</c:v>
                </c:pt>
                <c:pt idx="2">
                  <c:v>DCF (WACC y g ± 0,5) (4,96 – 6,22)</c:v>
                </c:pt>
                <c:pt idx="3">
                  <c:v>Escenarios (bajista – alcista) (3,66 – 6,17)</c:v>
                </c:pt>
                <c:pt idx="4">
                  <c:v>DCF con la prima implícita del mercado (4,2 %)</c:v>
                </c:pt>
                <c:pt idx="5">
                  <c:v>Precio actual (4,89)</c:v>
                </c:pt>
              </c:strCache>
            </c:strRef>
          </c:cat>
          <c:val>
            <c:numRef>
              <c:f>Hoja1!$C$2:$C$7</c:f>
              <c:numCache>
                <c:formatCode>#,##0.00</c:formatCode>
                <c:ptCount val="6"/>
                <c:pt idx="0">
                  <c:v>2.3600000000000003</c:v>
                </c:pt>
                <c:pt idx="1">
                  <c:v>2.29</c:v>
                </c:pt>
                <c:pt idx="2">
                  <c:v>1.2599999999999998</c:v>
                </c:pt>
                <c:pt idx="3">
                  <c:v>2.51</c:v>
                </c:pt>
                <c:pt idx="4">
                  <c:v>1.1100000000000003</c:v>
                </c:pt>
                <c:pt idx="5">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