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Nestlé S.A.</w:t>
      </w:r>
    </w:p>
    <w:p>
      <w:pPr>
        <w:spacing w:after="60"/>
        <w:rPr>
          <w:color w:val="52514E"/>
          <w:sz w:val="22"/>
          <w:szCs w:val="22"/>
        </w:rPr>
      </w:pPr>
      <w:r>
        <w:rPr>
          <w:color w:val="52514E"/>
          <w:sz w:val="22"/>
          <w:szCs w:val="22"/>
        </w:rPr>
        <w:t xml:space="preserve">NESN · SIX Swiss Exchange · ISIN CH0038863350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26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83,70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87,70 CHF</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+8,5 % (base +11,5 %)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93,27 CHF · mercado 109,19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215.360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3,3x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Nestlé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NESN / CH0038863350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Alimentación envasada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Vevey (Suiza) · 1866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271.000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www.nestle.com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83,70 (23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70,29 – 87,09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2.573,0</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215.360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223.769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242 M CHF/día (3,06 M de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feb 2027</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87,70 CHF</w:t>
      </w:r>
      <w:r>
        <w:t xml:space="preserve"> frente a 83,70 · Rentabilidad a 12 meses </w:t>
      </w:r>
      <w:r>
        <w:rPr>
          <w:b/>
          <w:bCs/>
        </w:rPr>
        <w:t xml:space="preserve">+8,5 % (base +11,5 %)</w:t>
      </w:r>
      <w:r>
        <w:t xml:space="preserve"> · Valor intrínseco 93,27 CHF · con la prima implícita del mercado: 109,19 (+30,5 %) · Alcista / bajista +27,7 % / -8,2 %</w:t>
      </w:r>
    </w:p>
    <w:p>
      <w:pPr>
        <w:spacing w:after="100"/>
      </w:pPr>
      <w:r>
        <w:rPr>
          <w:b/>
        </w:rPr>
        <w:t xml:space="preserve">La recomendación y por qué.</w:t>
      </w:r>
      <w:r>
        <w:t xml:space="preserve"> Mantener, con convicción media. Con nuestro BPA subyacente y nuestro PER, el objetivo a 12 meses es de 87,70 CHF frente a 83,70 CHF de cierre del 23 de octubre: +8,5 % con el dividendo (3,7 %), y +11,5 % en el caso base (90,21 CHF). No llega a los umbrales de compra (15 % ponderado y 12 % en el base). El valor intrínseco es de 93,27 CHF (+11,4 %) y el objetivo medio de los analistas (89,04 CHF) cae dentro de nuestro rango (66,65-103,73 CHF), muy cerca de nuestro base [30]. La acción ya subió un 12 % desde el 5 de octubre [34]. La convicción es media: las cuentas son de fuentes primarias y el objetivo coincide con el de los analistas, pero todo descansa en un trimestre de volumen; la convicción subiría si el 1T27 repite un volumen cercano al 2 % y bajaría si vuelve por debajo del 1,5 %.</w:t>
      </w:r>
    </w:p>
    <w:p>
      <w:pPr>
        <w:spacing w:after="100"/>
      </w:pPr>
      <w:r>
        <w:rPr>
          <w:b/>
        </w:rPr>
        <w:t xml:space="preserve">Qué ha cambiado desde el informe del 14 de octubre.</w:t>
      </w:r>
      <w:r>
        <w:t xml:space="preserve"> Las ventas de nueve meses (22 de octubre) fueron mejores de lo esperado: 4,0 % de crecimiento orgánico en el 3T26 con un 2,8 % de volumen, positivo en todas las zonas, frente al 3,5 % y el 1,7 % del consenso; la guía de 2026 se mantiene y el efecto divisa baja a −2 % [7, 15]. Por eso la sostenibilidad del crecimiento pasa de «En parte» a «Sí» y el BPA de 2028e sube de 4,59 a 4,65 CHF. Rusia sale del perímetro y se venden vitaminas y la mitad de aguas [7]. Pero la señal no mejora: el precio subió de 77,30 a 83,70 CHF y corregimos la historia del PER, que en la revisión del 16 de octubre mezclaba el BPA publicado con el subyacente y daba una mediana de 24,3 veces; en la misma base que nuestros casos es de 20,4. El precio de compra baja de 82,27 a 78,96 CHF y el de venta, de 106,07 a 100,89 CHF. Las cuentas salen ahora de los PDF de Nestlé.</w:t>
      </w:r>
    </w:p>
    <w:p>
      <w:pPr>
        <w:spacing w:after="100"/>
      </w:pPr>
      <w:r>
        <w:rPr>
          <w:b/>
        </w:rPr>
        <w:t xml:space="preserve">El negocio.</w:t>
      </w:r>
      <w:r>
        <w:t xml:space="preserve"> Primer grupo de alimentación del mundo, con marcas que le dan un ROIC del 11,8 % (17,6 % sin el fondo de comercio) frente a un WACC del 4,53 %: crea valor con unos 7 puntos de margen. El margen subyacente cayó del 17,2 % al 16,1 % en 2025 [1].</w:t>
      </w:r>
    </w:p>
    <w:p>
      <w:pPr>
        <w:spacing w:after="100"/>
      </w:pPr>
      <w:r>
        <w:rPr>
          <w:b/>
        </w:rPr>
        <w:t xml:space="preserve">Finanzas.</w:t>
      </w:r>
      <w:r>
        <w:t xml:space="preserve"> Las ventas en francos apenas crecen desde 2021 (0,7 % anual) por el franco fuerte y las ventas de negocios. La caja libre (8.134 M en 2025, más de 9.000 M de guía en 2026) apenas cubre el dividendo de ≈7.900 M, y la deuda neta es de 56.344 M (3 veces el EBITDA) [1, 5].</w:t>
      </w:r>
    </w:p>
    <w:p>
      <w:pPr>
        <w:spacing w:after="100"/>
      </w:pPr>
      <w:r>
        <w:rPr>
          <w:b/>
        </w:rPr>
        <w:t xml:space="preserve">Equipo y gobierno.</w:t>
      </w:r>
      <w:r>
        <w:t xml:space="preserve"> Philipp Navratil y Pablo Isla, llegados tras dos relevos en 2024-2025, cumplieron la guía de 2025 y van en camino con la de 2026 [7, 10].</w:t>
      </w:r>
    </w:p>
    <w:p>
      <w:pPr>
        <w:spacing w:after="100"/>
      </w:pPr>
      <w:r>
        <w:rPr>
          <w:b/>
        </w:rPr>
        <w:t xml:space="preserve">Valoración.</w:t>
      </w:r>
      <w:r>
        <w:t xml:space="preserve"> El DCF da 97,23 CHF con un WACC del 4,53 % (bono suizo al 0,59 %) y un valor terminal del 70 %; con un WACC del 5,5 % bajaría a 77,26 CHF. El precio descuenta un margen EBITDA del 18,5 % (el de hoy) frente a nuestro 20,5 %. L'Oréal vale 16,8 CHF por acción [47].</w:t>
      </w:r>
    </w:p>
    <w:p>
      <w:pPr>
        <w:spacing w:after="100"/>
      </w:pPr>
      <w:r>
        <w:rPr>
          <w:b/>
        </w:rPr>
        <w:t xml:space="preserve">Riesgos y catalizadores.</w:t>
      </w:r>
      <w:r>
        <w:t xml:space="preserve"> El mayor riesgo es que el volumen del 3T26 fuera un adelanto de pedidos, como avisó la directora financiera [9]: el bajista a 12 meses es de 66,65 CHF (−16,7 %). Catalizadores: resultados de 2026 el 18 de febrero de 2027, cobro de aguas y vitaminas en el 1S27 y ventas del 1T27.</w:t>
      </w:r>
    </w:p>
    <w:p>
      <w:pPr>
        <w:spacing w:after="100"/>
      </w:pPr>
      <w:r>
        <w:rPr>
          <w:b/>
        </w:rPr>
        <w:t xml:space="preserve">Qué cambiaría la decisión.</w:t>
      </w:r>
      <w:r>
        <w:t xml:space="preserve"> Compraríamos por debajo de 78,96 CHF. Venderíamos por encima de 100,89 CHF. Subiríamos el BPA con un UTOP de 2026 por encima del 16,5 % y una guía de volumen de 2 % o más para 2027.</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(la tesis de valor, a 2-3 años) · Objetivo a 12 meses: </w:t>
      </w:r>
      <w:r>
        <w:rPr>
          <w:b/>
          <w:bCs/>
        </w:rPr>
        <w:t xml:space="preserve">87,70 CHF</w:t>
      </w:r>
      <w:r>
        <w:t xml:space="preserve"> (rentabilidad +8,5 % (base +11,5 %)) · Valor intrínseco: 93,27 CHF (+11,4 % sobre 83,70) · con la prima implícita del mercado: 109,19 (+30,5 %)</w:t>
      </w:r>
    </w:p>
    <w:p>
      <w:pPr>
        <w:spacing w:after="100"/>
      </w:pPr>
      <w:r>
        <w:t xml:space="preserve">Nestlé es el primer grupo de alimentación del mundo (89.490 M CHF de ventas en 2025), con marcas en café, mascotas y nutrición que le dan un ROIC del 11,8 %, muy por encima de su coste de capital en francos (4,53 %) [1]. Su problema no es el foso sino el crecimiento: el BPA subyacente de 2025 (4,42 CHF) es el mismo que el de 2021, porque el franco y las ventas de negocios se comen el orgánico y el margen cayó al 16,1 % en 2025 [1].</w:t>
      </w:r>
    </w:p>
    <w:p>
      <w:pPr>
        <w:spacing w:after="100"/>
      </w:pPr>
      <w:r>
        <w:t xml:space="preserve">El 3T26 dio la primera prueba de que el volumen vuelve (2,8 %, positivo en todas las zonas) [7]. El precio (83,70 CHF) descuenta un margen EBITDA del 18,5 %, el de hoy, frente al 20,5 % que proyectamos, y cotiza a 18,4 veces nuestro BPA de 2027e, por debajo de su mediana de cinco años en la misma base (20,4 veces).</w:t>
      </w:r>
    </w:p>
    <w:p>
      <w:pPr>
        <w:spacing w:after="100"/>
      </w:pPr>
      <w:r>
        <w:t xml:space="preserve">Para invertir hay que creer que el ahorro de 3.000 M y la salida de negocios de menor margen devuelven el UTOP al 17-17,5 %. Si pasa, el valor intrínseco (93,27 CHF) se acerca; pero a 12 meses el BPA de 2028e solo crece un 3 % sobre el de 2026 por las ventas de negocios, y el objetivo (87,70 CHF) deja poco margen. Es una tesis de varios años con un dividendo del 3,7 % como pago por esperar.</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 × 4,30 = 66,65 · 19,4x × 4,65 = 90,21 · 21,3x × 4,87 = 103,73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 / 11,5 %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89,04 (nuestro base +1,3 %)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93,27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 /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 frente a 4,5 % y 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3,9 %)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109,19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 frente a 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(0,9 %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78,96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78,96 y 100,89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100,89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78,96 CHF: la rentabilidad a 12 meses supera el 15 % ponderado y el 12 % en el base, y pasaríamos a Comprar.</w:t>
      </w:r>
    </w:p>
    <w:p>
      <w:pPr>
        <w:pStyle w:val="ListParagraph"/>
        <w:numPr>
          <w:ilvl w:val="0"/>
          <w:numId w:val="2"/>
        </w:numPr>
        <w:spacing w:after="60"/>
      </w:pPr>
      <w:r>
        <w:t xml:space="preserve">Precio por encima de 100,89 CHF: pasaríamos a Vender.</w:t>
      </w:r>
    </w:p>
    <w:p>
      <w:pPr>
        <w:pStyle w:val="ListParagraph"/>
        <w:numPr>
          <w:ilvl w:val="0"/>
          <w:numId w:val="2"/>
        </w:numPr>
        <w:spacing w:after="60"/>
      </w:pPr>
      <w:r>
        <w:t xml:space="preserve">UTOP de 2026 por encima del 16,5 % y guía de volumen de 2 % o más: subiríamos el BPA de 2028e y el objetivo.</w:t>
      </w:r>
    </w:p>
    <w:p>
      <w:pPr>
        <w:pStyle w:val="ListParagraph"/>
        <w:numPr>
          <w:ilvl w:val="0"/>
          <w:numId w:val="2"/>
        </w:numPr>
        <w:spacing w:after="60"/>
      </w:pPr>
      <w:r>
        <w:t xml:space="preserve">RIG por debajo del 1,5 % en el 1T27: bajaríamos el caso base hacia el bajista.</w:t>
      </w:r>
    </w:p>
    <w:p>
      <w:pPr>
        <w:pStyle w:val="ListParagraph"/>
        <w:numPr>
          <w:ilvl w:val="0"/>
          <w:numId w:val="2"/>
        </w:numPr>
        <w:spacing w:after="60"/>
      </w:pPr>
      <w:r>
        <w:t xml:space="preserve">Deuda neta por encima de 3 veces el EBITDA tras el cobro de aguas: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margen se queda donde está (EBITDA del 18,5 %, UTOP ≈16 %) y que las ventas en francos no crecen: el PER (18,4 veces nuestro BPA de 2027e) está por debajo de la mediana de cinco años (20,4).</w:t>
      </w:r>
    </w:p>
    <w:p>
      <w:pPr>
        <w:keepNext/>
        <w:spacing w:after="100"/>
      </w:pPr>
      <w:r>
        <w:rPr>
          <w:b/>
          <w:bCs/>
        </w:rPr>
        <w:t xml:space="preserve">Lo que creemos nosotros.</w:t>
      </w:r>
    </w:p>
    <w:p>
      <w:pPr>
        <w:spacing w:after="100"/>
      </w:pPr>
      <w:r>
        <w:t xml:space="preserve">El volumen se sostiene cerca del 2 %, el UTOP vuelve al 17-17,5 % en 2029 con el ahorro y la salida de aguas, vitaminas y Rusia, y las ventas en francos vuelven a crecer en 2029 tras dos años de perímetro negativo.</w:t>
      </w:r>
    </w:p>
    <w:p>
      <w:pPr>
        <w:keepNext/>
        <w:spacing w:after="100"/>
      </w:pPr>
      <w:r>
        <w:rPr>
          <w:b/>
          <w:bCs/>
        </w:rPr>
        <w:t xml:space="preserve">Por qué podemos tener razón.</w:t>
      </w:r>
    </w:p>
    <w:p>
      <w:pPr>
        <w:spacing w:after="100"/>
      </w:pPr>
      <w:r>
        <w:t xml:space="preserve">El 3T26 ya trae el volumen (2,8 %), la caja libre sube (3.400 M en el 1S26 frente a 2.300 M) y el equipo nuevo cumple la guía [6, 7]. Pero la diferencia con el consenso es pequeña (nuestro base está un 1,3 % sobre su objetivo medio) y el precio ya ha subido un 12 % en tres semanas: por eso Mantener.</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83,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Volumen de vuelta</w:t>
      </w:r>
      <w:r>
        <w:t xml:space="preserve">: RIG del 2,8 % en el 3T26, positivo en todas las zonas y por encima del consenso [7, 15].</w:t>
      </w:r>
    </w:p>
    <w:p>
      <w:pPr>
        <w:pStyle w:val="ListParagraph"/>
        <w:numPr>
          <w:ilvl w:val="0"/>
          <w:numId w:val="2"/>
        </w:numPr>
        <w:spacing w:after="60"/>
      </w:pPr>
      <w:r>
        <w:rPr>
          <w:b/>
        </w:rPr>
        <w:t xml:space="preserve">Foso de marca</w:t>
      </w:r>
      <w:r>
        <w:t xml:space="preserve">: ROIC del 11,8 % (17,6 % sin fondo de comercio) frente a un WACC del 4,53 %.</w:t>
      </w:r>
    </w:p>
    <w:p>
      <w:pPr>
        <w:pStyle w:val="ListParagraph"/>
        <w:numPr>
          <w:ilvl w:val="0"/>
          <w:numId w:val="2"/>
        </w:numPr>
        <w:spacing w:after="60"/>
      </w:pPr>
      <w:r>
        <w:rPr>
          <w:b/>
        </w:rPr>
        <w:t xml:space="preserve">Valoración por debajo de su historia</w:t>
      </w:r>
      <w:r>
        <w:t xml:space="preserve">: 18,4 veces nuestro BPA de 2027e frente a una mediana de 20,4 en la misma base [1].</w:t>
      </w:r>
    </w:p>
    <w:p>
      <w:pPr>
        <w:pStyle w:val="ListParagraph"/>
        <w:numPr>
          <w:ilvl w:val="0"/>
          <w:numId w:val="2"/>
        </w:numPr>
        <w:spacing w:after="60"/>
      </w:pPr>
      <w:r>
        <w:rPr>
          <w:b/>
        </w:rPr>
        <w:t xml:space="preserve">Dividendo del 3,7 %</w:t>
      </w:r>
      <w:r>
        <w:t xml:space="preserve"> con 30 subidas seguidas en francos [11].</w:t>
      </w:r>
    </w:p>
    <w:p>
      <w:pPr>
        <w:pStyle w:val="ListParagraph"/>
        <w:numPr>
          <w:ilvl w:val="0"/>
          <w:numId w:val="2"/>
        </w:numPr>
        <w:spacing w:after="60"/>
      </w:pPr>
      <w:r>
        <w:rPr>
          <w:b/>
        </w:rPr>
        <w:t xml:space="preserve">L'Oréal</w:t>
      </w:r>
      <w:r>
        <w:t xml:space="preserve">: el 20,1 % vale 43.325 M CHF, el 20 % de la capitalización [47].</w:t>
      </w:r>
    </w:p>
    <w:p>
      <w:pPr>
        <w:pStyle w:val="Heading2"/>
      </w:pPr>
      <w:r>
        <w:t xml:space="preserve">En contra</w:t>
      </w:r>
    </w:p>
    <w:p>
      <w:pPr>
        <w:pStyle w:val="ListParagraph"/>
        <w:numPr>
          <w:ilvl w:val="0"/>
          <w:numId w:val="2"/>
        </w:numPr>
        <w:spacing w:after="60"/>
      </w:pPr>
      <w:r>
        <w:rPr>
          <w:b/>
        </w:rPr>
        <w:t xml:space="preserve">BPA plano cinco años</w:t>
      </w:r>
      <w:r>
        <w:t xml:space="preserve">: 4,42 CHF en 2021 y en 2025 [1].</w:t>
      </w:r>
    </w:p>
    <w:p>
      <w:pPr>
        <w:pStyle w:val="ListParagraph"/>
        <w:numPr>
          <w:ilvl w:val="0"/>
          <w:numId w:val="2"/>
        </w:numPr>
        <w:spacing w:after="60"/>
      </w:pPr>
      <w:r>
        <w:rPr>
          <w:b/>
        </w:rPr>
        <w:t xml:space="preserve">Ventas de negocios que restan</w:t>
      </w:r>
      <w:r>
        <w:t xml:space="preserve">: aguas, vitaminas y Rusia suman ≈7 % de las ventas y salen entre 2026 y 2028 [1, 7].</w:t>
      </w:r>
    </w:p>
    <w:p>
      <w:pPr>
        <w:pStyle w:val="ListParagraph"/>
        <w:numPr>
          <w:ilvl w:val="0"/>
          <w:numId w:val="2"/>
        </w:numPr>
        <w:spacing w:after="60"/>
      </w:pPr>
      <w:r>
        <w:rPr>
          <w:b/>
        </w:rPr>
        <w:t xml:space="preserve">Deuda neta de 56.344 M</w:t>
      </w:r>
      <w:r>
        <w:t xml:space="preserve"> (3 veces el EBITDA) y un dividendo que absorbe casi toda la caja libre [5].</w:t>
      </w:r>
    </w:p>
    <w:p>
      <w:pPr>
        <w:pStyle w:val="ListParagraph"/>
        <w:numPr>
          <w:ilvl w:val="0"/>
          <w:numId w:val="2"/>
        </w:numPr>
        <w:spacing w:after="60"/>
      </w:pPr>
      <w:r>
        <w:rPr>
          <w:b/>
        </w:rPr>
        <w:t xml:space="preserve">El 3T26 puede ser un adelanto</w:t>
      </w:r>
      <w:r>
        <w:t xml:space="preserve">: la propia directora financiera pidió no extrapolarlo [9].</w:t>
      </w:r>
    </w:p>
    <w:p>
      <w:pPr>
        <w:pStyle w:val="ListParagraph"/>
        <w:numPr>
          <w:ilvl w:val="0"/>
          <w:numId w:val="2"/>
        </w:numPr>
        <w:spacing w:after="60"/>
      </w:pPr>
      <w:r>
        <w:rPr>
          <w:b/>
        </w:rPr>
        <w:t xml:space="preserve">Deterioros casi todos los años</w:t>
      </w:r>
      <w:r>
        <w:t xml:space="preserve">: ≈8.800 M entre 2021 y el 1S26 por compras de salud [1, 5].</w:t>
      </w:r>
    </w:p>
    <w:p>
      <w:pPr>
        <w:pStyle w:val="Heading2"/>
      </w:pPr>
      <w:r>
        <w:t xml:space="preserve">Qué tiene que pasar para que la tesis funcione</w:t>
      </w:r>
    </w:p>
    <w:p>
      <w:pPr>
        <w:spacing w:after="100"/>
      </w:pPr>
      <w:r>
        <w:t xml:space="preserve">La tesis depende de que el volumen se mantenga cerca del 2 % sin sacrificar margen. La señal de que no se cumple: un RIG por debajo del 1,5 % en el 1T27 o un UTOP de 2026 por debajo del 16,3 % el 18 de febrero, que significaría que el ahorro se está gastando en precio.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interno real (RIG)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(3T26)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volumen vuelve de verdad.</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UTOP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16,3 %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es la vuelta al 17 %.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9.000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Cubre el dividendo.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3x tras el cobro de aguas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para dividendo y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Efecto divisa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−2 % (guía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peor que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Resta crecimiento en francos.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13,5x / 12,4x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29,0x / 19,7x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3,4x · 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Nestlé nace en Vevey (Suiza) con la harina lacteada de Henri Nestlé (1866-1867) y se funde en 1905 con la Anglo-Swiss Condensed Milk. Creció comprando: Nescafé propio en 1938, una participación en L'Oréal desde 1974 (hoy el 20,2 %), Purina en 2001, Gerber en 2007 y, entre 2018 y 2021, los derechos de Starbucks para el consumo en casa y las marcas de The Bountiful Company [1, 16]. Desde 2017 rota la cartera: vendió la confitería de EE. UU., las aguas de Norteamérica y Herta, y en 2021 recompró a L'Oréal 22,26 M de acciones propias de esta por 9.294 M CHF [1]. En 2024-2025 cambió tres veces de consejero delegado (Schneider, Freixe, Navratil) y de presidente (Bulcke por Isla, octubre de 2025) [17, 18]. La etapa de Navratil concentra la cartera en café, mascotas, nutrición y alimentación y aperitivos, y vende aguas, helados y vitaminas de gran consumo [6,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Henri Nestlé con Anglo-Swiss Condensed Milk (Vevey).</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1938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Nescafé, hoy la mayor marca de café del grupo.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L'Oréal; 107,6 M de acciones (20,2 %) a dic-25, con un valor de mercado de 36.700 M CHF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Ralston Purina: base del negocio de mascotas (20,6 % de las ventas de 9M26) [7].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Bountiful (5.410 M CHF) y venta de acciones de L'Oréal con una plusvalía de 7.184 M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Termina la recompra de 20.000 M CHF iniciada en 2022; sale Mark Schneider como consejero delegado [1,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Destitución de Laurent Freixe (septiembre); Philipp Navratil, consejero delegado; Pablo Isla, presidente desde el 1-oct [17,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Sociedad conjunta 50:50 en aguas con Platinum Equity, venta de vitaminas de gran consumo y salida de Rusia del perímetro por la administración externa rusa [7, 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Primer grupo mundial de alimentación y bebidas: 89.490 M CHF de ventas en 2025, 271.000 empleados y presencia en más de 180 países [1, 10]. Desde 2026 se ordena en cuatro categorías: café (Nescafé, Nespresso, Starbucks en casa; 27,8 % de las ventas de 9M26), mascotas (Purina; 20,6 %), nutrición (infantil, médica y de adultos; 19,4 %) y alimentación y aperitivos (KitKat, Maggi, Milo, congelados de EE. UU.; 27,9 %); aguas y bebidas premium (4,3 %) sale del perímetro en 2027 [6, 7]. Vende sobre todo a la gran distribución y por comercio electrónico (21,6 % de las ventas de 9M26), más la venta directa de Nespresso y la restauración [7]. Por destino, EE. UU. es el 32 % de las ventas y los emergentes el 40,6 % [1]. Se gestiona en tres zonas (Américas, Asia-Oceanía-África y Europa) y dos negocios globales (Nespresso y aguas) [7].</w:t>
      </w:r>
    </w:p>
    <w:p>
      <w:pPr>
        <w:pStyle w:val="Heading2"/>
      </w:pPr>
      <w:r>
        <w:t xml:space="preserve">Cómo gana dinero</w:t>
      </w:r>
    </w:p>
    <w:p>
      <w:pPr>
        <w:spacing w:after="100"/>
      </w:pPr>
      <w:r>
        <w:t xml:space="preserve">Margen bruto del 45-47 % sostenido por marcas y escala de compra; el resultado operativo subyacente (UTOP) fue del 16,1 % en 2025 y del 16,4 % en el 1S26, frente al 17,1-17,4 % de 2021-2024 [1, 6]. El ingreso es recurrente (consumo diario) y poco estacional ahora que salen helados y aguas. El margen depende de trasladar el coste del café, el cacao y la leche: en 2025 el precio aportó 2,8 puntos y el volumen 0,8; en 9M26, 1,8 y 1,9 [7, 10]. La palanca del plan nuevo es el volumen (objetivo de 2 % o más) con más publicidad (8,9 % de las ventas en el 1S26) financiada con ahorros (3.000 M CHF hasta 2027) [6, 11]. El franco resta cada año entre 2 y 6 puntos al crecimiento publicado [1, 10].</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Zona Américas (AMS)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Zona Asia, Oceanía y África (AOA)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Zona Europa (EUR)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 Health Science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Nespresso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Aguas y bebidas premium (NW&amp;PB)</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negocios y gastos centrales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Zona Américas (AMS)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36.135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Zona Asia, Oceanía y África (AOA)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21.177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20.553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Zona Europa (EUR)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17.082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 Health Science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Nespresso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Aguas y bebidas premium (NW&amp;PB)</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negocios y gastos centrales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Clientes repartidos entre las grandes cadenas de distribución, el comercio electrónico, la restauración y el consumidor directo de Nespresso; ningún cliente supera el 10 % de las ventas (nota de clientes de las cuentas) [1]. El poder de precios se vio en 2022-2023, cuando subió precios un 8-9 % y mantuvo el margen subyacente en el 17,1-17,3 % [1]. En 2024-2025 el volumen se resintió (0,8 % de RIG) y el margen cayó 110 puntos básicos en 2025, señal de que el precio había llegado a su límite [10]. En 2026 el precio se modera (1,1 % en el 3T) y el volumen vuelve (2,8 %); Europa sigue con presión de precios y retiradas de lineal en el 2T26 [7, 8].</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(9M26); 4,0 % en el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3-4 %; medio plazo 4 % o más [7,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interno real (volumen y mezcla, RIG)</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(9M26); 2,8 % en el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Positivo en todas las zonas en el 3T; objetivo a medio plazo 2 % o más [7,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(9M26); 1,1 % en el 3T26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modera al pasar las subidas de café y cacao de 2025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UTOP (resultado operativo subyacente)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 (2025; 15,7 % en el 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 frente al año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mejor que 2025, 2S parecido al 1S; medio plazo 17 % o más [6,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9.154 M CHF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 M CHF (1S26, frente a 2.307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 en el semestre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más de 9.000 M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electrónico (peso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 de las ventas de 9M26; +15,3 % orgánico en el 3T</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Canal que más crece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Mercados emergentes: crecimiento orgánico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40,6 % de las ventas de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orgánico y 4,3 % RIG en el 3T26 (desarrollados 2,2 %)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India +20 % en el 3T26 [1, 7].</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alimentación y bebidas envasadas en el mundo, sin restauración: es lo que vende Nestlé en sus cuatro categorías. Hay dos estimaciones independientes de tamaño: The Business Research Company (3,28 billones de USD en 2025, 6,1 % anual desde 2020 y 6,4 % previsto hasta 2030) y Research and Markets (2,9 billones en 2025 y 6,2 % anual hasta 2034) [19, 20]. Usamos la primera porque da serie y previsión a cinco años. Para las categorías de Nestlé, la propia empresa cita a Euromonitor: crecimiento del 3-4 % anual en 2024-2029 en café y mascotas, 3-5 % en nutrición y 2-3 % en alimentación y aperitivos, en moneda local [11]. La diferencia entre el 6 % del mercado en dólares y el 3-4 % de Euromonitor es la inflación de emergentes y el perímetro.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3,28 billones de USD en 2025 (The Business Research Company); 2,9 billones según Research and Markets [19, 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Población, renta y penetración en emergentes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emergentes son el 40,6 % de las ventas de Nestlé y crecieron un 6,8 % orgánico (4,3 % de volumen) en el 3T26, frente al 2,2 % de los desarrollados; las mascotas en emergentes crecen ≈10 % en 2026 [1, 7,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del café y el cacao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subidas de 2025 restaron margen (UTOP −110 p. b.); en 2026 bajan los precios y con ellos las subidas de precio (1,1 % en el 3T), y la empresa ve más inflación de costes en 2027 [1, 8,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 blanca y presión de la distribución en Europa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Retiradas de lineal en Europa en el 2T26 y precio de solo el 0,2 % en la zona en el 3T26 [7,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Humanización y gama alta en mascotas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Purina creció un 5,3 % orgánico en el 3T26 con un 4,3 % de volumen, empujada por la comida húmeda para gatos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GLP-1 y rechazo a los ultraprocesados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Tema recurrente entre analistas e inversores; Nestlé lo trata como oportunidad en nutrición de adultos (proteína), sin cifras publicadas de efecto en ventas [8, 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Comercio electrónico y fuera del hogar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Comercio electrónico: 21,6 % de las ventas de 9M26 y +15,3 % orgánico en el 3T; fuera del hogar +4,8 % [7].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Multinacionales con marcas fuertes (Unilever, Danone, Mondelez, Mars, PepsiCo) y competencia por el lineal; márgenes operativos del 9-18 % entre los grandes [21, 22].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gran distribución concentra la venta, empuja la marca blanca y retira productos para negociar precio (Europa, 2T26)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Café, cacao y leche cotizan en mercados volátiles: el café y el cacao restaron margen en 2025 y en el 1S26 [6, 10].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marcas nuevas entran por internet, pero escalar exige distribución mundial; Nestlé tiene diez mercados emergentes con más de 1.000 M CHF de ventas cada uno [8].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blanca, comida fresca y fármacos que reducen el apetito; la nutrición infantil sufre además la retirada de 2025-26 [7].</w:t>
            </w:r>
          </w:p>
        </w:tc>
      </w:tr>
    </w:tbl>
    <w:p>
      <w:pPr>
        <w:spacing w:after="160" w:before="0"/>
      </w:pPr>
    </w:p>
    <w:p>
      <w:pPr>
        <w:pStyle w:val="Heading2"/>
      </w:pPr>
      <w:r>
        <w:t xml:space="preserve">Ciclo</w:t>
      </w:r>
    </w:p>
    <w:p>
      <w:pPr>
        <w:spacing w:after="100"/>
      </w:pPr>
      <w:r>
        <w:t xml:space="preserve">La alimentación es defensiva: Nestlé creció un 3,6 % orgánico en 2020 y subió precios un 8 % con la inflación de 2022 manteniendo el margen [1]. El ciclo de precios de 2022-2025 terminó: el precio aportó 2,8 puntos en 2025 y 1,1 en el 3T26; ahora el crecimiento depende del volumen, que mejora (0,8 % en 2025, 2,8 % en el 3T26) [7, 10]. La propia empresa espera más inflación de costes en 2027, lo que volvería a dar precio pero puede frenar el volumen [8].</w:t>
      </w:r>
    </w:p>
    <w:p>
      <w:pPr>
        <w:pStyle w:val="Heading2"/>
      </w:pPr>
      <w:r>
        <w:t xml:space="preserve">Regulación</w:t>
      </w:r>
    </w:p>
    <w:p>
      <w:pPr>
        <w:spacing w:after="100"/>
      </w:pPr>
      <w:r>
        <w:t xml:space="preserve">Aranceles de EE. UU. a los productos suizos y de otros orígenes: pesaron en el margen de 2025-26 y la guía de 2026 excluye cualquier devolución [6, 7]. Seguridad alimentaria: la retirada de leche infantil de 2025-26 restó ≈20 p. b. al crecimiento del 3T26 y aún pesa en la cuota en Europa [7]. Rusia: un decreto de septiembre de 2026 puso las filiales bajo administración externa temporal; Nestlé dejó de consolidarlas [7]. En Europa, la Comisión aprobó en octubre la sociedad conjunta de aguas [23]. Etiquetado nutricional y límites a la publicidad de productos con azúcar en varios países.</w:t>
      </w:r>
    </w:p>
    <w:p>
      <w:pPr>
        <w:pStyle w:val="Heading2"/>
      </w:pPr>
      <w:r>
        <w:t xml:space="preserve">Tendencias y disrupción</w:t>
      </w:r>
    </w:p>
    <w:p>
      <w:pPr>
        <w:spacing w:after="100"/>
      </w:pPr>
      <w:r>
        <w:t xml:space="preserve">Comercio electrónico (21,6 % de las ventas), café frío y listo para tomar, comida húmeda para gatos, nutrición médica y suplementos especializados (Pure Encapsulations crece a doble dígito) son los segmentos que crecen; congelados de EE. UU., nutrición infantil en Europa y confitería en Europa, los que sufren [7]. Nestlé gana con la concentración de cartera: deja aguas (margen UTOP del 9,1 % en 2025) y vitaminas de gran consumo, de crecimiento y margen bajos, y prioriza las plataformas de crecimiento (30 % de las ventas, crecimiento orgánico de un dígito alto) [1, 11].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Primer grupo mundial de alimentación y bebidas por ventas: ≈108.000 M USD en 2025, el 3,3 % del mercado mundial de alimentación envasada (estimación propia sobre la serie de The Business Research Company) [1, 19]. Lidera el café en el mundo y comparte con Mars el liderazgo en mascotas; en nutrición infantil compite con Danone y Abbott.</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PepsiCo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Aperitivos salados y bebidas; ventas de 93.925 M USD en 2025, margen sin partidas especiales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Unilever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ULVR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46.599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Higiene, belleza y alimentación (Knorr, Hellmann's), sin helados desde la escisión; 50.503 M EUR en 2025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Mondelez</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MDLZ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Galletas y chocolate; el cacao caro hundió el margen operativo de 2025 (17,7 % en 2024)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Danone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Lácteos, nutrición infantil y médica y aguas: el rival directo en nutrición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Hershey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HSY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Chocolate y aperitivos en EE. UU.; margen sin partidas especiales [21].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cotiza ni publica cuentas: el gran rival en mascotas (Royal Canin, Pedigree) y chocolate.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bienes de consumo.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salvo en los sistemas de cápsulas (Nespresso, 6.481 M CHF y margen del 17,9 % en 2025) y en la nutrición infantil y médica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que superan los 1.000 M CHF (Nescafé, Nespresso, Purina Pro Plan, KitKat, Maggi, Milo) y margen UTOP del 16-17 % frente al 9-18 % de los grandes rivales [3, 13,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compra en café y cacao; 1.700 M CHF de ahorros acumulados a jun-26 y objetivo de 3.000 M en 2027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en más de 180 países y diez mercados emergentes con más de 1.000 M CHF de ventas cada uno, difícil de replicar [7].</w:t>
            </w:r>
          </w:p>
        </w:tc>
      </w:tr>
    </w:tbl>
    <w:p>
      <w:pPr>
        <w:spacing w:after="160" w:before="0"/>
      </w:pPr>
    </w:p>
    <w:p>
      <w:pPr>
        <w:pStyle w:val="Heading2"/>
      </w:pPr>
      <w:r>
        <w:t xml:space="preserve">Amenazas</w:t>
      </w:r>
    </w:p>
    <w:p>
      <w:pPr>
        <w:spacing w:after="100"/>
      </w:pPr>
      <w:r>
        <w:t xml:space="preserve">La amenaza principal es la marca blanca y la presión de la distribución en Europa, donde el precio solo aportó un 0,2 % en el 3T26 y hubo retiradas de lineal en el 2T26 [7, 8]. En EE. UU. (32 % de las ventas), el consumidor de menor renta está «cada vez más presionado» según la directora financiera, y los fármacos para adelgazar pueden reducir el consumo de confitería y aperitivos [8]. La nutrición infantil perdió cuota por la retirada de 2025-26. Y la intervención rusa muestra el riesgo político de estar en 180 países: Rusia era ≈2 % de las ventas y 3-4 % del UTOP [7]. Probabilidad media de que alguna de ellas reste uno o dos puntos de volumen durante varios trimestres.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89.490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17.070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0,7 %</w:t>
      </w:r>
      <w:r>
        <w:t xml:space="preserve">, EBITDA </w:t>
      </w:r>
      <w:r>
        <w:rPr>
          <w:b/>
          <w:bCs/>
        </w:rPr>
        <w:t xml:space="preserve">-0,6 %</w:t>
      </w:r>
      <w:r>
        <w:t xml:space="preserve">, BPA </w:t>
      </w:r>
      <w:r>
        <w:rPr>
          <w:b/>
          <w:bCs/>
        </w:rPr>
        <w:t xml:space="preserve">-12,8 %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en francos están planas desde 2021 (87.088 M en 2021, 89.490 M en 2025) aunque el crecimiento orgánico sumó un 7,5 % en 2022, un 7,2 % en 2023, un 2,2 % en 2024 y un 3,5 % en 2025: la divisa restó un 5,7 % en 2025 y un 3,7 % en 2024, y las ventas de negocios, algo más [1, 10]. El margen UTOP bajó del 17,4 % de 2021 y el 17,3 % de 2023 al 16,1 % de 2025 (110 puntos básicos en el año) por el café y el cacao caros, la inversión en publicidad, la retirada de leche infantil y los aranceles [1, 10]. El margen operativo publicado oscila más (13,4-16,1 %) por los deterioros y la reestructuración: 2.614 M de deterioros en 2021, 2.726 M en 2022 y 923 M en 2025 [1, 3]. En 2026, nueve meses con un 3,7 % orgánico (1,9 % de volumen) y ventas en francos planas (65.865 M frente a 65.869 M) por una divisa del −3,7 % [7]. El 3T26 creció un 4,0 % orgánico con un 2,8 % de volumen, el mejor trimestre de volumen en años, y fue el primero con divisa a favor (+1,5 %) [7, 8].</w:t>
      </w:r>
    </w:p>
    <w:p>
      <w:pPr>
        <w:pStyle w:val="Heading2"/>
      </w:pPr>
      <w:r>
        <w:t xml:space="preserve">Ajustes y partidas no recurrentes</w:t>
      </w:r>
    </w:p>
    <w:p>
      <w:pPr>
        <w:spacing w:after="100"/>
      </w:pPr>
      <w:r>
        <w:t xml:space="preserve">Nestlé publica el UTOP (resultado operativo antes de reestructuración, deterioros y otros) y el BPA subyacente (sin esas partidas ni plusvalías). Diferencias con el publicado: en 2025, UTOP de 14.389 M frente a un resultado operativo de 12.277 M (reestructuración, deterioros de 923 M y pérdidas en ventas de negocios de 237 M); BPA subyacente de 4,42 CHF frente a 3,51 publicado [1]. En 2021 el beneficio neto de 16.905 M lleva la plusvalía de 7.184 M por la venta de acciones de L'Oréal; BPA subyacente de 4,42 [4]. En la cuenta de este informe los deterioros y el resultado de ventas de negocios se tratan como no recurrentes y se suman al EBITDA ajustado; la reestructuración se deja dentro porque se repite todos los años (443 M en 2025, 436 M en 2024) [1]. Las participadas (L'Oréal, Froneri) están por debajo del resultado operativo; el BAI de la tabla las incluye para que cuadre con el beneficio neto. En el 1S26 hubo un deterioro de 1.300 M por clasificar negocios en venta y un tipo impositivo del 28,7 % (22,3 % subyacente) [5, 6].</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Nestlé solo publica ventas en el primer y el tercer trimestre; el margen es semestral (UTOP del 16,5 % en el 1S25, 15,7 % en el 2S25 y 16,4 % en el 1S26) [6]. En la conferencia del 22-oct-2026 el consejero delegado Philipp Navratil, un año en el cargo, presentó el 3T26 como «un trimestre fuerte»: 4,0 % orgánico con un 2,8 % de volumen positivo en todas las zonas, frente al 3,5 % y el 1,7 % que esperaba el consenso de AWP [8, 15]. La directora financiera, Anna Manz, pidió no extrapolarlo: el volumen de alimentación y aperitivos (5,4 %) llevó pedidos adelantados de temporada, compensados en parte por nutrición [7, 9]. Mantuvo la guía de 2026 (3-4 % orgánico, margen mejor que 2025 y 2S parecido al 1S sin contar devoluciones de aranceles, caja libre de más de 9.000 M) y bajó el efecto divisa del año a ≈ −2 % [8]. Frente a julio cambia el tono: entonces el volumen era la duda (1,8 % en el 2T); ahora la duda es el precio (1,1 % en el 3T), que la empresa espera más alto en 2027 por la inflación de costes [8, 9]. Los analistas preguntaron por el volumen sostenible en Norteamérica, la mascota (venta al canal frente a venta al público), el margen de 2027, los costes que dejan las ventas de aguas y vitaminas y el efecto de Rusia. La dirección no cuantificó el efecto de las ventas de negocios ni de Rusia en el margen, ni dio guía de 2027 (llegará en febrero), ni el reparto del volumen entre las plataformas de crecimiento y el resto [9].</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139.142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135.182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51.320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126.550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52.332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127.151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Compra de las marcas principales de The Bountiful Company (9-ago-21, 5.410 M CHF) y venta de 22,26 M de acciones de L'Oréal a la propia L'Oréal (plusvalía de 7.184 M en participadas) [4].; 2026: Aguas y bebidas premium, vitaminas de gran consumo y el resto de helados, mantenidos para la venta desde el 1S26 (activos de 5.451 M); Rusia deja de consolidarse desde finales de septiembre de 2026 (≈2 % de las ventas y 3-4 % del UTOP) [5, 7].).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subió de 32.917 M en 2021 a 56.005 M en 2024 por la recompra de 20.000 M CHF (2022-2024), las compras de 2021 (Bountiful, 5.410 M) y un circulante que se disparó en 2022 [1, 3, 4]. En 2025 bajó a 51.382 M sin recompras y con un reparto extraordinario de Froneri de 1.977 M [1]. A 30-jun-26 sube a 56.344 M tras pagar 7.976 M de dividendo [5]. El circulante comercial (existencias + clientes − proveedores) está en el 3,7 % de las ventas en 2025, frente al 6,0 % de 2022-2023: el plan de caja de 2025 lo bajó con proveedores y existencias [1]. La deuda neta es ≈2,85 veces el EBITDA ajustado (objetivo de la empresa: 2-3 veces) [11].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40.233</w:t>
      </w:r>
      <w:r>
        <w:t xml:space="preserve">, conversión </w:t>
      </w:r>
      <w:r>
        <w:rPr>
          <w:b/>
          <w:bCs/>
        </w:rPr>
        <w:t xml:space="preserve">70 %</w:t>
      </w:r>
      <w:r>
        <w:t xml:space="preserve"> del beneficio neto; adquisiciones 9.199, dividendos 38.793, recompras 27.352.</w:t>
      </w:r>
    </w:p>
    <w:p>
      <w:pPr>
        <w:spacing w:after="100"/>
      </w:pPr>
      <w:r>
        <w:t xml:space="preserve">El flujo operativo ya va después de intereses e impuestos (Nestlé los clasifica en explotación) [1]. 2025 se presenta sin el reparto extraordinario de Froneri (1.977 M), que va en desinversiones, igual que hace Nestlé al calcular su caja libre de 9.154 M [1]. La conversión fue débil en 2022 (circulante +3.133 M por la inflación de costes) y buena en 2023-2024 (circulante −1.134 M y −1.208 M) [1, 3]. El capex (material más intangible) bajó del 6,7 % de las ventas en 2023 al 5,5 % en 2025 y a 1.929 M en el 1S26 (2.607 M en el 1S25): la empresa recorta inversión y circulante para financiar el dividendo [1, 5]. Los pagos de arrendamientos son el total pagado menos los intereses (985 M − 103 M en 2025) [1]. La amortización (≈4 % de las ventas) da una idea del capex de mantenimiento; el resto (≈1,5 puntos) es capacidad nueva, por ejemplo en comida húmeda para gatos (estimación propia).</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Ltd</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consolidadas de 2025, sin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Las cuentas son NIIF y las firma EY en todos los ejercicios revisados (2021-2025) [1, 4]. Tres asuntos piden lectura: (1) los deterioros recurrentes (2.614 M en 2021, 2.726 M en 2022, 647 M en 2023, 580 M en 2024, 923 M en 2025 y 1.300 M en el 1S26 por los negocios en venta) muestran compras que no rindieron, sobre todo en salud (Bountiful, Palforzia) [1, 3, 5]; (2) la reestructuración se presenta fuera del UTOP pero se repite cada año (436-469 M), por lo que en este informe se trata como gasto ordinario [1, 5]; (3) el BPA subyacente excluye esas partidas y la plusvalía de L'Oréal de 2021 [1, 4]. El fondo de comercio y los intangibles suman 44.309 M (35 % del activo) [1]. El reparto de Froneri de 2025 infla el flujo operativo publicado; Nestlé lo saca de su caja libre [1]. Los indicadores del motor (Altman, Piotroski y Beneish) se leen con cuidado en 2021 por la plusvalía de L'Oréal.</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casi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Suman ≈8.800 M entre 2021 y el 1S26: compras de salud que no cumplieron [1, 3,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 recurrente fuera del UTOP</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436-469 M al año; aquí se trata como gasto ordinario [1,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de 2025 con un reparto extraordinario de Froneri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1.977 M; Nestlé lo excluye de su caja libre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86.306</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88.362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88.097</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89.080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88.531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27.636 M en 2025 (el 33 % del capital invertido medio); ha subido más de un 5 % en 1 de 4 años: compras pequeñas. ROIC publicado 11,8 %; sin fondo de comercio, 17,6 %. El ROIC sin fondo de comercio mide el rendimiento del negocio operativo; decide el publicado (§4.1) y la cifra sin fondo de comercio es dato para una excepción razonada.</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4,5 %.</w:t>
      </w:r>
    </w:p>
    <w:p>
      <w:pPr>
        <w:spacing w:after="100"/>
      </w:pPr>
      <w:r>
        <w:t xml:space="preserve">El ROIC fue del 11,8 % en 2025 (13,3-14,4 % en 2021-2024) y del 17,6 % sin el fondo de comercio, frente a un WACC del 4,53 %: Nestlé crea valor con un margen de unos 7 puntos, lo que confirma el foso de marca. La caída de 2025 viene del margen (UTOP del 16,1 % frente al 17,2 %), no de la rotación. El ROE (26,3 %) está inflado por el apalancamiento y el patrimonio reducido por las recompras. El ROIC incremental no tiene sentido: ingresos y NOPAT han bajado desde 2022 mientras el capital invertido se mantenía. Las compras de salud (Bountiful, Aimmune) restan: el ROIC sin fondo de comercio muestra lo que rinde el negocio orgánico [1, 4].</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56.344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54.134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3.551 M e inversiones a corto de 2.583 M a 30-jun-26 (6.134 M); deuda a corto de 16.345 M, sobre todo papel comercial y bonos que vencen, que Nestlé refinancia en el mercado [5]. Deuda neta de 56.344 M a 30-jun-26 (51.382 M a dic-25); la desconsolidación de Rusia la sube en ≈900 M al cierre de 2026 y la sociedad conjunta de aguas aportará ≈2.800 M en el 1S27 [5, 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pasivos de 2.128 M y activos de 1.497 M a 30-jun-26 (déficit neto de ≈630 M) [5]. Provisiones de 1.902 M (reestructuración, litigios y medio ambiente) [5]. Pasivos por arrendamiento de 2.603 M a dic-25, dentro de la deuda financiera [1]. Opciones de venta de minoritarios en algunas participadas y compromisos de compra de participaciones de terceros en asociadas (sin importe material publicado) [1]. Rusia: activos netos de ≈1.600 M dados de baja y cargo de ≈1.400 M por diferencias de conversión acumuladas (sin efecto en el patrimonio total) en el 3T26 [7]. Aguas: pérdida acumulada en patrimonio de ≈1.300 M que pasará a resultados al perder el control [5].</w:t>
      </w:r>
    </w:p>
    <w:p>
      <w:pPr>
        <w:pStyle w:val="Heading1"/>
      </w:pPr>
      <w:r>
        <w:t xml:space="preserve">12. Asignación de capital</w:t>
      </w:r>
    </w:p>
    <w:p>
      <w:pPr>
        <w:pStyle w:val="Confianza"/>
        <w:spacing w:after="100"/>
      </w:pPr>
      <w:r>
        <w:t xml:space="preserve">Confianza: Alta</w:t>
      </w:r>
    </w:p>
    <w:p>
      <w:pPr>
        <w:spacing w:after="100"/>
      </w:pPr>
      <w:r>
        <w:t xml:space="preserve">Prioridades declaradas: inversión orgánica con disciplina de rentabilidad, dividendo que sube en francos cada año (30 subidas seguidas: 3,10 CHF por 2025), reducción de deuda dentro de 2-3 veces deuda neta/EBITDA; compras pequeñas y recompras, prioridad baja («caja sobrante, cuando la haya») [11]. La recompra de 20.000 M CHF se terminó en diciembre de 2024 y no hay otra en marcha [1]. En 2026 se venden aguas (sociedad conjunta, ≈2.800 M de caja en el 1S27), las vitaminas de gran consumo (1.000 M USD) y el resto de helados (a Froneri) [5,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2.596,0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2.573,0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Bountiful Company (marcas principales: Nature's Bounty, Solgar, Puritan's Pride)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Malo: las marcas de gran consumo se venden en 2026 por 1.000 M USD (≈800 M CHF) tras un deterioro de 1.300 M [4, 5,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Aimmune Therapeutics (alergias alimentarias, Palforzia)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Malo: Palforzia se deterioró en 2022 y se vendió en 2023 [3,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22,26 M de acciones de L'Oréal a L'Oréal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Plusvalía de 7.184 M; la caja financió la recompra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50 % de aguas y bebidas premium a Platinum Equity (Peranel)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Desinversión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4.500 M CHF para el 100 %; cierre en el 1S27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vitaminas de gran consumo a Yellow Wood Partners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Desinversión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1.000 M USD por un negocio de 1.200 M USD de ventas; cierre en el 1S27 [7].</w:t>
            </w:r>
          </w:p>
        </w:tc>
      </w:tr>
    </w:tbl>
    <w:p>
      <w:pPr>
        <w:spacing w:after="160" w:before="0"/>
      </w:pPr>
    </w:p>
    <w:p>
      <w:pPr>
        <w:spacing w:after="100"/>
      </w:pPr>
      <w:r>
        <w:t xml:space="preserve">Entre 2021 y 2025 Nestlé pagó ≈38.800 M en dividendos y ≈27.400 M en recompras, más que su caja libre acumulada, y lo financió con deuda (32.917 M → 51.382 M) y con la venta de acciones de L'Oréal [1, 3, 4]. Las compras de salud (Bountiful, Aimmune) destruyeron valor: el deterioro y la venta de 2026 por ≈800 M CHF frente a 5.410 M pagados en 2021 lo resumen [4, 7]. La dirección nueva ha cambiado el orden: menos compras, venta de negocios no centrales, recompras paradas y deuda a la baja. El dividendo absorbe ≈85 % de la caja libre (7.976 M pagados en 2026 frente a una guía de más de 9.000 M), lo que deja poco margen para recomprar hasta que entre la caja de aguas [5,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Philipp Navratil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Dirigió Nespresso antes de entrar en el comité ejecutivo (enero de 2025) y ser nombrado consejero delegado el 1-sep-2025 tras la destitución de Laurent Freixe [17, 18]. En su primer año: 3,5 % orgánico en 2025 y 3,7 % en 9M26, volumen del 0,8 % al 2,8 % trimestral, venta de aguas y vitaminas y ahorro elevado a 3.000 M CHF [7, 10]. No forma parte del consejo [24]. 2.429 acciones a dic-25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Anna Manz</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y miembro del comité ejecutivo; 46.658 acciones a dic-25 [18]. Lleva el plan de caja: circulante comercial del ≈6 % de las ventas en 2022-2023 al 3,7 % en 2025 y caja libre del 1S26 un 46 % mayor [1, 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Pablo Isla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presidente ejecutivo de Inditex; consejero de Nestlé y vicepresidente antes de presidir desde el 1-oct-2025, tras la salida de Paul Bulcke [17, 18]. Preside los comités del presidente y de nombramientos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Dick Boer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y consejero independiente coordinador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 consejero delegado de Ahold Delhaize; preside el comité de remuneraciones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Rennie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café (comité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del comité ejecutivo; 35.203 acciones a dic-25 [18].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 4 %, mejora moderada del margen UTOP y BPA subyacente +6-10 % a divisa constante (feb-24); rebajada durante el año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 orgánico y margen del 17,2 % [27, 28]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mejor que el 2,2 % de 2024 y margen UTOP igual o superior al 16 %</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3,5 % orgánico y margen del 16,1 % [10, 27]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del 3-4 % con más volumen, margen UTOP mejor que 2025 y caja libre de más de 9.000 M CHF</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9M26: 3,7 % orgánico y 1,9 % de volumen; 1S26: margen del 16,4 % y caja libre de 3.375 M (en curso, guía mantenida el 22-oct)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nuevo: el consejero delegado lleva un año y el presidente trece meses, tras tres consejeros delegados entre 2024 y 2025 (Schneider, Freixe y Navratil), la mayor causa del castigo de la acción en esos años [17, 25]. Desde entonces, la guía de 2025 se cumplió y la de 2026 va camino de cumplirse con el 3T más fuerte en volumen en años (2,8 %) [7, 10]. La directora financiera es la pieza estable del equipo. El consejo nombró en 2026 a Thomas Jordan (ex presidente del BNS) y a Fama Francisco (ex Procter &amp; Gamble), con 98,8 % y 93,9 % de votos [24]. Sucesión: no hay un plan publicado más allá del comité de nombramientos.</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Pablo Isla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del presidente y de gobierno (presidente), remuneraciones, nombramientos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Dick Boer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consejero independiente coordinador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del presidente, remuneraciones (presidente), nombramientos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Marie-Gabrielle Ineichen-Fleisch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Renato Fassbind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Comité del presidente, auditoría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Patrick Aebischer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Sostenibilidad (presidente), una comisión más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Dinesh Paliwal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Lindiwe M. Sibanda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Leong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Luca Maestri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Rainer Blair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comisión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Geraldine Matchett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Jordan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Fama Francisco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consolidadas de 2025, sin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tras amortizar las acciones de la recompra 2022-2024 (capital de 2.576,5 M de acciones)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 M</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bonus anual del consejero delegado y de la directora financiera depende en un 85 % de objetivos del grupo (crecimiento orgánico, volumen, margen, caja) y en un 15 % de objetivos ESG; en 2025 cobró el 99,5 % del objetivo [18]. El incentivo a largo plazo (unidades de acciones a tres años) mide el BPA subyacente (40 %), el TSR relativo (20 %), el ROIC (20 %) y las emisiones (20 %); el plan 2023-2025 pagó el 79 % [18]. Navratil cobró 4,54 M CHF en 2025 (fijo de 1,2 M por el año parcial; 2,0 M anualizado); Schneider cobró 8,85 M en 2024 [18]. Freixe no recibió indemnización más allá del salario hasta el 1-sep-2025 [18]. El consejo cobra la mitad en acciones bloqueadas tres años [18]. Los incentivos se ajustaron en 2026 para premiar el volumen [10].</w:t>
      </w:r>
    </w:p>
    <w:p>
      <w:pPr>
        <w:pStyle w:val="Heading2"/>
      </w:pPr>
      <w:r>
        <w:t xml:space="preserve">Operaciones vinculadas, estructura de control y defensas</w:t>
      </w:r>
    </w:p>
    <w:p>
      <w:pPr>
        <w:spacing w:after="100"/>
      </w:pPr>
      <w:r>
        <w:t xml:space="preserve">Capital disperso, sin accionista de control. Los estatutos impiden inscribir con derecho a voto más del 5 % del capital por accionista, directa o indirectamente: es una defensa frente a tomas de control y la razón de marcar «una acción, un voto» como no cumplido [1]. Cada acción da un voto dentro de ese límite. El consejero delegado ya no se sienta en el consejo, a diferencia de sus antecesores [24]. No hay operaciones vinculadas relevantes; la participación del 20,2 % en L'Oréal y la de Froneri son inversiones, no vínculos con consejeros [1]. En la junta de 2026 (54,6 % del capital representado) se aprobaron todas las propuestas, pero DWS, Deka y Ethos criticaron la supervisión del consejo en los escándalos de 2025 [24, 26].</w:t>
      </w:r>
    </w:p>
    <w:p>
      <w:pPr>
        <w:pStyle w:val="Heading2"/>
      </w:pPr>
      <w:r>
        <w:t xml:space="preserve">Señales de alerta</w:t>
      </w:r>
    </w:p>
    <w:p>
      <w:pPr>
        <w:pStyle w:val="ListParagraph"/>
        <w:numPr>
          <w:ilvl w:val="0"/>
          <w:numId w:val="2"/>
        </w:numPr>
        <w:spacing w:after="60"/>
      </w:pPr>
      <w:r>
        <w:t xml:space="preserve">Tres consejeros delegados y dos presidentes entre 2024 y 2025; destitución de Laurent Freixe en septiembre de 2025 por una relación no declarada [17, 25].</w:t>
      </w:r>
    </w:p>
    <w:p>
      <w:pPr>
        <w:pStyle w:val="ListParagraph"/>
        <w:numPr>
          <w:ilvl w:val="0"/>
          <w:numId w:val="2"/>
        </w:numPr>
        <w:spacing w:after="60"/>
      </w:pPr>
      <w:r>
        <w:t xml:space="preserve">Filiales rusas bajo administración externa desde septiembre de 2026; desconsolidadas con un cargo de ≈1.400 M por conversión y 1.600 M de activos netos dados de baja [7].</w:t>
      </w:r>
    </w:p>
    <w:p>
      <w:pPr>
        <w:pStyle w:val="ListParagraph"/>
        <w:numPr>
          <w:ilvl w:val="0"/>
          <w:numId w:val="2"/>
        </w:numPr>
        <w:spacing w:after="60"/>
      </w:pPr>
      <w:r>
        <w:t xml:space="preserve">Críticas de inversores institucionales a la supervisión del consejo en la junta de abril de 2026 [24].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mantenida el 22-oct-2026: crecimiento orgánico del 3-4 % con más volumen que en 2025; margen UTOP mejor que el 16,1 % de 2025, con un segundo semestre parecido al primero (16,4 %) sin contar devoluciones de aranceles; caja libre de más de 9.000 M CHF [7, 8]. La desconsolidación de Rusia tiene «un efecto limitado» en el margen de 2026 y sube la deuda neta en ≈900 M [7]. Efecto divisa en ventas: ≈ −2 % a tipos actuales (−3 % en julio) [8]. A medio plazo (feb-26): crecimiento orgánico de 4 % o más con volumen de 2 % o más, margen UTOP de 17 % o más, deuda neta/EBITDA de 2-3 veces [11]. La guía de 2027 llegará el 18-feb-2027 [8, 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(BPA publicado; EBIT = UTOP)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20.084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16.396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90.406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92.992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88.400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95.902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19.125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 10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89,04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72,00 – 100,00</w:t>
            </w:r>
          </w:p>
        </w:tc>
      </w:tr>
    </w:tbl>
    <w:p>
      <w:pPr>
        <w:spacing w:after="160" w:before="0"/>
      </w:pPr>
    </w:p>
    <w:p>
      <w:pPr>
        <w:pStyle w:val="Heading2"/>
      </w:pPr>
      <w:r>
        <w:t xml:space="preserve">Revisiones de estimaciones</w:t>
      </w:r>
    </w:p>
    <w:p>
      <w:pPr>
        <w:spacing w:after="100"/>
      </w:pPr>
      <w:r>
        <w:t xml:space="preserve">El objetivo medio apenas se mueve: 89,04 CHF en Investing (23 analistas: 12 comprar, 10 mantener, 1 vender), 88,76 en MarketScreener (23) y 88,36 en Stock Analysis (22, mediana 90) [30, 31, 32]; el 14-oct era de 88,86 en Investing: estable en tres meses. Tras el 3T26, UBS mantuvo «neutral» con 82 CHF (23-oct) [30]. MarketScreener da el BPA publicado (3,83 CHF en 2026, con reestructuración y deterioros) y su EBIT es el UTOP; el BPA subyacente del consenso de S&amp;P en Stock Analysis es de 4,48 CHF para 2026 (4,11-4,61; datos del 2-sep) [29, 32]. Hay que leer con cuidado las ventas de MarketScreener: 90.406 M en 2026 exigen un 4T de ≈24.500 M (+3,8 %) tras 9M planos y sin Rusia desde octubre, y 2027-2028 no parecen descontar la salida de aguas y vitaminas (≈4.500 M de ventas). Solo una fuente gratuita da estimaciones completas; se contrastan objetivos y recomendaciones con Investing y Stock Analysis.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-38,4 %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Nestlé perdió un 3,6 % anual (con dividendos) en cinco años frente al +7,5 % del SMI (ETF CSSMI) y el −1,5 % del sector europeo de alimentación y bebidas (ETF EXH3, en euros) [33]. La caída máxima, del 38,4 %, va de enero de 2022 a septiembre de 2025: el fin del ciclo de subidas de precio, el volumen estancado, el franco fuerte y tres cambios de consejero delegado en 2024-2025 [17, 33]. En 2026 sube un 10,6 % en el año, algo por debajo del SMI: la recuperación del volumen y la rotación defensiva de octubre (ocho sesiones seguidas al alza hasta el 15-oct) la llevaron de 74,48 CHF (5-oct) a 84,37 (22-oct) [23, 34]. Beta mensual a 5 años de 0,71 frente al STOXX 600 (0,54 semanal) y de 1,03 frente al SMI, índice en el que Nestlé pesa mucho y que por eso no sirve como referencia de beta [33].</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 / +0,4 % / +3,2 % / +1,5 %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 / +15,6 %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2027-02-18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del 8 % el 23-jul-2026, día de los resultados del 1S26: la empresa cambió la guía del margen del segundo semestre de «se refuerza» a «parecido al primero», con un 1S en el 16,4 % (−10 p. b.) y un deterioro de 1.300 M por los negocios en venta [6, 35]. Mayor caída diaria de los 12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jun-jul-2026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Subida de un mes hasta el 7-jul-2026 sin una noticia propia identificada: recuperación desde los mínimos de la primavera antes de los resultados del 1S; se deshizo con la caída del 23-jul [33, 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conjunta 50:50 con Platinum Equity para aguas y bebidas premium (Peranel): valor empresa de 4.500 M CHF y ≈2.800 M de caja para Nestlé en el 1S27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las vitaminas de gran consumo a Yellow Wood Partners por 1.000 M USD (≈800 M CHF), cierre en el 1S27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decreto ruso pone las filiales de Nestlé en Rusia bajo administración externa; Nestlé las desconsolida desde finales de septiembre (≈2 % de las ventas, 3-4 % del UTOP y de la caja libre)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o regulador</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Comisión Europea aprueba la sociedad conjunta de aguas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9M26: 3,7 % orgánico, 3T con 4,0 % y volumen del 2,8 % frente al 3,5 % y 1,7 % esperados por el consenso AWP; guía mantenida. La acción sube un 1,1 % (84,37 CHF) [7, 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UBS mantiene «neutral» con objetivo de 82 CHF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2027-02-18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anuales de 2026 y guía de 2027 [16].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lateral: +7,6 % en un mes, +0,4 % en tres y +1,5 % en doce, un 3,6 % bajo el máximo de 52 semanas y un 4,9 % sobre la media de 200 sesiones, sin avisos P [36]. La subida de octubre tiene causa conocida (rotación defensiva, aprobación de la sociedad de aguas y un 3T mejor de lo esperado) [15, 23]. No hay colocaciones, ampliaciones ni ofertas pendientes; las ventas de aguas y vitaminas están firmadas y cierran en el 1S27; Rusia ya está fuera del perímetro y su efecto en el valor es pequeño (3-4 % del UTOP). Los resultados del 18-feb-2027 no aplazan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BPA subyacente del año siguiente (la base que sigue el mercado), Nestlé cotizó a 26,6 veces al cierre de 2021, 22,3 en 2022, 20,4 en 2023, 16,9 en 2024 y 17,4 en 2025 (sobre nuestro BPA de 2026) [1, 33]. Hoy cotiza a 18,4 veces nuestro BPA de 2027: por debajo de la mediana de cinco años (20,4) y por encima del mínimo (16,9). El desrateo de 2022-2024 tiene causas estructurales: tipos de interés más altos que en 2019-2021 (el bono suizo a 10 años pasó de negativo a ≈0,6 %), volumen estancado y BPA plano desde 2021 (4,42 CHF en 2021 y en 2025). Volver a 20 veces exige que el volumen del 3T26 (2,8 %) se mantenga.</w:t>
      </w:r>
    </w:p>
    <w:p>
      <w:pPr>
        <w:pStyle w:val="Heading1"/>
      </w:pPr>
      <w:r>
        <w:t xml:space="preserve">18. Comparables cotizados</w:t>
      </w:r>
    </w:p>
    <w:p>
      <w:pPr>
        <w:pStyle w:val="Confianza"/>
        <w:spacing w:after="100"/>
      </w:pPr>
      <w:r>
        <w:t xml:space="preserve">Confianza: Media</w:t>
      </w:r>
    </w:p>
    <w:p>
      <w:pPr>
        <w:spacing w:after="100"/>
      </w:pPr>
      <w:r>
        <w:t xml:space="preserve">Siete grandes de consumo básico con marcas mundiales y cifras al cierre del 23-oct-2026: Unilever, PepsiCo, Hershey, Colgate-Palmolive y Lindt (cifras de sus cuentas y de su consenso, de los informes del repositorio llevados al precio del 23-oct) y Danone y Mondelez (Stock Analysis, 23-oct) [33, 37, 38]. Quedan fuera Kraft Heinz y General Mills (en pérdidas o en reestructuración, que distorsionan el PER), Mars y Ferrero (no cotizan) y L'Oréal (es una participada de Nestlé, no un comparable). PER de los próximos 12 meses sobre BPA ajustado, la misma base que el BPA subyacente de Nestlé.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Nestlé</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Unilever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PepsiCo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Hershey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Colgate-Palmolive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Lindt &amp; Sprüngli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Danone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Mondelez</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67.127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 / 15,4x / 16,4x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 / 19,3x / 21,5x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 / 3,2x / 3,4x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Mediana del PER de los próximos 12 meses de 19,3 veces (15,3 Danone – 25,1 Lindt) [37, 38]. Nestlé cotiza a ≈18,5 veces nuestro BPA subyacente de los próximos 12 meses: en línea con PepsiCo y Hershey, por encima de Danone y por debajo de Unilever, Mondelez, Colgate y Lindt. El descuento frente a la mediana es pequeño y tiene base: crecimiento en francos plano (el franco resta 2-6 puntos al año), deuda neta de ≈2,9 veces el EBITDA ajustado frente a 1-2,5 de los demás y un BPA que no crece desde 2021. El EV/EBITDA de Nestlé lleva dentro la participación en L'Oréal (≈43.300 M CHF, 17 % de la capitalización), que no aporta EBITDA: sin ella el múltiplo baja ≈3 veces. Por eso el múltiplo que usaríamos es el PER, y los comparables pesan un 20 % en el valor.</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Aguas y bebidas premium de Nestlé (Peranel, 50 %)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Platinum Equity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4.500 M CHF para el 100 %; múltiplos sobre las ventas (3.548 M) y el UTOP más amortización (479 M) de 2025 del segmento: estimación propia [1, 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Vitaminas de gran consumo de Nestlé</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Yellow Wood Partners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1.000 M USD por un negocio de 1.200 M USD de ventas en 2025 [7].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Kellanova (Pringles, Cheez-It)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35.900 M USD con la deuda asumida; 16,4 veces el EBITDA ajustado de los últimos 12 meses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JDE Peet's (café)</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Keurig Dr Pepper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18.961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≈23.000 M USD; 12,9 veces el EBITDA ajustado estimado de 2026 (múltiplo adelantado) [40].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Hostess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J.M. Smucker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≈5.600 M USD; 17,2 veces el EBITDA ajustado sin sinergias [41].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Sovos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Campbell Soup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2.700 M USD; 19,8 veces el EBITDA ajustado de los últimos 12 meses sin sinergias [42].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WK Kellogg 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Ferrero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3.100 M USD; prima del 40 % sobre la media de 30 sesiones; sin múltiplo publicado [43].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16,4x (12,9x – 17,2x)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102,45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79,89 – 107,61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marcas de alimentación en EE. UU. se pagaron a 16-20 veces el EBITDA (Kellanova, Hostess, Sovos) y el café a ≈13 veces adelantado (JDE Peet's) [39, 40, 41, 42]. Las ventas de Nestlé de 2026 salen mucho más baratas: aguas a ≈9,4 veces y vitaminas de gran consumo a 0,8 veces las ventas, negocios de margen bajo [6, 7]. Nestlé no es objeto probable de una operación: 215.000 M CHF de capitalización y un límite estatutario del 5 % del voto [1]. Las transacciones no pesan en el valor (prima de control sin base) y solo sirven para ver que las ventas de cartera de Nestlé cristalizan valores por debajo del múltiplo del grupo.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Crecimiento en francos = orgánico − divisa − perímetro. Orgánico del 3,8 % (guía de 3-4 % en 2026, 3,5 %, 3,7 % y 4,0 % en los tres trimestres de 2026; objetivo a medio plazo de 4 % o más) [7, 11]. Divisa de ≈ −2 % en 2026 (la empresa la bajó desde −3 %) y de −1,5 puntos al año después, la media del franco frente a la cesta de Nestlé [8]. Perímetro: Rusia (≈2 % de las ventas) sale desde el 3T26; aguas (3.548 M de ventas) pasa a la sociedad conjunta en el 1S27 y vitaminas (≈1.000 M) se vende en el 1S27, lo que resta ≈2 puntos en 2027 y otros 2,5 en 2028 [7]. Resultado: +1,0 % en 2026e (fijo: tres trimestres conocidos), −2,0 % en 2027e, −0,2 % en 2028e y 2 % desde 2029e, bajando al 0,6 % al final. Media: 0,9 % anual.</w:t>
      </w:r>
    </w:p>
    <w:p>
      <w:pPr>
        <w:keepNext/>
        <w:spacing w:after="100"/>
      </w:pPr>
      <w:r>
        <w:rPr>
          <w:b/>
          <w:bCs/>
        </w:rPr>
        <w:t xml:space="preserve">Márgenes.</w:t>
      </w:r>
    </w:p>
    <w:p>
      <w:pPr>
        <w:spacing w:after="100"/>
      </w:pPr>
      <w:r>
        <w:t xml:space="preserve">Margen EBITDA con la reestructuración dentro del 18,8 % en 2026e (el de los últimos 12 meses a junio, con un año de reestructuración alta por el plan de ahorro), 19,7 % en 2027e, 20,2 % en 2028e y 20,5 % desde 2029e. El 20,5 % equivale a un UTOP de ≈17,5 %: el objetivo de la dirección es «17 % o más» y el UTOP fue del 17,1-17,4 % en 2021-2024 [1, 11]. Lo sostienen el ahorro de 3.000 M hasta 2027 y la salida de aguas (margen del 9-10 %), vitaminas y Rusia, todos por debajo de la media del grupo [6, 7].</w:t>
      </w:r>
    </w:p>
    <w:p>
      <w:pPr>
        <w:keepNext/>
        <w:spacing w:after="100"/>
      </w:pPr>
      <w:r>
        <w:rPr>
          <w:b/>
          <w:bCs/>
        </w:rPr>
        <w:t xml:space="preserve">Inversión y circulante.</w:t>
      </w:r>
    </w:p>
    <w:p>
      <w:pPr>
        <w:spacing w:after="100"/>
      </w:pPr>
      <w:r>
        <w:t xml:space="preserve">Amortización del 4,0 % de las ventas (3.633 M en 2025) [1]. Capex del 5,5 % con las altas de derechos de uso (≈1 punto), porque los arrendamientos (2.603 M) van como deuda en el puente: el capex sin arrendamientos bajó del 6,5 % de 2024 al 5,5 % de 2025 y sigue bajando en 2026 (1.929 M en el 1S26 frente a 2.607 M) [1, 5]. Circulante comercial al 3,7 % de las ventas, su nivel real de 2025 (3.351 M), no cero.</w:t>
      </w:r>
    </w:p>
    <w:p>
      <w:pPr>
        <w:keepNext/>
        <w:spacing w:after="100"/>
      </w:pPr>
      <w:r>
        <w:rPr>
          <w:b/>
          <w:bCs/>
        </w:rPr>
        <w:t xml:space="preserve">Coste del capital.</w:t>
      </w:r>
    </w:p>
    <w:p>
      <w:pPr>
        <w:spacing w:after="100"/>
      </w:pPr>
      <w:r>
        <w:t xml:space="preserve">Tasa libre del 0,59 % (bono de la Confederación a 10 años, 30-sep-26, BNS) [44]. Beta de 0,66: media de la mensual (0,71) y la semanal (0,54) a 5 años frente al STOXX 600 (0,625), desapalancada con la deuda media del periodo (D/E ≈19 %) a 0,545 y reapalancada con la deuda neta propia de hoy (56.344 M sobre 215.360 M de capitalización, D/E 26 %) [33]. La beta frente al SMI (1,03) no sirve: Nestlé pesa ≈15 % del índice. Prima de mercado del 5,5 % y prima adicional de 1 punto por la exposición a emergentes (≈40 % de las ventas) y a la divisa. Coste de la deuda del 2,5 % (intereses netos sobre deuda media de 2025) y peso de la deuda del 21 % (deuda neta sobre deuda neta más capitalización). WACC del 4,53 %; con la prima implícita del mercado (4,2 %) baja al 3,85 %.</w:t>
      </w:r>
    </w:p>
    <w:p>
      <w:pPr>
        <w:keepNext/>
        <w:spacing w:after="100"/>
      </w:pPr>
      <w:r>
        <w:rPr>
          <w:b/>
          <w:bCs/>
        </w:rPr>
        <w:t xml:space="preserve">Valor terminal.</w:t>
      </w:r>
    </w:p>
    <w:p>
      <w:pPr>
        <w:spacing w:after="100"/>
      </w:pPr>
      <w:r>
        <w:t xml:space="preserve">Crecimiento a perpetuidad del 0,5 % en francos: entre la inflación suiza a largo plazo (≈1 %) y la tasa libre menos medio punto (0,1 %), y en línea con unas ventas en francos que apenas crecen desde 2019 (0,7 % anual en 2021-2025 con el perímetro). El múltiplo de salida implícito es de 13,6 veces el EBITDA, cerca de las transacciones de alimentación (12,9-19,8 veces) [39, 40, 41, 42], y el valor terminal pesa el 70 %.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0,66</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97.619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7.428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272.372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260.156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181.387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258.579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250.170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90,75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129,16</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14.285 M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 (reinvierte el 44 %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 frente al 0,9 %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 (hoy: 3,3 %)</w:t>
            </w:r>
          </w:p>
        </w:tc>
      </w:tr>
    </w:tbl>
    <w:p>
      <w:pPr>
        <w:spacing w:after="160" w:before="0"/>
      </w:pPr>
    </w:p>
    <w:p>
      <w:pPr>
        <w:spacing w:after="100"/>
      </w:pPr>
      <w:r>
        <w:t xml:space="preserve">La proyección apenas necesita inversión neta de la amortización (reinversión acumulada de 14.285 M, el 12 % del NOPAT, con un capex bruto medio del 5,5 % de las ventas). En un negocio de activos ligeros, el crecimiento medio del 0,9 % tiene que salir de subir precios y de ganar volumen sin capital nuevo, y la prueba es el poder de precios y la cuota (2,5 % del mercado en 2030e, frente al 3,3 %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(RIG) de 1,2 %, 1,8 % y 2,8 % en los tres trimestres y precio de 2,3 %, 1,9 % y 1,1 %: ≈1,9 % cada uno en el año; −2 puntos de divisa y −0,8 de Rusia [6, 7,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3,8 % (la empresa espera más precio en 2027 por los costes); −5,8 puntos: Rusia todo el año (−1,5), medio año sin aguas (−2,0), vitaminas (−0,6), helados (−0,2) y divisa (−1,5) [8, 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3,8 %; −4,0 puntos: el resto de aguas (−2,0), vitaminas (−0,5) y divisa (−1,5).</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3,5 % (volumen 2 %, el objetivo de la dirección, y precio 1,5 %) y −1,5 de divisa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Orgánico del 3,3 %, con el volumen moderándose; −1,3 de divisa.</w:t>
            </w:r>
          </w:p>
        </w:tc>
      </w:tr>
    </w:tbl>
    <w:p>
      <w:pPr>
        <w:spacing w:after="160" w:before="0"/>
      </w:pPr>
    </w:p>
    <w:p>
      <w:pPr>
        <w:spacing w:after="100"/>
      </w:pPr>
      <w:r>
        <w:t xml:space="preserve">Proyectamos un crecimiento medio del 0,9 % anual en francos, en línea con el 0,7 % anual de 2021-2025 y casi sin inversión neta (reinversión del 12 % del NOPAT): no hace falta capital nuevo, el ROIC (11,8 % en 2025; 17,6 % sin fondo de comercio) es más del doble del WACC y la cuota baja del 3,3 % al 2,5 % por las ventas de negocios, no por pérdida de clientes. Frente al informe del 14-oct pasamos de «En parte» a «Sí»: la duda era el volumen, y el 3T26 trajo un 2,8 %, positivo en todas las zonas y por encima del consenso (1,7 %) [7, 15]. El orgánico del 3,8 % ya no depende del precio, que bajó al 1,1 %. Riesgo: la directora financiera pidió no extrapolar el trimestre (pedidos adelantados en alimentación) [9].</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 (base: 0,9 %)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 (base: 20,5 %)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 (WACC: 4,5 %)</w:t>
            </w:r>
          </w:p>
        </w:tc>
      </w:tr>
    </w:tbl>
    <w:p>
      <w:pPr>
        <w:spacing w:after="160" w:before="0"/>
      </w:pPr>
    </w:p>
    <w:p>
      <w:pPr>
        <w:spacing w:after="100"/>
      </w:pPr>
      <w:r>
        <w:t xml:space="preserve">El DCF da 97,23 CHF por acción, un 16,2 % sobre el precio, con un WACC del 4,53 % y un valor terminal del 70 %. El método es muy sensible a la tasa: con un WACC del 5,5 % el valor baja a 77,26 CHF (tabla de sensibilidad). El DCF inverso dice que el precio de hoy descuenta que las ventas en francos caigan un 1,1 % al año en 2027-2035 con nuestro margen, o un margen EBITDA del 18,5 % con nuestro crecimiento, frente al 20,5 % que proyectamos; la rentabilidad implícita en el precio es del 5,2 %, más que nuestro WACC (4,53 %) y que lo que pide el mercado (3,85 %). La expectativa del mercado es conservadora: el margen de 18,5 % es el de los últimos 12 meses, con un año de reestructuración alta, y supone que el plan de ahorro no deja nada. La participación en L'Oréal aporta 16,8 CHF por acción al puente [47].</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del 3T26 resulta ser un adelanto de pedidos: el RIG vuelve al 1 %, el ahorro se gasta en defender precios frente a la marca blanca y el café y el cacao siguen caros. El margen EBITDA se queda en el 19,5 % (UTOP ≈16,5 %) y las ventas en francos caen un punto más al año, como en 2024-2025 [1].</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3,8 % con volumen del 2 %, el ahorro de 3.000 M y la salida de aguas, vitaminas y Rusia llevan el UTOP al 17-17,5 % desde 2029, y las ventas en francos vuelven a crecer un 2 % en 2029 tras dos años de perímetro negativo.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106,89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se mantiene por encima del 2,5 % con café y mascotas, el UTOP supera el 18 % y el franco resta menos de lo previsto.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CHF) · precio actual 83,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94,54 CHF (+13,0 %).</w:t>
      </w:r>
    </w:p>
    <w:p>
      <w:pPr>
        <w:spacing w:after="100"/>
      </w:pPr>
      <w:r>
        <w:t xml:space="preserve">El intervalo es estrecho, como corresponde a un negocio defensivo: el bajista da 76,81 CHF (−8,2 %) y el alcista 106,89 CHF (+27,7 %), con una asimetría de 3,4 veces. A 12 meses, con nuestro PER y nuestro BPA, la asimetría es mucho peor: el bajista pierde un 16,7 % (66,65 CHF) y el alcista gana un 27,6 % (103,73 CHF). La diferencia está en el múltiplo: el DCF usa un WACC muy bajo y la regla a 12 meses usa los múltiplos que el mercado ha pagado.</w:t>
      </w:r>
    </w:p>
    <w:p>
      <w:pPr>
        <w:pStyle w:val="Heading1"/>
      </w:pPr>
      <w:r>
        <w:t xml:space="preserve">22. Suma de partes</w:t>
      </w:r>
    </w:p>
    <w:p>
      <w:pPr>
        <w:pStyle w:val="Confianza"/>
        <w:spacing w:after="100"/>
      </w:pPr>
      <w:r>
        <w:t xml:space="preserve">Confianza: Media</w:t>
      </w:r>
    </w:p>
    <w:p>
      <w:pPr>
        <w:spacing w:after="100"/>
      </w:pPr>
      <w:r>
        <w:t xml:space="preserve">No aplica: el negocio de alimentación se valora como un todo. L'Oréal (20,1 %) entra en el puente a valor de mercado (43.325 M CHF, un 20 % de la capitalización, 16,8 CHF por acción) [46, 47]; la mitad que Nestlé conserva de la sociedad conjunta de aguas no se valora (prudencia: ≈0,5 CHF por acción).</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CHF) · precio actual 83,7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125,86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138,84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84,12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93,27 CHF (+11,4 % sobre 83,70).</w:t>
      </w:r>
    </w:p>
    <w:p>
      <w:pPr>
        <w:spacing w:after="100"/>
      </w:pPr>
      <w:r>
        <w:t xml:space="preserve">El DCF pesa un 45 % y los escenarios un 35 % porque es una empresa estable con flujos predecibles; los comparables, un 20 %, con el PER como múltiplo de referencia, porque el EV/EBITDA de Nestlé lleva dentro L'Oréal, que no aporta EBITDA. Las transacciones (102,45 CHF) no pesan: son compras de control con prima y las dos más recientes son ventas de Nestlé a 9,4 veces y 0,8 veces ventas, por debajo del múltiplo del grupo [1, 7]. El valor intrínseco ponderado es de 93,27 CHF (+11,4 %): los comparables por PER dan 82,14 CHF y el DCF 97,23 CHF, una distancia que nace del WACC en francos (4,53 %). Por eso el valor intrínseco es la referencia a largo plazo y la decisión se toma con el objetivo a 12 meses.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(18.4x) a mitad de camino hacia la mediana de 5 años (20.4x)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histórica larga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103,73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+27,6 %</w:t>
            </w:r>
          </w:p>
        </w:tc>
      </w:tr>
    </w:tbl>
    <w:p>
      <w:pPr>
        <w:spacing w:after="160" w:before="0"/>
      </w:pPr>
    </w:p>
    <w:p>
      <w:pPr>
        <w:spacing w:after="100"/>
      </w:pPr>
      <w:r>
        <w:rPr>
          <w:b/>
          <w:bCs/>
        </w:rPr>
        <w:t xml:space="preserve">Objetivo a 12 meses (ponderado):</w:t>
      </w:r>
      <w:r>
        <w:t xml:space="preserve"> 87,70 CHF · rentabilidad +8,5 % (base +11,5 %) · señal Mantener.</w:t>
      </w:r>
    </w:p>
    <w:p>
      <w:pPr>
        <w:spacing w:after="100"/>
      </w:pPr>
      <w:r>
        <w:t xml:space="preserve">Para comparar, con la regla v2 (historia al cierre, mismo precio): 15,7x / 18,4x / 21,7x, 6,5 %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BPA subyacente de 2028e (4,65 CHF) no es comparable con el BPA publicado del consenso de MarketScreener (4,70 CHF), que lleva reestructuración y deterioros y debería quedar por debajo del subyacente; el consenso subyacente de 2026 (4,48 CHF, S&amp;P) queda un 1 % por debajo del nuestro (4,52) [29, 32]. Nuestro precio base (90,21 CHF) está un 1,3 % por encima del objetivo medio de los analistas (89,04 CHF), y este cae dentro de nuestro rango (66,65-103,73 CHF). Coincidimos con el mercado en el múltiplo (≈19-20 veces) y en el BPA.</w:t>
      </w:r>
    </w:p>
    <w:p>
      <w:pPr>
        <w:keepNext/>
        <w:spacing w:after="100"/>
      </w:pPr>
      <w:r>
        <w:rPr>
          <w:b/>
          <w:bCs/>
        </w:rPr>
        <w:t xml:space="preserve">Del valor intrínseco al objetivo a 12 meses.</w:t>
      </w:r>
    </w:p>
    <w:p>
      <w:pPr>
        <w:spacing w:after="100"/>
      </w:pPr>
      <w:r>
        <w:t xml:space="preserve">Entre el valor intrínseco (93,27 CHF) y el objetivo a 12 meses ponderado (87,70 CHF) hay un 6 %: la distancia es pequeña porque el PER que usa la regla (19,4 veces en el base) ya se acerca a la mediana de cinco años (20,4). Lo que cerraría el resto: que los resultados de 2026 (18-feb-2027) confirmen un UTOP por encima del 16,1 % y una guía de 2027 con volumen de 2 % o más, y el cobro de ≈3.600 M de aguas y vitaminas en el 1S27, que bajaría la deuda por debajo de 3 veces el EBITDA.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2027-02-18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UTOP por encima del 16,1 %, caja libre &gt; 9.000 M y guía de volumen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sociedad conjunta de aguas (≈2.800 M) y de la venta de vitaminas (≈800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la deuda neta hacia 2,5-3 veces el EBITDA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accionistas: dividendo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por 31.º año (≈3,15 CHF)</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prueba del volumen sin los pedidos adelantados del 3T26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Vuelta de las recompras con la caja de las ventas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+1-2 % al año, no incluido en nuestros casos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volumen del 3T26 fue un adelanto y no se repite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−16,7 % a 12 meses (bajista: 66,65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 de 3.000 M para publicidad y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RIG por debajo del 1,5 % en el 4T26 o el 1T27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Café y cacao caros más tiempo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 −7 CHF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y subidas de precio en 2027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UTOP del 2S26 por debajo del 16 %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franco sigue apreciándose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crecimiento al año ≈ −7 CHF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en cada mercado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peor que −3 %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alta y dividendo que absorbe la caja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Recorte del PER de 1-2 puntos si se congela el dividendo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Cobro de aguas y vitaminas en el 1S27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 EBITDA por encima de 3 veces a fin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Fármacos para adelgazar (GLP-1) y regulación de ultraprocesados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−5-10 % a largo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Café, mascotas y nutrición pesan más de la mitad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negativo en confitería y congelados de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inteligencia artificial cambia la venta de gran consumo (comercio por agentes, marcas blancas mejor recomendadas)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Tecnológico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Menos poder de precio a largo plazo; sin efecto en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Nestlé usa la IA en publicidad y cadena de suministro dentro del plan de ahorro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Pérdida de cuota en el canal digital de EE. UU.</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Nueva rotación en la cúpula o un escándalo de gobierno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Compresión del PER de 1-2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(Pablo Isla) y consejero delegado con un año de guía cumplida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Salida de directivos clave</w:t>
            </w:r>
          </w:p>
        </w:tc>
      </w:tr>
    </w:tbl>
    <w:p>
      <w:pPr>
        <w:spacing w:after="160" w:before="0"/>
      </w:pPr>
    </w:p>
    <w:p>
      <w:pPr>
        <w:pStyle w:val="Heading2"/>
      </w:pPr>
      <w:r>
        <w:t xml:space="preserve">Pre-mortem</w:t>
      </w:r>
    </w:p>
    <w:p>
      <w:pPr>
        <w:spacing w:after="100"/>
      </w:pPr>
      <w:r>
        <w:t xml:space="preserve">Octubre de 2029: la acción cotiza a 65 CHF. El 2,8 % de volumen del 3T26 fue un adelanto de pedidos: en 2027 el RIG volvió al 1 % y el ahorro se gastó en promociones para frenar la marca blanca. El café y el cacao no bajaron y el UTOP se quedó en el 16 %. El franco restó tres puntos al año y las ventas en francos cayeron hasta 2029. Con la deuda en 3 veces el EBITDA tras el cobro de aguas, la dirección congeló el dividendo y el PER bajó a 15 veces un BPA de 4,3 CHF. Mientras tanto, la caja de aguas y vitaminas se fue en bajar deuda y no hubo recompras, así que el BPA siguió plano por cuarto año, y los inversores que entraron en 2026 por el giro de volumen salieron cuando el 1T27 lo desmintió. Las señales que lo anticipaban: un RIG por debajo del 1,5 % en el 1T27, un UTOP de 2026 por debajo del 16,3 % y una guía de 2027 sin cifra de volumen.</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Mixto · </w:t>
      </w:r>
      <w:r>
        <w:rPr>
          <w:b/>
          <w:bCs/>
        </w:rPr>
        <w:t xml:space="preserve">Efecto en valor (3-5 años):</w:t>
      </w:r>
      <w:r>
        <w:t xml:space="preserve"> +/−3 % a 3-5 años</w:t>
      </w:r>
    </w:p>
    <w:p>
      <w:pPr>
        <w:spacing w:after="100"/>
      </w:pPr>
      <w:r>
        <w:t xml:space="preserve">La IA no sustituye el producto (alimentos, café, comida para mascotas) y Nestlé la usa como palanca de costes: publicidad generada y segmentada, previsión de demanda, planificación de fábricas y compras, dentro del plan de ahorro de 3.000 M hasta 2027 [11]. La amenaza está en la venta: si la compra en línea pasa a hacerla un agente que elige por precio y composición, la marca pesa menos y la marca blanca gana, sobre todo en categorías sin diferencia clara (culinarios, cereales, aguas, que en parte ya vende). Frente a eso, café en cápsulas, mascotas y nutrición infantil tienen fidelidad y recomendación profesional. La señal que avisaría: pérdida de cuota en el canal digital de EE. UU. o márgenes más bajos en los acuerdos con Amazon y Walmart. En 12 meses no cambia el valor.</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(1) Abastecimiento de café y cacao: precio, clima y deforestación; Nestlé actualizó en el 3T26 su estrategia de clima y naturaleza para asegurar la cadena de suministro, y el GHG pesa un 20 % en el incentivo a largo plazo de la dirección [7, 18]. (2) Envases: el plástico virgen es un objetivo ESG del bonus anual (130 % de cumplimiento en 2025) [18]. (3) Seguridad y calidad de producto: la retirada de leche infantil de 2025-26 costó cuota en Europa y restó ≈20 p. b. al crecimiento del 3T26 [7].</w:t>
      </w:r>
    </w:p>
    <w:p>
      <w:pPr>
        <w:pStyle w:val="Heading2"/>
      </w:pPr>
      <w:r>
        <w:t xml:space="preserve">Controversias</w:t>
      </w:r>
    </w:p>
    <w:p>
      <w:pPr>
        <w:spacing w:after="100"/>
      </w:pPr>
      <w:r>
        <w:t xml:space="preserve">Retirada de leche infantil en Europa y Asia (2025-26) [7]; intervención de las filiales rusas por decreto (septiembre de 2026) [7]; destitución del consejero delegado Laurent Freixe en septiembre de 2025 por una relación no declarada con una subordinada [17]; críticas de inversores institucionales (DWS, Deka, Ethos) en la junta de abril de 2026 por la supervisión del consejo [24].</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2,8 % de RIG del 3T26 fue adelanto de pedidos y cuál es el volumen sostenible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base (volumen del 2 %) o 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margen dejan los costes compartidos de aguas, vitaminas y Rusia cuando salgan?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no lo cuantificó y suponemos que la salida mejora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¿Volverán las recompras tras el cobro de aguas y vitaminas o se prioriza la deuda?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contamos recompras en el BPA de 2028e.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dejará de haber 400-500 M anuales de reestructuración fuera del UTOP?</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BPA subyacente del publicado.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L'Oréal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planes para la participación del 20,1 % en L'Oréal?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Vale 43.325 M CHF, el 20 % de la capitalización; su venta podría financiar recompras.</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(NSRGY)</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mensajes (≈30 en diez meses) y casi todos alcistas o neutros: «hora de comprar lo aburrido», gusto por las ventas de negocios y compras en las caídas de febrero y marzo; también enlaces a la retirada de leche infantil y a los robos de KitKat. Debate escaso para una empresa de este tamaño [48].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análisis, jun-oct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títulos de los análisis de julio a septiembre van de «caso de compra reafirmado» a «la recuperación aún se queda corta» y «el ahorro funciona, pero la acción está en su precio»; una gestora de valor sale de la acción en agosto y otra la mantiene en su cartera [49].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cash.ch (prensa suiza: análisis técnico y opinión de mercado)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junio celebra la ruptura de los 80 CHF y señala la resistencia de 84 CHF, donde la acción fracasó en octubre de 2025 y febrero de 2026; en octubre, ocho sesiones seguidas al alza por rotación defensiva y menos titulares negativos [23, 50].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y junta de accionistas (inversores institucionales)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la junta de abril, DWS, Deka y Ethos criticaron la supervisión del consejo tras los escándalos de 2025 y pidieron consecuencias claras [24].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(RIG): ¿vuelve de verdad?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la razón a los optimistas en el corto plazo: 2,8 % en el 3T26, positivo en todas las zonas, tras 0,8 % en 2025; pero la propia directora financiera pidió no extrapolar el 3T (pedidos adelantados) [7, 9].</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negocios (aguas, vitaminas, helados)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Concentran la cartera en negocios de más margen, pero se venden baratas (aguas a ≈9 veces el EBITDA, vitaminas a 0,8 veces ventas) y restan ≈4.500 M de ventas [6, 7].</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tras años de caída o «en su precio»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Cotiza a ≈18,4 veces nuestro BPA de 2027 frente a una mediana de 20,4 en cinco años; el BPA subyacente no crece desde 2021 (4,42 CHF) [1].</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y confianza tras los escándalos de 2025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consejeros delegados en dos años y críticas institucionales en la junta; la guía de 2025 se cumplió y la de 2026 va en camino [7, 24].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Retirada de leche infantil y Rusia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retirada restó ≈20 p. b. al crecimiento del 3T26; Rusia (≈2 % de las ventas) ya no consolida [7].</w:t>
            </w:r>
          </w:p>
        </w:tc>
      </w:tr>
    </w:tbl>
    <w:p>
      <w:pPr>
        <w:spacing w:after="160" w:before="0"/>
      </w:pPr>
    </w:p>
    <w:p>
      <w:pPr>
        <w:spacing w:after="100"/>
      </w:pPr>
      <w:r>
        <w:t xml:space="preserve">El sentimiento de los particulares es tibio y escaso: pocos mensajes, más bien alcistas por el dividendo y la «compra aburrida», sin euforia ni capitulación. Los análisis publicados están divididos entre los que ven un giro de volumen y los que ven la acción en su precio, que es lo que también dice nuestra valoración (Mantener). No señala un riesgo que el informe no recoja: la duda principal (si el volumen del 3T26 se sostiene) es el eje de nuestros escenarios. El consenso de analistas mejoró de 10 compras, 13 mantener y 2 ventas en junio a 12, 10 y 1 en octubre [30, 50], en la misma dirección que el foro.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24 controles correctos y 5 explicados. Fuentes: 50 (26 primarias); citas distintas en el texto: 48.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-8.651 (¿asociadas o extraordinarios?). Explicación: El BAI incluye las participadas (L'Oréal y Froneri, ≈1.000-1.250 M al año) y en 2021 la plusvalía de 7.184 M por la venta de acciones de L'Oréal, que Nestlé presenta por debajo del resultado operativo [4]. Se deja así para que BAI − impuestos − minoritarios dé el beneficio neto publicado.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-1.040 (¿asociadas o extraordinarios?). Explicación: Diferencia = resultado de participadas (L'Oréal y otras), por debajo del resultado operativo en la cuenta de Nestlé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-1.120 (¿asociadas o extraordinarios?). Explicación: Diferencia = resultado de participadas (L'Oréal y otras)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-1.249 (¿asociadas o extraordinarios?). Explicación: Diferencia = resultado de participadas (L'Oréal y otras)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-1.143 (¿asociadas o extraordinarios?). Explicación: Diferencia = resultado de participadas (L'Oréal y Froneri)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2,5 % en 2030e frente al 3,3 %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3,7 % frente a 3,7 % real: genera una variación de circulante de -7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50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13,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2T25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del 1S26: da el 2T26 pero no el 2T25 reexpresado; 2) comunicado de 9M25: da el 1S25 (2,9 %) y el 3T25; 3) derivarlo del 1S25 y del 1T25: el reexpresado del 1S24 no está en los documentos leídos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de 2021-2023 con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2025: solo reexpresan 2024; 2) cuentas 2024 y 2022: segmentación anterior (Norteamérica, Latinoamérica, Gran China); 3) informe semestral 2026: reexpresa el 1S25 con salud integrada en las zonas, no el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2025 (nota 12): sin rating ni vida media; 2) presentación anual 2025: solo el objetivo de 2-3 veces deuda neta/EBITDA; 3) informe semestral 2026: sin rating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(MSCI, Sustainalytics,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Annual Review 2025 de Nestlé: no da las calificaciones de terceros; 2) informe de gobierno y remuneración 2025: solo objetivos ESG propios; 3) webs de MSCI y Sustainalytics: cargan con JavaScript y no devuelven la nota sin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 del mercado mundial de alimentación envasada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The Business Research Company: solo lista las empresas, sin cuotas; 2) Research and Markets: sin cuotas en la parte pública; 3) derivarlo con las ventas de los cinco mayores: Mars no publica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remuneración en las juntas de 2024-2026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 de la junta de 2026 en nestle.com: solo asistencia y aprobación de todo; 2) prensa (cash.ch/AWP): solo «más del 89 %» en los puntos restantes y los votos de los consejeros nuevos; 3) página de resultados detallados de la junta: carga con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accionistas significativos y operaciones de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de la SIX (significant_shareholders): la consulta devuelve todos los emisores sin filtro por Nestlé; 2) cuentas 2025 de Nestlé S.A.: sin lista de accionistas de más del 3 %; 3) informe de remuneración: solo acciones de los directivos a fin de año (sin operaciones)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año de entrada de cada consejero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gobierno y remuneración 2025: lista cargos y mandatos sin fecha de nombramiento; 2) cuentas 2025: no la dan; 3) prensa de la junta de 2026: solo los dos nombramientos nuevos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Suiza no tiene registro público de cortos (lecciones por país); 2) SIX: sin dato público; 3) proveedores gratuitos (Stock Analysis): no lo dan para la línea suiza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BPA subyacente de 2027-2028 posteriores al 3T26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BPA publicado y ventas que parecen anteriores a las ventas de negocios; 2) Stock Analysis: 2027-2028 de pago, 2026 del 2-sep; 3) Investing: sin estimaciones de BPA en la página pública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suizos y 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bloquea (403) según las lecciones; 2) artículos de Seeking Alpha: robots bloquean el texto y los comentarios (solo títulos del RSS); 3) cash.ch: la página no muestra los comentarios de lectores sin JavaScript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of the Nestlé Group 2025 (cuentas, notas 2-17 y reseña de 5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Nestlé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https://www.nestle.com/sites/default/files/2026-02/financial-statements-2025-en.pdf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Consolidated Financial Statements of the Nestlé Group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Nestlé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https://www.nestle.com/sites/default/files/2025-02/2024-financial-statements-en.pdf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of the Nestlé Group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https://www.nestle.com/sites/default/files/2023-02/2022-financial-statements-en.pdf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of the Nestlé Group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https://www.nestle.com/sites/default/files/2022-02/2021-financial-statements-en.pdf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2026 (estados financieros intermedios resumidos)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https://www.nestle.com/sites/default/files/2026-07/half-year-report-2026-en.pdf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results 2026: execution driving RIG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https://www.nestle.com/sites/default/files/2026-07/half-year-results-press-release-2026-en.pdf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Third-quarter and nine-month 2026 sales (comunicado ad hoc)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https://www.nestle.com/sites/default/files/2026-10/nine-month-sales-press-release-2026-en.pdf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third-quarter and nine-month results: prepared remarks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https://www.nestle.com/sites/default/files/2026-10/nine-month-sales-prepared-remarks-2026.pdf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call transcript: Nestlé posts stronger Q3 2026 growth (preguntas y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https://www.investing.com/news/transcripts/earnings-call-transcript-nestle-posts-stronger-q3-2026-growth-shares-steady-93CH-4965029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2025 and strategic update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https://www.nestle.com/sites/default/files/2026-02/full-year-results-press-release-2025-en.pdf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results 2025: investor presentation (guía a medio plazo, asignación de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https://www.nestle.com/sites/default/files/2026-02/full-year-results-investor-presentation-2025.pdf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Three-month sales 2026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https://www.nestle.com/sites/default/files/2026-04/three-month-sales-press-release-2026-en.pdf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Three-month sales 2025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https://www.nestle.com/sites/default/files/2025-04/three-month-sales-press-release-2025-en.pdf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Nine-month sales 2025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https://www.nestle.com/sites/default/files/2025-10/nine-month-sales-press-release-2025-en.pdf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Ausblick Nestlé: Hoffnung auf mehr Wachstum aus eigener Kraft (consenso AWP del 3T26)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https://www.cash.ch/news/top-news/ausblick-nestle-hoffnung-auf-mehr-wachstum-aus-eigener-kraft-978427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Review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https://www.nestle.com/sites/default/files/2026-02/annual-review-2025-en.pdf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chairman Paul Bulcke steps down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(Keystone-SDA)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https://www.bluewin.ch/en/news/nestle-chairman-paul-bulcke-steps-down-li.2874894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and Compensation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https://www.nestle.com/sites/default/files/2026-02/nestle-corporate-governance-compensation-report-2025-en.pdf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Packaged Food Global Market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Business Research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https://www.thebusinessresearchcompany.com/report/packaged-food-market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Packaged Food Market Size, Share &amp; Trends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Research and 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https://www.researchandmarkets.com/reports/5801864/packaged-food-market-size-share-trends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Cuentas 2025 de PepsiCo (10-K), Unilever (Annual Report) y Hershey (10-K), tal como se recogen en los informes del repositorio (pepsico-2026-10-09, unilever-2026-10-14, hershey-2026-10-14)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PepsiCo, Unilever, Hershey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https://www.unilever.com/files/ir-q4-2025-full-announcement.pdf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Danone y Mondelez: cuentas de resultados anuales 2024-2025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https://stockanalysis.com/quote/epa/BN/financials/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Acht Tage Kursgewinne in Folge: Nestlé-Aktie erreicht Zwei-Monats-Hoch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https://www.cash.ch/news/top-news/acht-tage-kursgewinne-in-folge-nestle-aktie-erreicht-zwei-monats-hoch-976900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Nestlé-Aktionäre bestätigen Kurs, Kritik an Führung nach Skandalen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 (AWP)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https://www.cash.ch/news/top-news/nestle-aktionare-bestatigen-kurs-kritik-an-fuhrung-nach-skandalen-928612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Nestlé-Aktie: Machtwechsel besiegelt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Börse Express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https://www.boerse-express.com/news/articles/nestl-aktie-machtwechsel-besiegelt-892146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2026 (comunicado: asistencia y aprobación)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https://www.nestle.com/media/pressreleases/allpressreleases/annual-general-meeting-2026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Solid 2024 performance; executing on plan to accelerate growth (comunicado, guía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https://www.nasdaq.com/press-release/solid-2024-performance-executing-plan-accelerate-growth-2025-02-13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reports full-year results for 2023 (comunicado, guía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vía Nasdaq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https://www.nasdaq.com/press-release/nestle-reports-full-year-results-for-2023-2024-02-22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 estimaciones financieras 2025-2028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https://www.marketscreener.com/quote/stock/NESTLE-S-A-9365334/finances/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AG: consenso de analistas (recomendaciones y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https://www.investing.com/equities/nestle-ag-consensus-estimates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S.A.: consenso (objetivo medio, máximo y mínimo)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https://www.marketscreener.com/quote/stock/NESTLE-S-A-9365334/consensus/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(SWX:NESN)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(consenso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https://stockanalysis.com/quote/swx/NESN/forecast/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NESN.SW, CSSMI.SW, EXH3.DE, EXSA.DE y URTH (herramientas/bolsa.mjs)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https://finance.yahoo.com/quote/NESN.SW/history/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diarios de NESN.SW (sep-oct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https://query1.finance.yahoo.com/v8/finance/chart/NESN.SW?range=3mo&amp;interval=1d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Nestlé gains momentum in sales volume and reaffirms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(Keystone-SDA)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https://www.bluewin.ch/en/news/nestle-gains-momentum-in-sales-volume-and-reaffirms-outlook-li.3538627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Movimiento del precio de NESN.SW (herramientas/movimiento.mjs, toma del 26-oct)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https://finance.yahoo.com/quote/NESN.SW/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del repositorio llevados al cierre del 23-oct (notas/comparables-precio.mjs; informes de Unilever, PepsiCo, Hershey, Colgate y Lindt; precios de verticales/empresa/precios.json)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Elaboración propia con las cuentas y el consenso de cada empresa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https://finance.yahoo.com/quote/ULVR.L/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Danone y Mondelez: estadísticas de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https://stockanalysis.com/quote/epa/BN/statistics/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Mars to acquire Kellanova (nota de prensa conjunta, Exhibit 99.4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Kellanova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https://www.sec.gov/Archives/edgar/data/55067/000119312524200233/d884455dex994.htm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to acquire JDE Peet's: presentación a inversores (Exhibit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Keurig Dr Pepper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https://www.sec.gov/Archives/edgar/data/1418135/000095014225002257/eh250670939_ex9902.htm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J.M. Smucker Co. to Acquire Hostess Brands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J.M. Smucker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https://www.sec.gov/Archives/edgar/data/91419/000119312523232051/d450269dex991.htm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to acquire Sovos Brands: presentación a inversores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Campbell Soup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https://www.sec.gov/Archives/edgar/data/16732/000095010323011620/dp198090_ex9901.htm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Ferrero to acquire WK Kellogg Co (Exhibit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WK Kellogg 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https://www.sec.gov/Archives/edgar/data/1959348/000119312525157425/d72421dex991.htm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interés al contado de la Confederación (10 años: 0,586 % el 30-sep-2026)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Nacional Suizo (data.snb.ch, cubo rendeiduebd)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https://data.snb.ch/api/cube/rendeiduebd/data/csv/en?fromDate=2026-08-01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 T12m with sustainable payout,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23-oct-2026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L'Oréal: cotización al cierre del 23-oct-2026 (OR.PA, verticales/empresa/precios.json)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https://finance.yahoo.com/quote/OR.PA/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NSRGY (enero-octubre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https://api.stocktwits.com/api/2/streams/symbol/NSRGY.json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análisis y noticias de NSRGY (RSS, junio-octubre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https://seekingalpha.com/api/sa/combined/NSRGY.xml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Die Nestlé-Aktien sind endlich nach oben ausgebrochen: was als Nächstes kommt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cash.ch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https://www.cash.ch/news/top-news/die-nestle-aktien-sind-endlich-nach-oben-ausgebrochen-was-als-nachstes-kommt-948185</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88,7 %</w:t>
      </w:r>
      <w:r>
        <w:t xml:space="preserve"> · Secciones con menos del 60 % de campos cubiertos: </w:t>
      </w:r>
      <w:r>
        <w:rPr>
          <w:b/>
          <w:bCs/>
        </w:rPr>
        <w:t xml:space="preserve">ninguna</w:t>
      </w:r>
      <w:r>
        <w:t xml:space="preserve"> · Generado el 26 oct 2026.</w:t>
      </w:r>
    </w:p>
    <w:p>
      <w:pPr>
        <w:pStyle w:val="Nota"/>
        <w:spacing w:after="100"/>
      </w:pPr>
      <w:r>
        <w:t xml:space="preserve">Cuentas en CHF con NIIF y ejercicio natural, tomadas de los PDF de Nestlé (cuentas consolidadas de 2021, 2022, 2024 y 2025, informe semestral de 2026 y comunicados trimestrales): Suiza no tiene XBRL público. Nestlé solo publica ventas en el primer y el tercer trimestre; el último dato de margen y balance es el del 30-jun-26. Precio: cierre del viernes 23-oct-2026 (83,70 CHF), porque la sesión del lunes 26 no había cerrado. El BPA de los escenarios a 12 meses y el PER histórico están en la misma base, la subyacente que publica Nestlé (sin reestructuración, deterioros ni plusvalías), y el EBITDA del DCF lleva la reestructuración dentro porque se repite cada año. L'Oréal (20,1 %) entra en el puente a precio de mercado del 23-oct. El consenso de BPA de MarketScreener es publicado y parece no recoger todavía las ventas de negocios; el BPA subyacente del consenso (4,48 CHF en 2026) es de septiembre. Los votos de remuneración de la junta y los accionistas significativos no se pudieron leer (huecos).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Nestlé S.A. (NESN)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83,70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(70,29 – 87,09)</c:v>
                </c:pt>
                <c:pt idx="1">
                  <c:v>Precio objetivo de los analistas (72,00 – 100,00)</c:v>
                </c:pt>
                <c:pt idx="2">
                  <c:v>Comparables: PER NTM (72,35 – 91,50)</c:v>
                </c:pt>
                <c:pt idx="3">
                  <c:v>Transacciones precedentes (EV/EBITDA) (79,89 – 107,61)</c:v>
                </c:pt>
                <c:pt idx="4">
                  <c:v>DCF (WACC y g ± 0,5) (79,90 – 125,86)</c:v>
                </c:pt>
                <c:pt idx="5">
                  <c:v>Escenarios (bajista – alcista) (76,81 – 106,89)</c:v>
                </c:pt>
                <c:pt idx="6">
                  <c:v>DCF con la prima implícita del mercado (4,2 %)</c:v>
                </c:pt>
                <c:pt idx="7">
                  <c:v>Precio actual (83,70)</c:v>
                </c:pt>
              </c:strCache>
            </c:strRef>
          </c:cat>
          <c:val>
            <c:numRef>
              <c:f>Hoja1!$B$2:$B$9</c:f>
              <c:numCache>
                <c:formatCode>#,##0</c:formatCode>
                <c:ptCount val="8"/>
                <c:pt idx="0">
                  <c:v>70.29</c:v>
                </c:pt>
                <c:pt idx="1">
                  <c:v>72</c:v>
                </c:pt>
                <c:pt idx="2">
                  <c:v>72.35</c:v>
                </c:pt>
                <c:pt idx="3">
                  <c:v>79.89</c:v>
                </c:pt>
                <c:pt idx="4">
                  <c:v>79.9</c:v>
                </c:pt>
                <c:pt idx="5">
                  <c:v>76.81</c:v>
                </c:pt>
                <c:pt idx="6">
                  <c:v>101.87</c:v>
                </c:pt>
                <c:pt idx="7">
                  <c:v>83.28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(70,29 – 87,09)</c:v>
                </c:pt>
                <c:pt idx="1">
                  <c:v>Precio objetivo de los analistas (72,00 – 100,00)</c:v>
                </c:pt>
                <c:pt idx="2">
                  <c:v>Comparables: PER NTM (72,35 – 91,50)</c:v>
                </c:pt>
                <c:pt idx="3">
                  <c:v>Transacciones precedentes (EV/EBITDA) (79,89 – 107,61)</c:v>
                </c:pt>
                <c:pt idx="4">
                  <c:v>DCF (WACC y g ± 0,5) (79,90 – 125,86)</c:v>
                </c:pt>
                <c:pt idx="5">
                  <c:v>Escenarios (bajista – alcista) (76,81 – 106,89)</c:v>
                </c:pt>
                <c:pt idx="6">
                  <c:v>DCF con la prima implícita del mercado (4,2 %)</c:v>
                </c:pt>
                <c:pt idx="7">
                  <c:v>Precio actual (83,70)</c:v>
                </c:pt>
              </c:strCache>
            </c:strRef>
          </c:cat>
          <c:val>
            <c:numRef>
              <c:f>Hoja1!$C$2:$C$9</c:f>
              <c:numCache>
                <c:formatCode>#,##0</c:formatCode>
                <c:ptCount val="8"/>
                <c:pt idx="0">
                  <c:v>16.799999999999997</c:v>
                </c:pt>
                <c:pt idx="1">
                  <c:v>28</c:v>
                </c:pt>
                <c:pt idx="2">
                  <c:v>19.150000000000006</c:v>
                </c:pt>
                <c:pt idx="3">
                  <c:v>27.72</c:v>
                </c:pt>
                <c:pt idx="4">
                  <c:v>45.959999999999994</c:v>
                </c:pt>
                <c:pt idx="5">
                  <c:v>30.08</c:v>
                </c:pt>
                <c:pt idx="6">
                  <c:v>36.97</c:v>
                </c:pt>
                <c:pt idx="7">
                  <c:v>0.8400000000000034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Zona Américas (AMS)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36135</c:v>
                </c:pt>
                <c:pt idx="1">
                  <c:v>34482</c:v>
                </c:pt>
              </c:numCache>
            </c:numRef>
          </c:val>
        </c:ser>
        <c:ser>
          <c:idx val="1"/>
          <c:order val="1"/>
          <c:tx>
            <c:strRef>
              <c:f>Hoja1!$C$1</c:f>
              <c:strCache>
                <c:ptCount val="1"/>
                <c:pt idx="0">
                  <c:v>Zona Asia, Oceanía y África (AOA)</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21177</c:v>
                </c:pt>
                <c:pt idx="1">
                  <c:v>20553</c:v>
                </c:pt>
              </c:numCache>
            </c:numRef>
          </c:val>
        </c:ser>
        <c:ser>
          <c:idx val="2"/>
          <c:order val="2"/>
          <c:tx>
            <c:strRef>
              <c:f>Hoja1!$D$1</c:f>
              <c:strCache>
                <c:ptCount val="1"/>
                <c:pt idx="0">
                  <c:v>Zona Europa (EUR)</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17082</c:v>
                </c:pt>
                <c:pt idx="1">
                  <c:v>17581</c:v>
                </c:pt>
              </c:numCache>
            </c:numRef>
          </c:val>
        </c:ser>
        <c:ser>
          <c:idx val="3"/>
          <c:order val="3"/>
          <c:tx>
            <c:strRef>
              <c:f>Hoja1!$E$1</c:f>
              <c:strCache>
                <c:ptCount val="1"/>
                <c:pt idx="0">
                  <c:v>Nestlé Health Science</c:v>
                </c:pt>
              </c:strCache>
            </c:strRef>
          </c:tx>
          <c:spPr>
            <a:solidFill>
              <a:srgbClr val="EDA100"/>
            </a:solidFill>
            <a:ln w="12700">
              <a:solidFill>
                <a:srgbClr val="FFFFFF"/>
              </a:solidFill>
            </a:ln>
          </c:spPr>
          <c:invertIfNegative val="0"/>
          <c:cat>
            <c:strRef>
              <c:f>Hoja1!$A$2:$A$3</c:f>
              <c:strCache>
                <c:ptCount val="2"/>
                <c:pt idx="0">
                  <c:v>2024</c:v>
                </c:pt>
                <c:pt idx="1">
                  <c:v>2025</c:v>
                </c:pt>
              </c:strCache>
            </c:strRef>
          </c:cat>
          <c:val>
            <c:numRef>
              <c:f>Hoja1!$E$2:$E$3</c:f>
              <c:numCache>
                <c:formatCode>#,##0</c:formatCode>
                <c:ptCount val="2"/>
                <c:pt idx="0">
                  <c:v>6739</c:v>
                </c:pt>
                <c:pt idx="1">
                  <c:v>6551</c:v>
                </c:pt>
              </c:numCache>
            </c:numRef>
          </c:val>
        </c:ser>
        <c:ser>
          <c:idx val="4"/>
          <c:order val="4"/>
          <c:tx>
            <c:strRef>
              <c:f>Hoja1!$F$1</c:f>
              <c:strCache>
                <c:ptCount val="1"/>
                <c:pt idx="0">
                  <c:v>Nespresso</c:v>
                </c:pt>
              </c:strCache>
            </c:strRef>
          </c:tx>
          <c:spPr>
            <a:solidFill>
              <a:srgbClr val="E87BA4"/>
            </a:solidFill>
            <a:ln w="12700">
              <a:solidFill>
                <a:srgbClr val="FFFFFF"/>
              </a:solidFill>
            </a:ln>
          </c:spPr>
          <c:invertIfNegative val="0"/>
          <c:cat>
            <c:strRef>
              <c:f>Hoja1!$A$2:$A$3</c:f>
              <c:strCache>
                <c:ptCount val="2"/>
                <c:pt idx="0">
                  <c:v>2024</c:v>
                </c:pt>
                <c:pt idx="1">
                  <c:v>2025</c:v>
                </c:pt>
              </c:strCache>
            </c:strRef>
          </c:cat>
          <c:val>
            <c:numRef>
              <c:f>Hoja1!$F$2:$F$3</c:f>
              <c:numCache>
                <c:formatCode>#,##0</c:formatCode>
                <c:ptCount val="2"/>
                <c:pt idx="0">
                  <c:v>6378</c:v>
                </c:pt>
                <c:pt idx="1">
                  <c:v>6481</c:v>
                </c:pt>
              </c:numCache>
            </c:numRef>
          </c:val>
        </c:ser>
        <c:ser>
          <c:idx val="5"/>
          <c:order val="5"/>
          <c:tx>
            <c:strRef>
              <c:f>Hoja1!$G$1</c:f>
              <c:strCache>
                <c:ptCount val="1"/>
                <c:pt idx="0">
                  <c:v>Aguas y bebidas premium (NW&amp;PB)</c:v>
                </c:pt>
              </c:strCache>
            </c:strRef>
          </c:tx>
          <c:spPr>
            <a:solidFill>
              <a:srgbClr val="008300"/>
            </a:solidFill>
            <a:ln w="12700">
              <a:solidFill>
                <a:srgbClr val="FFFFFF"/>
              </a:solidFill>
            </a:ln>
          </c:spPr>
          <c:invertIfNegative val="0"/>
          <c:cat>
            <c:strRef>
              <c:f>Hoja1!$A$2:$A$3</c:f>
              <c:strCache>
                <c:ptCount val="2"/>
                <c:pt idx="0">
                  <c:v>2024</c:v>
                </c:pt>
                <c:pt idx="1">
                  <c:v>2025</c:v>
                </c:pt>
              </c:strCache>
            </c:strRef>
          </c:cat>
          <c:val>
            <c:numRef>
              <c:f>Hoja1!$G$2:$G$3</c:f>
              <c:numCache>
                <c:formatCode>#,##0</c:formatCode>
                <c:ptCount val="2"/>
                <c:pt idx="0">
                  <c:v>3551</c:v>
                </c:pt>
                <c:pt idx="1">
                  <c:v>3548</c:v>
                </c:pt>
              </c:numCache>
            </c:numRef>
          </c:val>
        </c:ser>
        <c:ser>
          <c:idx val="6"/>
          <c:order val="6"/>
          <c:tx>
            <c:strRef>
              <c:f>Hoja1!$H$1</c:f>
              <c:strCache>
                <c:ptCount val="1"/>
                <c:pt idx="0">
                  <c:v>Otros negocios y gastos centrales</c:v>
                </c:pt>
              </c:strCache>
            </c:strRef>
          </c:tx>
          <c:spPr>
            <a:solidFill>
              <a:srgbClr val="4A3AA7"/>
            </a:solidFill>
            <a:ln w="12700">
              <a:solidFill>
                <a:srgbClr val="FFFFFF"/>
              </a:solidFill>
            </a:ln>
          </c:spPr>
          <c:invertIfNegative val="0"/>
          <c:cat>
            <c:strRef>
              <c:f>Hoja1!$A$2:$A$3</c:f>
              <c:strCache>
                <c:ptCount val="2"/>
                <c:pt idx="0">
                  <c:v>2024</c:v>
                </c:pt>
                <c:pt idx="1">
                  <c:v>2025</c:v>
                </c:pt>
              </c:strCache>
            </c:strRef>
          </c:cat>
          <c:val>
            <c:numRef>
              <c:f>Hoja1!$H$2:$H$3</c:f>
              <c:numCache>
                <c:formatCode>#,##0</c:formatCode>
                <c:ptCount val="2"/>
                <c:pt idx="0">
                  <c:v>292</c:v>
                </c:pt>
                <c:pt idx="1">
                  <c:v>294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Pt>
            <c:idx val="5"/>
            <c:bubble3D val="0"/>
            <c:spPr>
              <a:solidFill>
                <a:srgbClr val="008300"/>
              </a:solidFill>
              <a:ln w="19050">
                <a:solidFill>
                  <a:srgbClr val="FFFFFF"/>
                </a:solidFill>
              </a:ln>
            </c:spPr>
          </c:dPt>
          <c:dPt>
            <c:idx val="6"/>
            <c:bubble3D val="0"/>
            <c:spPr>
              <a:solidFill>
                <a:srgbClr val="4A3AA7"/>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Hoja1!$A$2:$A$8</c:f>
              <c:strCache>
                <c:ptCount val="7"/>
                <c:pt idx="0">
                  <c:v>Zona Américas (AMS)</c:v>
                </c:pt>
                <c:pt idx="1">
                  <c:v>Zona Asia, Oceanía y África (AOA)</c:v>
                </c:pt>
                <c:pt idx="2">
                  <c:v>Zona Europa (EUR)</c:v>
                </c:pt>
                <c:pt idx="3">
                  <c:v>Nestlé Health Science</c:v>
                </c:pt>
                <c:pt idx="4">
                  <c:v>Nespresso</c:v>
                </c:pt>
                <c:pt idx="5">
                  <c:v>Aguas y bebidas premium (NW&amp;PB)</c:v>
                </c:pt>
                <c:pt idx="6">
                  <c:v>Otros negocios y gastos centrales</c:v>
                </c:pt>
              </c:strCache>
            </c:strRef>
          </c:cat>
          <c:val>
            <c:numRef>
              <c:f>Hoja1!$B$2:$B$8</c:f>
              <c:numCache>
                <c:formatCode>General</c:formatCode>
                <c:ptCount val="7"/>
                <c:pt idx="0">
                  <c:v>38.5</c:v>
                </c:pt>
                <c:pt idx="1">
                  <c:v>23</c:v>
                </c:pt>
                <c:pt idx="2">
                  <c:v>19.6</c:v>
                </c:pt>
                <c:pt idx="3">
                  <c:v>7.3</c:v>
                </c:pt>
                <c:pt idx="4">
                  <c:v>7.2</c:v>
                </c:pt>
                <c:pt idx="5">
                  <c:v>4</c:v>
                </c:pt>
                <c:pt idx="6">
                  <c:v>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Estados Unidos</c:v>
                </c:pt>
                <c:pt idx="1">
                  <c:v>Resto de América (Brasil 4,5 %, México 4,0 %)</c:v>
                </c:pt>
                <c:pt idx="2">
                  <c:v>Gran China</c:v>
                </c:pt>
                <c:pt idx="3">
                  <c:v>Resto de Asia, Oceanía y África</c:v>
                </c:pt>
                <c:pt idx="4">
                  <c:v>Reino Unido</c:v>
                </c:pt>
                <c:pt idx="5">
                  <c:v>Francia</c:v>
                </c:pt>
                <c:pt idx="6">
                  <c:v>Alemania</c:v>
                </c:pt>
                <c:pt idx="7">
                  <c:v>Resto de Europa (Suiza 1,1 %)</c:v>
                </c:pt>
              </c:strCache>
            </c:strRef>
          </c:cat>
          <c:val>
            <c:numRef>
              <c:f>Hoja1!$B$2:$B$9</c:f>
              <c:numCache>
                <c:formatCode>0"%"</c:formatCode>
                <c:ptCount val="8"/>
                <c:pt idx="0">
                  <c:v>32</c:v>
                </c:pt>
                <c:pt idx="1">
                  <c:v>16</c:v>
                </c:pt>
                <c:pt idx="2">
                  <c:v>5.4</c:v>
                </c:pt>
                <c:pt idx="3">
                  <c:v>21.4</c:v>
                </c:pt>
                <c:pt idx="4">
                  <c:v>4</c:v>
                </c:pt>
                <c:pt idx="5">
                  <c:v>3.8</c:v>
                </c:pt>
                <c:pt idx="6">
                  <c:v>2.1</c:v>
                </c:pt>
                <c:pt idx="7">
                  <c:v>15.3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3282</c:v>
                </c:pt>
                <c:pt idx="1">
                  <c:v>4475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Nestlé</c:v>
                </c:pt>
                <c:pt idx="1">
                  <c:v>PepsiCo</c:v>
                </c:pt>
                <c:pt idx="2">
                  <c:v>Unilever</c:v>
                </c:pt>
                <c:pt idx="3">
                  <c:v>Mondelez</c:v>
                </c:pt>
                <c:pt idx="4">
                  <c:v>Danone</c:v>
                </c:pt>
                <c:pt idx="5">
                  <c:v>Hershey</c:v>
                </c:pt>
                <c:pt idx="6">
                  <c:v>Mars</c:v>
                </c:pt>
              </c:strCache>
            </c:strRef>
          </c:cat>
          <c:val>
            <c:numRef>
              <c:f>Hoja1!$B$2:$B$8</c:f>
              <c:numCache>
                <c:formatCode>0.0"%"</c:formatCode>
                <c:ptCount val="7"/>
                <c:pt idx="0">
                  <c:v>15</c:v>
                </c:pt>
                <c:pt idx="1">
                  <c:v>15.9</c:v>
                </c:pt>
                <c:pt idx="2">
                  <c:v>17.9</c:v>
                </c:pt>
                <c:pt idx="3">
                  <c:v>9.4</c:v>
                </c:pt>
                <c:pt idx="4">
                  <c:v>13.4</c:v>
                </c:pt>
                <c:pt idx="5">
                  <c:v>16.9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4</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87088</c:v>
                </c:pt>
                <c:pt idx="1">
                  <c:v>94424</c:v>
                </c:pt>
                <c:pt idx="2">
                  <c:v>92998</c:v>
                </c:pt>
                <c:pt idx="3">
                  <c:v>91354</c:v>
                </c:pt>
                <c:pt idx="4">
                  <c:v>89490</c:v>
                </c:pt>
                <c:pt idx="5">
                  <c:v>90385</c:v>
                </c:pt>
                <c:pt idx="6">
                  <c:v>88577</c:v>
                </c:pt>
                <c:pt idx="7">
                  <c:v>88400</c:v>
                </c:pt>
                <c:pt idx="8">
                  <c:v>90168</c:v>
                </c:pt>
                <c:pt idx="9">
                  <c:v>91971</c:v>
                </c:pt>
                <c:pt idx="10">
                  <c:v>93627</c:v>
                </c:pt>
                <c:pt idx="11">
                  <c:v>95031</c:v>
                </c:pt>
                <c:pt idx="12">
                  <c:v>96172</c:v>
                </c:pt>
                <c:pt idx="13">
                  <c:v>97037</c:v>
                </c:pt>
                <c:pt idx="14">
                  <c:v>97619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17498</c:v>
                </c:pt>
                <c:pt idx="1">
                  <c:v>18672</c:v>
                </c:pt>
                <c:pt idx="2">
                  <c:v>18389</c:v>
                </c:pt>
                <c:pt idx="3">
                  <c:v>18948</c:v>
                </c:pt>
                <c:pt idx="4">
                  <c:v>17070</c:v>
                </c:pt>
                <c:pt idx="5">
                  <c:v>16992</c:v>
                </c:pt>
                <c:pt idx="6">
                  <c:v>17450</c:v>
                </c:pt>
                <c:pt idx="7">
                  <c:v>17857</c:v>
                </c:pt>
                <c:pt idx="8">
                  <c:v>18484</c:v>
                </c:pt>
                <c:pt idx="9">
                  <c:v>18854</c:v>
                </c:pt>
                <c:pt idx="10">
                  <c:v>19194</c:v>
                </c:pt>
                <c:pt idx="11">
                  <c:v>19481</c:v>
                </c:pt>
                <c:pt idx="12">
                  <c:v>19715</c:v>
                </c:pt>
                <c:pt idx="13">
                  <c:v>19893</c:v>
                </c:pt>
                <c:pt idx="14">
                  <c:v>20012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47.8</c:v>
                </c:pt>
                <c:pt idx="1">
                  <c:v>45.2</c:v>
                </c:pt>
                <c:pt idx="2">
                  <c:v>45.9</c:v>
                </c:pt>
                <c:pt idx="3">
                  <c:v>46.7</c:v>
                </c:pt>
                <c:pt idx="4">
                  <c:v>45.6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20.1</c:v>
                </c:pt>
                <c:pt idx="1">
                  <c:v>19.8</c:v>
                </c:pt>
                <c:pt idx="2">
                  <c:v>19.8</c:v>
                </c:pt>
                <c:pt idx="3">
                  <c:v>20.7</c:v>
                </c:pt>
                <c:pt idx="4">
                  <c:v>19.1</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16.1</c:v>
                </c:pt>
                <c:pt idx="1">
                  <c:v>16</c:v>
                </c:pt>
                <c:pt idx="2">
                  <c:v>16.1</c:v>
                </c:pt>
                <c:pt idx="3">
                  <c:v>16.8</c:v>
                </c:pt>
                <c:pt idx="4">
                  <c:v>15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19.4</c:v>
                </c:pt>
                <c:pt idx="1">
                  <c:v>9.8</c:v>
                </c:pt>
                <c:pt idx="2">
                  <c:v>12.1</c:v>
                </c:pt>
                <c:pt idx="3">
                  <c:v>11.9</c:v>
                </c:pt>
                <c:pt idx="4">
                  <c:v>10.1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Hoja1!$B$2:$B$8</c:f>
              <c:numCache>
                <c:formatCode>0.0"%"</c:formatCode>
                <c:ptCount val="7"/>
                <c:pt idx="0">
                  <c:v>2.3</c:v>
                </c:pt>
                <c:pt idx="2">
                  <c:v>-2.1</c:v>
                </c:pt>
                <c:pt idx="3">
                  <c:v>-2.4</c:v>
                </c:pt>
                <c:pt idx="4">
                  <c:v>-5.7</c:v>
                </c:pt>
                <c:pt idx="5">
                  <c:v>0.8</c:v>
                </c:pt>
                <c:pt idx="6">
                  <c:v>5.2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1T25</c:v>
                </c:pt>
                <c:pt idx="1">
                  <c:v>2T25</c:v>
                </c:pt>
                <c:pt idx="2">
                  <c:v>3T25</c:v>
                </c:pt>
                <c:pt idx="3">
                  <c:v>4T25</c:v>
                </c:pt>
                <c:pt idx="4">
                  <c:v>1T26</c:v>
                </c:pt>
                <c:pt idx="5">
                  <c:v>2T26</c:v>
                </c:pt>
                <c:pt idx="6">
                  <c:v>3T26</c:v>
                </c:pt>
              </c:strCache>
            </c:strRef>
          </c:cat>
          <c:val>
            <c:numRef>
              <c:f>Hoja1!$C$2:$C$8</c:f>
              <c:numCache>
                <c:formatCode>0.0"%"</c:formatCode>
                <c:ptCount val="7"/>
                <c:pt idx="0">
                  <c:v>2.8</c:v>
                </c:pt>
                <c:pt idx="2">
                  <c:v>4.3</c:v>
                </c:pt>
                <c:pt idx="3">
                  <c:v>4</c:v>
                </c:pt>
                <c:pt idx="4">
                  <c:v>3.5</c:v>
                </c:pt>
                <c:pt idx="5">
                  <c:v>3.7</c:v>
                </c:pt>
                <c:pt idx="6">
                  <c:v>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47</c:v>
                </c:pt>
                <c:pt idx="1">
                  <c:v>43</c:v>
                </c:pt>
                <c:pt idx="2">
                  <c:v>43</c:v>
                </c:pt>
                <c:pt idx="3">
                  <c:v>45</c:v>
                </c:pt>
                <c:pt idx="4">
                  <c:v>43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96</c:v>
                </c:pt>
                <c:pt idx="1">
                  <c:v>106</c:v>
                </c:pt>
                <c:pt idx="2">
                  <c:v>86</c:v>
                </c:pt>
                <c:pt idx="3">
                  <c:v>99</c:v>
                </c:pt>
                <c:pt idx="4">
                  <c:v>96</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168</c:v>
                </c:pt>
                <c:pt idx="1">
                  <c:v>145</c:v>
                </c:pt>
                <c:pt idx="2">
                  <c:v>139</c:v>
                </c:pt>
                <c:pt idx="3">
                  <c:v>164</c:v>
                </c:pt>
                <c:pt idx="4">
                  <c:v>150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7710</c:v>
                </c:pt>
                <c:pt idx="1">
                  <c:v>5741</c:v>
                </c:pt>
                <c:pt idx="2">
                  <c:v>8894</c:v>
                </c:pt>
                <c:pt idx="3">
                  <c:v>9754</c:v>
                </c:pt>
                <c:pt idx="4">
                  <c:v>8134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16905</c:v>
                </c:pt>
                <c:pt idx="1">
                  <c:v>9270</c:v>
                </c:pt>
                <c:pt idx="2">
                  <c:v>11209</c:v>
                </c:pt>
                <c:pt idx="3">
                  <c:v>10884</c:v>
                </c:pt>
                <c:pt idx="4">
                  <c:v>9033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14.4</c:v>
                </c:pt>
                <c:pt idx="1">
                  <c:v>13.3</c:v>
                </c:pt>
                <c:pt idx="2">
                  <c:v>14.1</c:v>
                </c:pt>
                <c:pt idx="3">
                  <c:v>13.3</c:v>
                </c:pt>
                <c:pt idx="4">
                  <c:v>11.8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4.5</c:v>
                </c:pt>
                <c:pt idx="1">
                  <c:v>4.5</c:v>
                </c:pt>
                <c:pt idx="2">
                  <c:v>4.5</c:v>
                </c:pt>
                <c:pt idx="3">
                  <c:v>4.5</c:v>
                </c:pt>
                <c:pt idx="4">
                  <c:v>4.5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31.8</c:v>
                </c:pt>
                <c:pt idx="1">
                  <c:v>19.5</c:v>
                </c:pt>
                <c:pt idx="2">
                  <c:v>28.8</c:v>
                </c:pt>
                <c:pt idx="3">
                  <c:v>30.4</c:v>
                </c:pt>
                <c:pt idx="4">
                  <c:v>26.3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1.86</c:v>
                </c:pt>
                <c:pt idx="1">
                  <c:v>2.55</c:v>
                </c:pt>
                <c:pt idx="2">
                  <c:v>2.69</c:v>
                </c:pt>
                <c:pt idx="3">
                  <c:v>2.94</c:v>
                </c:pt>
                <c:pt idx="4">
                  <c:v>3.02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c:v>
                </c:pt>
                <c:pt idx="2">
                  <c:v>2028-2030</c:v>
                </c:pt>
                <c:pt idx="3">
                  <c:v>2031+</c:v>
                </c:pt>
              </c:strCache>
            </c:strRef>
          </c:cat>
          <c:val>
            <c:numRef>
              <c:f>Hoja1!$B$2:$B$5</c:f>
              <c:numCache>
                <c:formatCode>#,##0</c:formatCode>
                <c:ptCount val="4"/>
                <c:pt idx="0">
                  <c:v>13357</c:v>
                </c:pt>
                <c:pt idx="1">
                  <c:v>6654</c:v>
                </c:pt>
                <c:pt idx="2">
                  <c:v>17587</c:v>
                </c:pt>
                <c:pt idx="3">
                  <c:v>32495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6394</c:v>
                </c:pt>
                <c:pt idx="1">
                  <c:v>1710</c:v>
                </c:pt>
                <c:pt idx="2">
                  <c:v>211</c:v>
                </c:pt>
                <c:pt idx="3">
                  <c:v>809</c:v>
                </c:pt>
                <c:pt idx="4">
                  <c:v>75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7681</c:v>
                </c:pt>
                <c:pt idx="1">
                  <c:v>7618</c:v>
                </c:pt>
                <c:pt idx="2">
                  <c:v>7829</c:v>
                </c:pt>
                <c:pt idx="3">
                  <c:v>7816</c:v>
                </c:pt>
                <c:pt idx="4">
                  <c:v>7849</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6548</c:v>
                </c:pt>
                <c:pt idx="1">
                  <c:v>10679</c:v>
                </c:pt>
                <c:pt idx="2">
                  <c:v>5234</c:v>
                </c:pt>
                <c:pt idx="3">
                  <c:v>4678</c:v>
                </c:pt>
                <c:pt idx="4">
                  <c:v>213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Independiente</c:v>
                </c:pt>
              </c:strCache>
            </c:strRef>
          </c:cat>
          <c:val>
            <c:numRef>
              <c:f>Hoja1!$B$2</c:f>
              <c:numCache>
                <c:formatCode>0</c:formatCode>
                <c:ptCount val="1"/>
                <c:pt idx="0">
                  <c:v>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Autocartera</c:v>
                </c:pt>
              </c:strCache>
            </c:strRef>
          </c:cat>
          <c:val>
            <c:numRef>
              <c:f>Hoja1!$B$2</c:f>
              <c:numCache>
                <c:formatCode>0.0"%"</c:formatCode>
                <c:ptCount val="1"/>
                <c:pt idx="0">
                  <c:v>0.2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c:v>
                </c:pt>
                <c:pt idx="1">
                  <c:v>18.3</c:v>
                </c:pt>
                <c:pt idx="2">
                  <c:v>-1.8</c:v>
                </c:pt>
                <c:pt idx="3">
                  <c:v>34.8</c:v>
                </c:pt>
                <c:pt idx="4">
                  <c:v>2.1</c:v>
                </c:pt>
                <c:pt idx="5">
                  <c:v>25.4</c:v>
                </c:pt>
                <c:pt idx="6">
                  <c:v>-14</c:v>
                </c:pt>
                <c:pt idx="7">
                  <c:v>-6.6</c:v>
                </c:pt>
                <c:pt idx="8">
                  <c:v>-20.7</c:v>
                </c:pt>
                <c:pt idx="9">
                  <c:v>8.9</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-3.9</c:v>
                </c:pt>
                <c:pt idx="1">
                  <c:v>17.3</c:v>
                </c:pt>
                <c:pt idx="2">
                  <c:v>-6.9</c:v>
                </c:pt>
                <c:pt idx="3">
                  <c:v>29.6</c:v>
                </c:pt>
                <c:pt idx="4">
                  <c:v>4.7</c:v>
                </c:pt>
                <c:pt idx="5">
                  <c:v>26</c:v>
                </c:pt>
                <c:pt idx="6">
                  <c:v>-13.6</c:v>
                </c:pt>
                <c:pt idx="7">
                  <c:v>7.2</c:v>
                </c:pt>
                <c:pt idx="8">
                  <c:v>9</c:v>
                </c:pt>
                <c:pt idx="9">
                  <c:v>19.9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22.2</c:v>
                </c:pt>
                <c:pt idx="1">
                  <c:v>18.1</c:v>
                </c:pt>
                <c:pt idx="2">
                  <c:v>16.8</c:v>
                </c:pt>
                <c:pt idx="3">
                  <c:v>13.2</c:v>
                </c:pt>
                <c:pt idx="4">
                  <c:v>14.9</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16.8</c:v>
                </c:pt>
                <c:pt idx="1">
                  <c:v>16.8</c:v>
                </c:pt>
                <c:pt idx="2">
                  <c:v>16.8</c:v>
                </c:pt>
                <c:pt idx="3">
                  <c:v>16.8</c:v>
                </c:pt>
                <c:pt idx="4">
                  <c:v>16.8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Nestlé</c:v>
                </c:pt>
                <c:pt idx="1">
                  <c:v>Unilever</c:v>
                </c:pt>
                <c:pt idx="2">
                  <c:v>PepsiCo</c:v>
                </c:pt>
                <c:pt idx="3">
                  <c:v>Hershey</c:v>
                </c:pt>
                <c:pt idx="4">
                  <c:v>Colgate-Palmolive</c:v>
                </c:pt>
                <c:pt idx="5">
                  <c:v>Lindt &amp; Sprüngli</c:v>
                </c:pt>
                <c:pt idx="6">
                  <c:v>Danone</c:v>
                </c:pt>
                <c:pt idx="7">
                  <c:v>Mondelez</c:v>
                </c:pt>
              </c:strCache>
            </c:strRef>
          </c:cat>
          <c:val>
            <c:numRef>
              <c:f>Hoja1!$B$2:$B$9</c:f>
              <c:numCache>
                <c:formatCode>0.0"x"</c:formatCode>
                <c:ptCount val="8"/>
                <c:pt idx="0">
                  <c:v>12.4</c:v>
                </c:pt>
                <c:pt idx="2">
                  <c:v>11.4</c:v>
                </c:pt>
                <c:pt idx="5">
                  <c:v>15.4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Nestlé</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3.5</c:v>
                </c:pt>
              </c:numCache>
            </c:numRef>
          </c:xVal>
          <c:yVal>
            <c:numRef>
              <c:f>Hoja1!$C$2</c:f>
              <c:numCache>
                <c:formatCode>0.0"x"</c:formatCode>
                <c:ptCount val="1"/>
                <c:pt idx="0">
                  <c:v>12.4</c:v>
                </c:pt>
              </c:numCache>
            </c:numRef>
          </c:yVal>
          <c:smooth val="0"/>
        </c:ser>
        <c:ser>
          <c:idx val="1"/>
          <c:order val="1"/>
          <c:tx>
            <c:strRef>
              <c:f>Hoja1!$A$3</c:f>
              <c:strCache>
                <c:ptCount val="1"/>
                <c:pt idx="0">
                  <c:v>PepsiCo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c:v>
                </c:pt>
              </c:numCache>
            </c:numRef>
          </c:xVal>
          <c:yVal>
            <c:numRef>
              <c:f>Hoja1!$C$3</c:f>
              <c:numCache>
                <c:formatCode>0.0"x"</c:formatCode>
                <c:ptCount val="1"/>
                <c:pt idx="0">
                  <c:v>11.4</c:v>
                </c:pt>
              </c:numCache>
            </c:numRef>
          </c:yVal>
          <c:smooth val="0"/>
        </c:ser>
        <c:ser>
          <c:idx val="2"/>
          <c:order val="2"/>
          <c:tx>
            <c:strRef>
              <c:f>Hoja1!$A$4</c:f>
              <c:strCache>
                <c:ptCount val="1"/>
                <c:pt idx="0">
                  <c:v>Lindt &amp; Sprüngli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4.1</c:v>
                </c:pt>
              </c:numCache>
            </c:numRef>
          </c:xVal>
          <c:yVal>
            <c:numRef>
              <c:f>Hoja1!$C$4</c:f>
              <c:numCache>
                <c:formatCode>0.0"x"</c:formatCode>
                <c:ptCount val="1"/>
                <c:pt idx="0">
                  <c:v>15.4</c:v>
                </c:pt>
              </c:numCache>
            </c:numRef>
          </c:yVal>
          <c:smooth val="0"/>
        </c:ser>
        <c:axId val="10"/>
        <c:axId val="20"/>
      </c:scatterChart>
      <c:valAx>
        <c:axId val="10"/>
        <c:scaling>
          <c:orientation val="minMax"/>
          <c:max val="4.4"/>
          <c:min val="2.7"/>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0"/>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Aguas y bebidas premium de Nestlé (Peranel, 50 %)</c:v>
                </c:pt>
                <c:pt idx="1">
                  <c:v>Vitaminas de gran consumo de Nestlé</c:v>
                </c:pt>
                <c:pt idx="2">
                  <c:v>Kellanova (Pringles, Cheez-It)</c:v>
                </c:pt>
                <c:pt idx="3">
                  <c:v>JDE Peet's (café)</c:v>
                </c:pt>
                <c:pt idx="4">
                  <c:v>Hostess Brands</c:v>
                </c:pt>
                <c:pt idx="5">
                  <c:v>Sovos Brands</c:v>
                </c:pt>
                <c:pt idx="6">
                  <c:v>WK Kellogg Co</c:v>
                </c:pt>
              </c:strCache>
            </c:strRef>
          </c:cat>
          <c:val>
            <c:numRef>
              <c:f>Hoja1!$B$2:$B$8</c:f>
              <c:numCache>
                <c:formatCode>0.0"x"</c:formatCode>
                <c:ptCount val="7"/>
                <c:pt idx="0">
                  <c:v>9.4</c:v>
                </c:pt>
                <c:pt idx="2">
                  <c:v>16.4</c:v>
                </c:pt>
                <c:pt idx="3">
                  <c:v>12.9</c:v>
                </c:pt>
                <c:pt idx="4">
                  <c:v>17.2</c:v>
                </c:pt>
                <c:pt idx="5">
                  <c:v>19.8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8861</c:v>
                </c:pt>
                <c:pt idx="1">
                  <c:v>9446</c:v>
                </c:pt>
                <c:pt idx="2">
                  <c:v>9708</c:v>
                </c:pt>
                <c:pt idx="3">
                  <c:v>10038</c:v>
                </c:pt>
                <c:pt idx="4">
                  <c:v>10239</c:v>
                </c:pt>
                <c:pt idx="5">
                  <c:v>10430</c:v>
                </c:pt>
                <c:pt idx="6">
                  <c:v>10596</c:v>
                </c:pt>
                <c:pt idx="7">
                  <c:v>10734</c:v>
                </c:pt>
                <c:pt idx="8">
                  <c:v>10841</c:v>
                </c:pt>
                <c:pt idx="9">
                  <c:v>10917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77192</c:v>
                </c:pt>
                <c:pt idx="1">
                  <c:v>181387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83,70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76.81</c:v>
                </c:pt>
                <c:pt idx="1">
                  <c:v>97.23</c:v>
                </c:pt>
                <c:pt idx="2">
                  <c:v>106.89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83,70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(70,29 – 87,09)</c:v>
                </c:pt>
                <c:pt idx="1">
                  <c:v>Precio objetivo de los analistas (72,00 – 100,00)</c:v>
                </c:pt>
                <c:pt idx="2">
                  <c:v>Comparables: PER NTM (72,35 – 91,50)</c:v>
                </c:pt>
                <c:pt idx="3">
                  <c:v>Transacciones precedentes (EV/EBITDA) (79,89 – 107,61)</c:v>
                </c:pt>
                <c:pt idx="4">
                  <c:v>DCF (WACC y g ± 0,5) (79,90 – 125,86)</c:v>
                </c:pt>
                <c:pt idx="5">
                  <c:v>Escenarios (bajista – alcista) (76,81 – 106,89)</c:v>
                </c:pt>
                <c:pt idx="6">
                  <c:v>DCF con la prima implícita del mercado (4,2 %)</c:v>
                </c:pt>
                <c:pt idx="7">
                  <c:v>Precio actual (83,70)</c:v>
                </c:pt>
              </c:strCache>
            </c:strRef>
          </c:cat>
          <c:val>
            <c:numRef>
              <c:f>Hoja1!$B$2:$B$9</c:f>
              <c:numCache>
                <c:formatCode>#,##0</c:formatCode>
                <c:ptCount val="8"/>
                <c:pt idx="0">
                  <c:v>70.29</c:v>
                </c:pt>
                <c:pt idx="1">
                  <c:v>72</c:v>
                </c:pt>
                <c:pt idx="2">
                  <c:v>72.35</c:v>
                </c:pt>
                <c:pt idx="3">
                  <c:v>79.89</c:v>
                </c:pt>
                <c:pt idx="4">
                  <c:v>79.9</c:v>
                </c:pt>
                <c:pt idx="5">
                  <c:v>76.81</c:v>
                </c:pt>
                <c:pt idx="6">
                  <c:v>101.87</c:v>
                </c:pt>
                <c:pt idx="7">
                  <c:v>83.28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(70,29 – 87,09)</c:v>
                </c:pt>
                <c:pt idx="1">
                  <c:v>Precio objetivo de los analistas (72,00 – 100,00)</c:v>
                </c:pt>
                <c:pt idx="2">
                  <c:v>Comparables: PER NTM (72,35 – 91,50)</c:v>
                </c:pt>
                <c:pt idx="3">
                  <c:v>Transacciones precedentes (EV/EBITDA) (79,89 – 107,61)</c:v>
                </c:pt>
                <c:pt idx="4">
                  <c:v>DCF (WACC y g ± 0,5) (79,90 – 125,86)</c:v>
                </c:pt>
                <c:pt idx="5">
                  <c:v>Escenarios (bajista – alcista) (76,81 – 106,89)</c:v>
                </c:pt>
                <c:pt idx="6">
                  <c:v>DCF con la prima implícita del mercado (4,2 %)</c:v>
                </c:pt>
                <c:pt idx="7">
                  <c:v>Precio actual (83,70)</c:v>
                </c:pt>
              </c:strCache>
            </c:strRef>
          </c:cat>
          <c:val>
            <c:numRef>
              <c:f>Hoja1!$C$2:$C$9</c:f>
              <c:numCache>
                <c:formatCode>#,##0</c:formatCode>
                <c:ptCount val="8"/>
                <c:pt idx="0">
                  <c:v>16.799999999999997</c:v>
                </c:pt>
                <c:pt idx="1">
                  <c:v>28</c:v>
                </c:pt>
                <c:pt idx="2">
                  <c:v>19.150000000000006</c:v>
                </c:pt>
                <c:pt idx="3">
                  <c:v>27.72</c:v>
                </c:pt>
                <c:pt idx="4">
                  <c:v>45.959999999999994</c:v>
                </c:pt>
                <c:pt idx="5">
                  <c:v>30.08</c:v>
                </c:pt>
                <c:pt idx="6">
                  <c:v>36.97</c:v>
                </c:pt>
                <c:pt idx="7">
                  <c:v>0.8400000000000034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6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