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Saudi Azm for Communication and Information Technology Company</w:t>
      </w:r>
    </w:p>
    <w:p>
      <w:pPr>
        <w:spacing w:after="60"/>
        <w:rPr>
          <w:color w:val="52514E"/>
          <w:sz w:val="22"/>
          <w:szCs w:val="22"/>
        </w:rPr>
      </w:pPr>
      <w:r>
        <w:rPr>
          <w:color w:val="52514E"/>
          <w:sz w:val="22"/>
          <w:szCs w:val="22"/>
        </w:rPr>
        <w:t xml:space="preserve">7211.SR · Saudi Exchange (Tadawul), mercado principal · ISIN SA16BGF3GLH0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29,52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28,50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-3,4 % (base +2,3 %)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12,91 SAR · mercado 14,43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1.771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Azm for Communication and Information Technology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7211.SR / SA16BGF3GLH0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(medido con el ETF KSA)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Servicios informáticos y transformación digital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Riad · 2017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https://azm.com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29,52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20,16 – 32,40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1.771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1.650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SAR/día (≈ 200.000 acciones; 3 meses) ≈ 1,4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28,50 SAR</w:t>
      </w:r>
      <w:r>
        <w:t xml:space="preserve"> frente a 29,52 · Rentabilidad a 12 meses </w:t>
      </w:r>
      <w:r>
        <w:rPr>
          <w:b/>
          <w:bCs/>
        </w:rPr>
        <w:t xml:space="preserve">-3,4 % (base +2,3 %)</w:t>
      </w:r>
      <w:r>
        <w:t xml:space="preserve"> · Valor intrínseco 12,91 SAR · con la prima implícita del mercado: 14,43 (-51,1 %) · Alcista / bajista -40,5 % / -75,6 %</w:t>
      </w:r>
    </w:p>
    <w:p>
      <w:pPr>
        <w:spacing w:after="100"/>
      </w:pPr>
      <w:r>
        <w:rPr>
          <w:b/>
        </w:rPr>
        <w:t xml:space="preserve">La recomendación y por qué.</w:t>
      </w:r>
      <w:r>
        <w:t xml:space="preserve"> Mantener, con convicción media. A 12 meses, la regla común (v3) da -3,4 % ponderada y +2,3 % en el base (objetivo de 28,50 SAR frente a 29,52), lejos de los umbrales de compra (15 % y 12 %). El valor intrínseco es de 12,91 SAR (-56,3 %): el precio paga 26,8 veces nuestro BPA de doce meses (Elm, 16 veces el adelantado), por un integrador pequeño sin foso. Calidad: ROIC − WACC de 106,2 puntos (pasa), pero sostenibilidad «En parte» (no pasa): el ROIC es alto porque los clientes adelantan dinero y la mitad del trabajo la hacen subcontratistas vinculados, no por una ventaja duradera. Falla todo a la vez: rentabilidad a 12 meses, valor intrínseco y calidad; aunque el precio bajara al límite (12,91 SAR), seguiría fallando la calidad. La convicción es media porque el negocio crece de verdad (+21 % de ventas y +36 % de beneficio en FY2026) y la dirección guía +40 %; la subirían unos términos limpios de la compra de AZM FinTech (en dinero y a un múltiplo razonable) y un margen sostenido del 20 %; la bajarían un pago en acciones a los fundadores o retrasos de cobro públicos. Regla 13: retrasa hasta conocer los términos de AZM FinTech.</w:t>
      </w:r>
    </w:p>
    <w:p>
      <w:pPr>
        <w:spacing w:after="100"/>
      </w:pPr>
      <w:r>
        <w:rPr>
          <w:b/>
        </w:rPr>
        <w:t xml:space="preserve">El negocio.</w:t>
      </w:r>
      <w:r>
        <w:t xml:space="preserve"> Saudi Azm desarrolla y opera plataformas digitales para ministerios, entidades semipúblicas (75 % de las ventas) y empresas en Arabia Saudí, con consultoría, reventa de software y algunas plataformas propias (Wasl) [5, 11]. Margen EBITDA del 17 % y ROIC del 118,9 %, con poco capital propio.</w:t>
      </w:r>
    </w:p>
    <w:p>
      <w:pPr>
        <w:spacing w:after="100"/>
      </w:pPr>
      <w:r>
        <w:rPr>
          <w:b/>
        </w:rPr>
        <w:t xml:space="preserve">Sector y ciclo.</w:t>
      </w:r>
      <w:r>
        <w:t xml:space="preserve"> Mercado de servicios informáticos saudí de ≈ 45.000 M SAR que crece ≈ 7 % al año (IMARC), empujado por la Visión 2030; fragmentado, con grandes estatales (Elm, solutions by stc) que se quedan los grandes contratos [13, 14]. Riesgo estructural: la IA generativa abarata el desarrollo y la consultoría (exposición alta, amenaza).</w:t>
      </w:r>
    </w:p>
    <w:p>
      <w:pPr>
        <w:spacing w:after="100"/>
      </w:pPr>
      <w:r>
        <w:rPr>
          <w:b/>
        </w:rPr>
        <w:t xml:space="preserve">Finanzas.</w:t>
      </w:r>
      <w:r>
        <w:t xml:space="preserve"> Ventas de 152,6 M SAR en FY2022 a 307,4 M en FY2026 (+19 % anual); beneficio de 19,1 M a 51,0 M [4, 8]. Caja neta de ≈ 120 M; flujo operativo muy irregular por los cobros públicos (1,6 M en FY2024, 108,9 M en FY2025); sin dividendos y con recompras para empleados [1, 2, 10].</w:t>
      </w:r>
    </w:p>
    <w:p>
      <w:pPr>
        <w:spacing w:after="100"/>
      </w:pPr>
      <w:r>
        <w:rPr>
          <w:b/>
        </w:rPr>
        <w:t xml:space="preserve">Equipo y gobierno.</w:t>
      </w:r>
      <w:r>
        <w:t xml:space="preserve"> Dos fundadores con ≈ 41 % dirigen desde 2017 y son dueños de los subcontratistas que ejecutan ≈ 50 % de las ventas (AZM FinTech, Azm Digital); la empresa negocia comprarles AZM FinTech sin precio fijado y la junta del 5-nov vota 191,6 M de contratos marco con sus empresas [5, 19, 20].</w:t>
      </w:r>
    </w:p>
    <w:p>
      <w:pPr>
        <w:spacing w:after="100"/>
      </w:pPr>
      <w:r>
        <w:rPr>
          <w:b/>
        </w:rPr>
        <w:t xml:space="preserve">Valoración.</w:t>
      </w:r>
      <w:r>
        <w:t xml:space="preserve"> DCF de 13,08 SAR con WACC del 12,70 %; cotiza a 31,2 veces el EBITDA de FY2026, frente a 11-17 de las grandes saudíes. Un analista (GIB, sobreponderar) [30]. Tamaño (≈ 470 M USD) y liquidez (≈ 1,4 M USD al día) bastan para una posición pequeña desde IBKR, con orden limitada [23, 31].</w:t>
      </w:r>
    </w:p>
    <w:p>
      <w:pPr>
        <w:spacing w:after="100"/>
      </w:pPr>
      <w:r>
        <w:rPr>
          <w:b/>
        </w:rPr>
        <w:t xml:space="preserve">Riesgos y catalizadores.</w:t>
      </w:r>
      <w:r>
        <w:t xml:space="preserve"> Dominantes: IA, gasto público y vinculadas. Bajista de 7,21 SAR. Catalizadores: junta del 5-nov (recompra y contratos), 1T FY2027 (≈ nov-2026), términos de AZM FinTech y arranque de Wasl.</w:t>
      </w:r>
    </w:p>
    <w:p>
      <w:pPr>
        <w:spacing w:after="100"/>
      </w:pPr>
      <w:r>
        <w:rPr>
          <w:b/>
        </w:rPr>
        <w:t xml:space="preserve">Qué cambiaría la decisión.</w:t>
      </w:r>
      <w:r>
        <w:t xml:space="preserve"> Compraríamos por debajo de 12,91 SAR solo si además se aclarara el gobierno (compra de AZM FinTech en términos limpios y menos subcontratación vinculada); venderíamos por encima de 31,67 SAR.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28,50 SAR</w:t>
      </w:r>
      <w:r>
        <w:t xml:space="preserve"> (rentabilidad -3,4 % (base +2,3 %)) · Valor intrínseco: 12,91 SAR (-56,3 % sobre 29,52) · con la prima implícita del mercado: 14,43 (-51,1 %)</w:t>
      </w:r>
    </w:p>
    <w:p>
      <w:pPr>
        <w:spacing w:after="100"/>
      </w:pPr>
      <w:r>
        <w:t xml:space="preserve">Saudi Azm es un integrador informático saudí pequeño que crece rápido (+19 % anual en cuatro años) con contratos de la Administración y casi sin capital, porque los clientes adelantan dinero y la mitad del trabajo lo subcontrata a empresas de sus fundadores [5, 8].</w:t>
      </w:r>
    </w:p>
    <w:p>
      <w:pPr>
        <w:spacing w:after="100"/>
      </w:pPr>
      <w:r>
        <w:t xml:space="preserve">El precio (29,52 SAR, 1771 M de capitalización) paga 26,8 veces el beneficio de doce meses: descuenta años de crecimiento alto sin foso que lo proteja, con un 75 % de ventas públicas, la IA abaratando lo que vende y un gobierno con conflictos de interés. Valor intrínseco de 12,91 SAR y -3,4 % a 12 meses: no es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0,85 = 17,17 · 25,6x × 1,18 = 30,21 · 26,2x × 1,39 = 36,42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 / -75,6 %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12,7 % y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(14,2 % anual proyectado; financiable al ROIC actual: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12,91 y 31,67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31,67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12,91 SAR: la regla a 12 meses daría compra, pero seguiría fallando la calidad.</w:t>
      </w:r>
    </w:p>
    <w:p>
      <w:pPr>
        <w:pStyle w:val="ListParagraph"/>
        <w:numPr>
          <w:ilvl w:val="0"/>
          <w:numId w:val="2"/>
        </w:numPr>
        <w:spacing w:after="60"/>
      </w:pPr>
      <w:r>
        <w:t xml:space="preserve">Precio por encima de 31,67 SAR: Vender.</w:t>
      </w:r>
    </w:p>
    <w:p>
      <w:pPr>
        <w:pStyle w:val="ListParagraph"/>
        <w:numPr>
          <w:ilvl w:val="0"/>
          <w:numId w:val="2"/>
        </w:numPr>
        <w:spacing w:after="60"/>
      </w:pPr>
      <w:r>
        <w:t xml:space="preserve">Compra de AZM FinTech en dinero a un múltiplo razonable y menos subcontratación vinculada: revisaríamos la sostenibilidad.</w:t>
      </w:r>
    </w:p>
    <w:p>
      <w:pPr>
        <w:pStyle w:val="ListParagraph"/>
        <w:numPr>
          <w:ilvl w:val="0"/>
          <w:numId w:val="2"/>
        </w:numPr>
        <w:spacing w:after="60"/>
      </w:pPr>
      <w:r>
        <w:t xml:space="preserve">Pago a los fundadores con acciones nuevas o retrasos de cobro públicos: bajaríamos el base.</w:t>
      </w:r>
    </w:p>
    <w:p>
      <w:pPr>
        <w:pStyle w:val="ListParagraph"/>
        <w:numPr>
          <w:ilvl w:val="0"/>
          <w:numId w:val="2"/>
        </w:numPr>
        <w:spacing w:after="60"/>
      </w:pPr>
      <w:r>
        <w:t xml:space="preserve">Resultados del 1T FY2027 por encima de 20 M con margen bruto &gt; 33 %: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Azm sigue creciendo al 20-40 % muchos años (la guía de +40 % de beneficio, la alianza con Elm, Wasl) y que merece un múltiplo de plataforma.</w:t>
      </w:r>
    </w:p>
    <w:p>
      <w:pPr>
        <w:keepNext/>
        <w:spacing w:after="100"/>
      </w:pPr>
      <w:r>
        <w:rPr>
          <w:b/>
          <w:bCs/>
        </w:rPr>
        <w:t xml:space="preserve">Lo que creemos nosotros.</w:t>
      </w:r>
    </w:p>
    <w:p>
      <w:pPr>
        <w:spacing w:after="100"/>
      </w:pPr>
      <w:r>
        <w:t xml:space="preserve">Un integrador de proyectos públicos sin foso, con crecimiento real pero no protegido, márgenes expuestos a la IA y a la relicitación, y un reparto de valor con los fundadores aún por aclarar.</w:t>
      </w:r>
    </w:p>
    <w:p>
      <w:pPr>
        <w:keepNext/>
        <w:spacing w:after="100"/>
      </w:pPr>
      <w:r>
        <w:rPr>
          <w:b/>
          <w:bCs/>
        </w:rPr>
        <w:t xml:space="preserve">Por qué podemos tener razón.</w:t>
      </w:r>
    </w:p>
    <w:p>
      <w:pPr>
        <w:spacing w:after="100"/>
      </w:pPr>
      <w:r>
        <w:t xml:space="preserve">La mitad de las ventas la ejecutan vinculadas, los intangibles capitalizados saltaron ×5 en un año y las grandes saudíes, más rentables y con más foso, cotizan a la mitad [5, 10, 24].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w:t>
      </w:r>
      <w:r>
        <w:t xml:space="preserve">: ventas +21 % y beneficio +36 % en FY2026; 4T +36 % [8, 9].</w:t>
      </w:r>
    </w:p>
    <w:p>
      <w:pPr>
        <w:pStyle w:val="ListParagraph"/>
        <w:numPr>
          <w:ilvl w:val="0"/>
          <w:numId w:val="2"/>
        </w:numPr>
        <w:spacing w:after="60"/>
      </w:pPr>
      <w:r>
        <w:rPr>
          <w:b/>
        </w:rPr>
        <w:t xml:space="preserve">Rentabilidad</w:t>
      </w:r>
      <w:r>
        <w:t xml:space="preserve">: ROIC del 118,9 % y caja neta de ≈ 120 M [10].</w:t>
      </w:r>
    </w:p>
    <w:p>
      <w:pPr>
        <w:pStyle w:val="ListParagraph"/>
        <w:numPr>
          <w:ilvl w:val="0"/>
          <w:numId w:val="2"/>
        </w:numPr>
        <w:spacing w:after="60"/>
      </w:pPr>
      <w:r>
        <w:rPr>
          <w:b/>
        </w:rPr>
        <w:t xml:space="preserve">Cartera</w:t>
      </w:r>
      <w:r>
        <w:t xml:space="preserve">: más de 300 M y guía de +40 % de beneficio en FY2027 [21].</w:t>
      </w:r>
    </w:p>
    <w:p>
      <w:pPr>
        <w:pStyle w:val="ListParagraph"/>
        <w:numPr>
          <w:ilvl w:val="0"/>
          <w:numId w:val="2"/>
        </w:numPr>
        <w:spacing w:after="60"/>
      </w:pPr>
      <w:r>
        <w:rPr>
          <w:b/>
        </w:rPr>
        <w:t xml:space="preserve">Opciones</w:t>
      </w:r>
      <w:r>
        <w:t xml:space="preserve">: Wasl con licencia de SAMA y alianza con Elm [15, 17].</w:t>
      </w:r>
    </w:p>
    <w:p>
      <w:pPr>
        <w:pStyle w:val="ListParagraph"/>
        <w:numPr>
          <w:ilvl w:val="0"/>
          <w:numId w:val="2"/>
        </w:numPr>
        <w:spacing w:after="60"/>
      </w:pPr>
      <w:r>
        <w:rPr>
          <w:b/>
        </w:rPr>
        <w:t xml:space="preserve">Momento del mercado</w:t>
      </w:r>
      <w:r>
        <w:t xml:space="preserve">: +16 % en un año con el índice saudí −11 % [22].</w:t>
      </w:r>
    </w:p>
    <w:p>
      <w:pPr>
        <w:pStyle w:val="Heading2"/>
      </w:pPr>
      <w:r>
        <w:t xml:space="preserve">En contra</w:t>
      </w:r>
    </w:p>
    <w:p>
      <w:pPr>
        <w:pStyle w:val="ListParagraph"/>
        <w:numPr>
          <w:ilvl w:val="0"/>
          <w:numId w:val="2"/>
        </w:numPr>
        <w:spacing w:after="60"/>
      </w:pPr>
      <w:r>
        <w:rPr>
          <w:b/>
        </w:rPr>
        <w:t xml:space="preserve">Precio</w:t>
      </w:r>
      <w:r>
        <w:t xml:space="preserve">: 26,8 veces el BPA de doce meses; DCF de 13,08 SAR.</w:t>
      </w:r>
    </w:p>
    <w:p>
      <w:pPr>
        <w:pStyle w:val="ListParagraph"/>
        <w:numPr>
          <w:ilvl w:val="0"/>
          <w:numId w:val="2"/>
        </w:numPr>
        <w:spacing w:after="60"/>
      </w:pPr>
      <w:r>
        <w:rPr>
          <w:b/>
        </w:rPr>
        <w:t xml:space="preserve">Vinculadas</w:t>
      </w:r>
      <w:r>
        <w:t xml:space="preserve">: ≈ 50 % de las ventas subcontratadas a empresas de los fundadores; compra de AZM FinTech sin precio [5, 19].</w:t>
      </w:r>
    </w:p>
    <w:p>
      <w:pPr>
        <w:pStyle w:val="ListParagraph"/>
        <w:numPr>
          <w:ilvl w:val="0"/>
          <w:numId w:val="2"/>
        </w:numPr>
        <w:spacing w:after="60"/>
      </w:pPr>
      <w:r>
        <w:rPr>
          <w:b/>
        </w:rPr>
        <w:t xml:space="preserve">IA</w:t>
      </w:r>
      <w:r>
        <w:t xml:space="preserve">: abarata el desarrollo y la consultoría (≈ 75 % de las ventas).</w:t>
      </w:r>
    </w:p>
    <w:p>
      <w:pPr>
        <w:pStyle w:val="ListParagraph"/>
        <w:numPr>
          <w:ilvl w:val="0"/>
          <w:numId w:val="2"/>
        </w:numPr>
        <w:spacing w:after="60"/>
      </w:pPr>
      <w:r>
        <w:rPr>
          <w:b/>
        </w:rPr>
        <w:t xml:space="preserve">Gasto público</w:t>
      </w:r>
      <w:r>
        <w:t xml:space="preserve">: 75 % de las ventas; cobros por hitos [2, 5].</w:t>
      </w:r>
    </w:p>
    <w:p>
      <w:pPr>
        <w:pStyle w:val="ListParagraph"/>
        <w:numPr>
          <w:ilvl w:val="0"/>
          <w:numId w:val="2"/>
        </w:numPr>
        <w:spacing w:after="60"/>
      </w:pPr>
      <w:r>
        <w:rPr>
          <w:b/>
        </w:rPr>
        <w:t xml:space="preserve">Calidad del beneficio</w:t>
      </w:r>
      <w:r>
        <w:t xml:space="preserve">: 29,1 M de desarrollo capitalizado y 16,6 M de pagos en acciones [9, 10].</w:t>
      </w:r>
    </w:p>
    <w:p>
      <w:pPr>
        <w:pStyle w:val="Heading2"/>
      </w:pPr>
      <w:r>
        <w:t xml:space="preserve">Qué tiene que pasar para que la tesis funcione</w:t>
      </w:r>
    </w:p>
    <w:p>
      <w:pPr>
        <w:spacing w:after="100"/>
      </w:pPr>
      <w:r>
        <w:t xml:space="preserve">La tesis depende de cuánto valor se queda el accionista frente a los fundadores y de si el margen aguanta la IA. Las señales: los términos de la compra de AZM FinTech, el peso de las compras a vinculadas en cada intermedio, el margen bruto (32 % en FY2026), los activos de contrato frente a las ventas y la capitalización de desarrollo.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vinculadas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52 %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que sale a los fundadores.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la Administración /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del gasto público.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 y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de contrato + clientes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públicos.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Intangibles capitalizados en 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Saudi Azm nació en Riad el 29-nov-2017 como empresa de servicios y soluciones digitales para la Administración y grandes empresas, de la mano de sus dos fundadores, Majed Al-Osaimi (presidente) y Ali Al-Ballaa (consejero delegado), que conservan ≈ 20 % cada uno [11]. Creció con contratos de digitalización de ministerios y entidades semipúblicas al calor de la Visión 2030 [11]. Salió a bolsa en el mercado paralelo Nomu el 1-mar-2022 y pasó al mercado principal (TASI) a mediados de 2025 [11]. Tiene una filial de desarrollo en Egipto, una participada de experiencia de usuario (Tajribat Azm, 75 %) y Wasl, plataforma de intermediación digital de financiación que obtuvo licencia del banco central en ago-2026 [11,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Riad (29-nov-2017)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Nomu (1-mar-2022)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10 por 1 (60 M acciones de 0,5 SAR) y primeras recompras para el plan de empleados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de Tadawul; ventas de 253 M y beneficio de 37 M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307 M (+21 %); contrato del Ministerio de Recursos Humanos; licencia de Wasl; alianza con Elm; memorando para comprar AZM FinTech, de los fundadores [8, 15, 16, 17,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Saudi Azm hace proyectos informáticos para la Administración saudí y grandes empresas: diseña, desarrolla y opera plataformas digitales (portales de servicios, sistemas de gestión, aplicaciones), da consultoría de transformación digital, implanta software de terceros y vende algunas plataformas propias [5, 11]. El 75 % de las ventas de 9M FY2026 fue a ministerios y entidades semipúblicas y el 100 % en Arabia Saudí [5]. Más de 500 empleados, con un centro de desarrollo en Egipto [11].</w:t>
      </w:r>
    </w:p>
    <w:p>
      <w:pPr>
        <w:pStyle w:val="Heading2"/>
      </w:pPr>
      <w:r>
        <w:t xml:space="preserve">Cómo gana dinero</w:t>
      </w:r>
    </w:p>
    <w:p>
      <w:pPr>
        <w:spacing w:after="100"/>
      </w:pPr>
      <w:r>
        <w:t xml:space="preserve">Cobra por proyecto (hitos y avance, todo reconocido a lo largo del tiempo) y por operación y soporte de las plataformas [5]. El margen bruto es del 32 % (FY2026) y el EBITDA del 17 % [9]. Una parte grande del trabajo la subcontrata: AZM FinTech y Azm Digital, empresas de los mismos fundadores, facturaron al grupo ≈ 116 M en FY2025 y en 9M FY2026, el 46-52 % de las ventas, y la nota dice que en su mayor parte se compensa con ingresos como actividad de agencia [1, 5]. El modelo es, por tanto, de integrador que gana el contrato y reparte la ejecución, con poco capital propio en el proyecto [1].</w:t>
      </w:r>
    </w:p>
    <w:p>
      <w:pPr>
        <w:pStyle w:val="Heading2"/>
      </w:pPr>
      <w:r>
        <w:t xml:space="preserve">Segmentos (9M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empresas y Administración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propia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Plataformas de terceros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9M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9M 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empresas y Administración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propia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Plataformas de terceros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Ministerios, entidades públicas y semipúblicas (75 %) y empresas privadas (25 %) [5]. El mayor cliente pesó el 10,2 % en 9M FY2026 (en FY2024, dos clientes sumaban el 27 %) [2, 5]. Los contratos se adjudican por concurso o asignación directa; la cartera supera los 300 M SAR según la dirección (sep-2026), ≈ 1 año de ventas [21]. Poder de precios limitado: la Administración licita y compara.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Administración y semipúblicas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 M (63 %,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 M (75,5 %,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190,6 M (75,3 %) en FY2025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 cliente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y 10 % (dos clientes,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concentrado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 en FY2025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Subcontratación a empresas hermanas (AZM FinTech + Azm Digital)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M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 M (9M FY2026, ≈ 52 %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116,4 M en FY2025 (46 %)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 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 M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 de las ventas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Intangibles (plataformas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de desarrollo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Servicios informáticos en Arabia Saudí (desarrollo, integración, consultoría, operación y externalización), según IMARC. Azm compite en la parte de proyectos digitales para la Administración, que crece con la Visión 2030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12.091,5 M USD (≈ 45.370 M SAR) en 2025, con +6,91 % anual previsto en 2026-2034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2030 y digitalización de la Administración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ventas de Azm es público o semipúblico; contrato del Ministerio de Recursos Humanos en jul-2026 [5,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y precio del petróleo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cobros públicos mueven el circulante: activos de contrato de 82,7 M en FY2024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programación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Abaratan el desarrollo a medida y la consultoría, que son el grueso de lo que vende Azm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Saudización de la plantilla técnica y localización del gasto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Favorece a proveedores locales; encarece la plantilla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Alianzas con grandes estatales (Elm, stc)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 de 5 años con Elm con reparto de ingresos (sep-2026)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integradores locales y extranjeros; las grandes estatales (solutions by stc, Elm) tienen escala 50-80 veces mayor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licita, paga por hitos y concentra el 75 % de las ventas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técnico escaso y caro (saudización); subcontratistas vinculados que ejecutan la mitad del trabajo [1,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desarrollo a medida; más altas en homologaciones y referencias con ministerios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Plataformas en la nube, software estándar y herramientas de IA que reducen las horas de desarrollo [13]</w:t>
            </w:r>
          </w:p>
        </w:tc>
      </w:tr>
    </w:tbl>
    <w:p>
      <w:pPr>
        <w:spacing w:after="160" w:before="0"/>
      </w:pPr>
    </w:p>
    <w:p>
      <w:pPr>
        <w:pStyle w:val="Heading2"/>
      </w:pPr>
      <w:r>
        <w:t xml:space="preserve">Ciclo</w:t>
      </w:r>
    </w:p>
    <w:p>
      <w:pPr>
        <w:spacing w:after="100"/>
      </w:pPr>
      <w:r>
        <w:t xml:space="preserve">El gasto en digitalización pública sigue fuerte (IMARC espera +6,9 % anual) y Azm creció +21 % en FY2026 con un 4T de +36 % [9, 13]. El riesgo de ciclo es fiscal: con el petróleo bajo, la Administración retrasa pagos y adjudicaciones; en FY2024 el flujo operativo cayó a 1,6 M porque los activos de contrato se triplicaron [2]. El índice saudí (ETF KSA) cae un 11 % en un año [22].</w:t>
      </w:r>
    </w:p>
    <w:p>
      <w:pPr>
        <w:pStyle w:val="Heading2"/>
      </w:pPr>
      <w:r>
        <w:t xml:space="preserve">Regulación</w:t>
      </w:r>
    </w:p>
    <w:p>
      <w:pPr>
        <w:spacing w:after="100"/>
      </w:pPr>
      <w:r>
        <w:t xml:space="preserve">La contratación pública se rige por la ley de compras del Estado (concursos, preferencia local y contenido local). Wasl necesita licencia del banco central (SAMA) para intermediar financiación, obtenida el 6-ago-2026 [17]. Las normas de protección de datos (PDPL) y de ciberseguridad (NCA) exigen alojar datos en el país, lo que favorece a proveedores locales [11].</w:t>
      </w:r>
    </w:p>
    <w:p>
      <w:pPr>
        <w:pStyle w:val="Heading2"/>
      </w:pPr>
      <w:r>
        <w:t xml:space="preserve">Tendencias y disrupción</w:t>
      </w:r>
    </w:p>
    <w:p>
      <w:pPr>
        <w:spacing w:after="100"/>
      </w:pPr>
      <w:r>
        <w:t xml:space="preserve">Tres cambios: la IA generativa (agentes que programan y prueban) reduce las horas que se facturan por proyecto; la Administración centraliza en grandes estatales (Elm, solutions by stc) que subcontratan a especialistas como Azm (alianza con Elm de sep-2026); y crecen los modelos de reparto de ingresos y de plataforma en lugar de proyectos a precio cerrado [13,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Integrador pequeño: ≈ 0,7 % del mercado saudí de servicios informáticos de IMARC (307 M SAR de 45.370 M) [8,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Arabian Internet and Communications Services (solutions by stc)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7202.SR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integrador saudí, filial de stc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7203.SR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gobierno (PIF); socio de Azm desde sep-2026 [14,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(MIS)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de infraestructura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contacto y soluciones digitales para la Administración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Edarat Communication and Information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9557.SR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en Nomu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a medida sin red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Operar y mantener plataformas ya hechas para un ministerio crea cierta continuidad; los contratos se vuelven a licitar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con ministerios; licencia de Wasl (SAMA)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desarrollo en Egipto; subcontratación flexible [B3,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fragmentado; competidores 50-80 veces mayores [B2]</w:t>
            </w:r>
          </w:p>
        </w:tc>
      </w:tr>
    </w:tbl>
    <w:p>
      <w:pPr>
        <w:spacing w:after="160" w:before="0"/>
      </w:pPr>
    </w:p>
    <w:p>
      <w:pPr>
        <w:pStyle w:val="Heading2"/>
      </w:pPr>
      <w:r>
        <w:t xml:space="preserve">Amenazas</w:t>
      </w:r>
    </w:p>
    <w:p>
      <w:pPr>
        <w:spacing w:after="100"/>
      </w:pPr>
      <w:r>
        <w:t xml:space="preserve">La mayor es tecnológica: la IA generativa abarata el desarrollo a medida y la consultoría, que son ≈ 60 % de las ventas, y la Administración puede pedir más por menos al renovar [5]. Después, que las grandes estatales (Elm, solutions by stc) se queden los contratos y den a Azm solo la parte subcontratada, con menos margen [15]. Probabilidad media-alta.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spacing w:after="100"/>
      </w:pPr>
      <w:r>
        <w:t xml:space="preserve">Crecimiento anual compuesto FY2022-FY2026: ingresos </w:t>
      </w:r>
      <w:r>
        <w:rPr>
          <w:b/>
          <w:bCs/>
        </w:rPr>
        <w:t xml:space="preserve">19,1 %</w:t>
      </w:r>
      <w:r>
        <w:t xml:space="preserve">, EBITDA </w:t>
      </w:r>
      <w:r>
        <w:rPr>
          <w:b/>
          <w:bCs/>
        </w:rPr>
        <w:t xml:space="preserve">35,9 %</w:t>
      </w:r>
      <w:r>
        <w:t xml:space="preserve">, BPA </w:t>
      </w:r>
      <w:r>
        <w:rPr>
          <w:b/>
          <w:bCs/>
        </w:rPr>
        <w:t xml:space="preserve">27,7 %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135,1 M SAR en FY2021 a 307,4 M en FY2026 (ejercicio a 30-jun-2026): +18 % anual, todo orgánico y todo en Arabia Saudí [4, 8]. El salto de FY2026 (+21 %) vino de las plataformas de terceros (41,6 M en 9M frente a 31,1 M en todo FY2025) y de los servicios a empresas; la tecnología propia bajó (50,2 M en FY2025 y 39,7 M en 9M) [1, 5]. El 4T de FY2026 (abr-jun) facturó 87,0 M (+36 %) [9]. El margen EBITDA subió del 10,2 % de FY2022 al 17,2 % de FY2026, aunque desde FY2025 el EBIT lleva cargados 14-17 M al año de pagos en acciones a empleados [1, 9]. El beneficio neto pasó de 19,1 M a 51,0 M; en FY2023-FY2025 un 20-25 % del BAI venía de fuera del negocio (asociadas, fondos, sukuk y una plusvalía de 5,3 M en FY2023) [1, 3].</w:t>
      </w:r>
    </w:p>
    <w:p>
      <w:pPr>
        <w:pStyle w:val="Heading2"/>
      </w:pPr>
      <w:r>
        <w:t xml:space="preserve">Ajustes y partidas no recurrentes</w:t>
      </w:r>
    </w:p>
    <w:p>
      <w:pPr>
        <w:spacing w:after="100"/>
      </w:pPr>
      <w:r>
        <w:t xml:space="preserve">Cifras publicadas, sin ajustes. FY2026: cuenta del anuncio a Tadawul y de Yahoo (las cuentas auditadas no están aún en la web); el desglose de gastos y de otros ingresos de FY2026 no está publicado [8, 9]. Partidas que se repiten y no se quitan: pagos en acciones (14,0 M en FY2025, 16,6 M en FY2026), pérdidas esperadas de crédito (1,6 M en FY2025) y deterioro de intangibles (1,1 M en FY2025) [1, 9]. FY2023 incluye 5,3 M de plusvalía por la venta de una asociada en otros ingresos [3]. FY2021 solo tiene cifras básicas (ventas 135,1 M) y no entra en la serie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el activo total crece un 48 % y los ingresos un 12 %; FY2025: el activo total crece un 43 % y los ingresos un 16 %).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empresa de proyectos con caja neta: 146,8 M de efectivo, fondos y sukuk frente a 28 M de deuda y arrendamientos a jun-2026 [10]. El punto delicado son los cobros: clientes más activos de contrato (obra hecha sin facturar) pasaron de 24,6 M en FY2022 a 117,1 M en FY2024 (54 % de las ventas) y 134,4 M en FY2026 (44 %), porque el 75 % de las ventas es a la Administración y entidades semipúblicas, que pagan por hitos [2, 5, 10]. Lo compensan los anticipos de clientes (pasivos de contrato: 87,6 M en FY2025, 68,3 M en FY2026) y lo que se debe a subcontratistas [1, 10]. Los intangibles saltaron de 7,8 M a 37,3 M en FY2026 por plataformas propias en desarrollo (17,2 M en 9M, aún sin amortizar) [5, 10].</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147</w:t>
      </w:r>
      <w:r>
        <w:t xml:space="preserve">, conversión </w:t>
      </w:r>
      <w:r>
        <w:rPr>
          <w:b/>
          <w:bCs/>
        </w:rPr>
        <w:t xml:space="preserve">93 %</w:t>
      </w:r>
      <w:r>
        <w:t xml:space="preserve"> del beneficio neto; adquisiciones 6, dividendos 0, recompras 53.</w:t>
      </w:r>
    </w:p>
    <w:p>
      <w:pPr>
        <w:spacing w:after="100"/>
      </w:pPr>
      <w:r>
        <w:t xml:space="preserve">El flujo operativo salta con los cobros públicos: 1,6 M en FY2024 (los activos de contrato subieron 62 M), 108,9 M en FY2025 (anticipos de clientes +54 M) y 41,3 M en FY2026 [1, 2, 10]. En cinco años suma 218 M frente a 159 M de beneficio: convierte bien, pero año a año es muy irregular [1, 2, 3, 4, 10]. El capex se disparó en FY2026 (31,4 M, de ellos 29,1 M en intangibles: plataformas propias capitalizadas) [5, 10]. Nunca ha pagado dividendos: el dinero va a fondos y sukuk (≈ 129 M) y a comprar acciones propias para el plan de empleados (11,1 M en FY2023, 12,0 M en FY2024, 29,8 M en FY2026) [1, 10]. En FY2025 compró minoritarios de una filial (3,0 M) y entró en una asociada (2,8 M)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PKF Al-Bassam (Ibrahim Ahmed Al-Bassam &amp; Co.), cuentas de FY2025; FY2024 auditado por otra firma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salvedades (FY2022-FY2025); intermedios de FY2026 con revisión limitada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sin salvedades hasta FY2025 (PKF Al-Bassam, que sustituyó a otra firma en FY2025) [1]. Lo que más cuidado pide: (1) la mitad de las ventas la ejecutan como subcontratistas AZM FinTech y Azm Digital, de los dos fundadores, y la nota dice que se compensa «como agencia» contra los ingresos, así que el margen real del grupo depende de precios fijados entre partes vinculadas [1, 5]; (2) los cobros públicos: clientes y activos de contrato del 44 % de las ventas y flujo operativo muy irregular (1,6 M en FY2024, 108,9 M en FY2025) [1, 2, 10]; (3) la capitalización de desarrollo (29,1 M de intangibles en FY2026, el 57 % del beneficio), que infla el EBIT de hoy [10]; (4) las cuentas de FY2026 de fuente secundaria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Subcontratación a vinculadas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116 M en FY2025 (46 % de las ventas) y 115,5 M en 9M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de 7,8 M a 37,3 M en un año; 17,2 M aún sin amortizar a mar-2026 [5,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que dependen de la Administración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contrato de 82,7 M en FY2024 (38 % de las ventas)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y cuentas de FY2026 no publicadas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PKF desde FY2025; FY2026 de Stock Analysis [1,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FY2026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213,3 % · </w:t>
      </w:r>
      <w:r>
        <w:rPr>
          <w:b/>
          <w:bCs/>
        </w:rPr>
        <w:t xml:space="preserve">WACC</w:t>
      </w:r>
      <w:r>
        <w:t xml:space="preserve">: 12,7 %.</w:t>
      </w:r>
    </w:p>
    <w:p>
      <w:pPr>
        <w:spacing w:after="100"/>
      </w:pPr>
      <w:r>
        <w:t xml:space="preserve">La rentabilidad sobre el capital es muy alta porque el negocio casi no usa capital: patrimonio de 182 M menos 147 M de caja, fondos y sukuk, más 28 M de deuda y arrendamientos, deja ≈ 63 M de capital invertido para un EBIT después de zakat de ≈ 45 M en FY2026 [9, 10]. El ROE fue del 31 % [24]. La causa es el modelo: los clientes públicos adelantan dinero (pasivos de contrato de 68-88 M) y la mitad del trabajo la hacen subcontratistas que cobran después (devengos de 75 M) [1, 10]. Ese ROIC es frágil: depende de anticipos que no son permanentes y de precios con vinculadas, y sube artificialmente si el desarrollo se capitaliza. Los comparables saudíes tienen ROE del 20-56 % (Elm 56 %, solutions by stc 39 %) [24].</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17,9 M, fondos a valor razonable 110,4 M y sukuk ≈ 18,5 M (146,8 M), frente a 9,4 M de préstamos bancarios a corto y largo plazo y 18,6 M de arrendamientos [5, 10]. Línea de crédito de 60 M SAR con Bank AlJazira (ene-2026, según prensa; no leída). La junta del 5-nov-2026 vota recomprar hasta 3,6 M acciones (≈ 106 M al precio de hoy) con fondos propios, para el plan de acciones de empleados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Indemnizaciones por cese (ley laboral saudí, sin fondos): 6,45 M a jun-2025 y 8,86 M a jun-2026 (como pensiones en el puente) [1, 10]. Provisión de zakat de 4,3 M (jun-2025) [1]. Gastos devengados de 74,7 M a jun-2026, en buena parte trabajo de subcontratistas pendiente de facturar, entre ellos las empresas hermanas AZM FinTech y Azm Digital [5, 10].</w:t>
      </w:r>
    </w:p>
    <w:p>
      <w:pPr>
        <w:pStyle w:val="Heading1"/>
      </w:pPr>
      <w:r>
        <w:t xml:space="preserve">12. Asignación de capital</w:t>
      </w:r>
    </w:p>
    <w:p>
      <w:pPr>
        <w:spacing w:after="100"/>
      </w:pPr>
      <w:r>
        <w:t xml:space="preserve">Nunca ha pagado dividendos. Recompra acciones para el plan de empleados (11,1 M en FY2023, 12,0 M en FY2024, 29,8 M en FY2026) y la junta del 5-nov-2026 vota recomprar hasta 3,6 M más (6 % del capital; ≈ 106 M al precio de hoy) [10, 32]. La caja sobrante va a fondos y sukuk (≈ 129 M)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asignación de capital es discutible: el dinero no vuelve al accionista, sino que paga acciones para empleados (16,6 M de gasto en FY2026, 33 % del beneficio) y desarrollo capitalizado (29,1 M) [9, 10]. La operación que más va a decir de la dirección es la compra de AZM FinTech a los propios fundadores, aún sin precio [19]. Hasta ahora no hay compras de empresas relevantes (3,0 M de minoritarios y 2,8 M en una asociada en FY2025)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Mohammed Al-Ballaa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dirige la empresa desde 2017. Es también director general y accionista de AZM FinTech, subcontratista y objetivo de compra [11,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Majed Saad Al-Osaimi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mayor accionista; preside también AZM FinTech [11,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Muath Mansour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cuentas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Haitham Naeem Hannoun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miembro de la comisión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928.733 acciones; vendió 179.003 en FY2025 [11,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+40 % hasta jun-2027 por proyectos de colaboración público-privada; cartera de más de 300 M (sep-2026)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Empresa de fundadores: los dos cofundadores tienen ≈ 41 % del capital y dirigen desde 2017; el crecimiento (ventas ×2,3 desde FY2021) es suyo [8, 11]. El problema es que también son dueños de los principales subcontratistas, AZM FinTech y Azm Digital, que facturan al grupo la mitad de sus ventas, y ahora la empresa negocia comprar AZM FinTech a un precio aún sin fijar [5, 19]. No hay historial de guía numérica antes de sep-2026 [21].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Majed Saad Al-Osaimi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Ahmed Abdulaziz Al-Haqbani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Mohammed Al-Ballaa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Omar Al-Juraisy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(hasta jun-2026)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Omar Al-Sunaidi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salvedades (FY2022-FY2025); intermedios de FY2026 con revisión limitada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Majed Saad Al-Osaimi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340.000 acciones en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Mohammed Al-Ballaa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 consejero delegado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340.000 acciones en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propias (plan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6 % más si la junta aprueba la recompra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Majed Al-Osaimi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 Al-Ballaa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jun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Haitham Hannoun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alta dirección cobró 6,74 M SAR en FY2025 (los cinco primeros directivos, 5,21 M); el presidente y el consejero delegado renunciaron a la remuneración de consejeros, y la junta del 5-nov-2026 vota 0,58 M para todo el consejo y comisiones por FY2026 [11, 20]. El plan de acciones para empleados costó 16,6 M en FY2026 (5,4 % de las ventas) y se alimenta con recompras [20].</w:t>
      </w:r>
    </w:p>
    <w:p>
      <w:pPr>
        <w:pStyle w:val="Heading2"/>
      </w:pPr>
      <w:r>
        <w:t xml:space="preserve">Operaciones vinculadas, estructura de control y defensas</w:t>
      </w:r>
    </w:p>
    <w:p>
      <w:pPr>
        <w:spacing w:after="100"/>
      </w:pPr>
      <w:r>
        <w:t xml:space="preserve">Los dos fundadores suman ≈ 41 % y actúan juntos en las empresas hermanas (AZM FinTech, Azm Digital) [11, 19]. Una acción, un voto; límite del 49 % a la propiedad extranjera. El consejo tiene cinco miembros (tres independientes) y la junta del 5-nov-2026 vota ampliarlo a seis [18, 20].</w:t>
      </w:r>
    </w:p>
    <w:p>
      <w:pPr>
        <w:pStyle w:val="Heading2"/>
      </w:pPr>
      <w:r>
        <w:t xml:space="preserve">Señales de alerta</w:t>
      </w:r>
    </w:p>
    <w:p>
      <w:pPr>
        <w:pStyle w:val="ListParagraph"/>
        <w:numPr>
          <w:ilvl w:val="0"/>
          <w:numId w:val="2"/>
        </w:numPr>
        <w:spacing w:after="60"/>
      </w:pPr>
      <w:r>
        <w:t xml:space="preserve">Subcontratación a empresas de los fundadores: AZM FinTech y Azm Digital facturaron ≈ 116 M en FY2025 (46 % de las ventas) y 115,5 M en 9M FY2026 (≈ 52 %) [5].</w:t>
      </w:r>
    </w:p>
    <w:p>
      <w:pPr>
        <w:pStyle w:val="ListParagraph"/>
        <w:numPr>
          <w:ilvl w:val="0"/>
          <w:numId w:val="2"/>
        </w:numPr>
        <w:spacing w:after="60"/>
      </w:pPr>
      <w:r>
        <w:t xml:space="preserve">Compra propuesta de AZM FinTech a los fundadores (memorando de ago-2026), sin precio ni forma de pago [19].</w:t>
      </w:r>
    </w:p>
    <w:p>
      <w:pPr>
        <w:pStyle w:val="ListParagraph"/>
        <w:numPr>
          <w:ilvl w:val="0"/>
          <w:numId w:val="2"/>
        </w:numPr>
        <w:spacing w:after="60"/>
      </w:pPr>
      <w:r>
        <w:t xml:space="preserve">Nuevos contratos marco de 5 años con vinculadas por 191,6 M a votar el 5-nov-2026 [20].</w:t>
      </w:r>
    </w:p>
    <w:p>
      <w:pPr>
        <w:pStyle w:val="ListParagraph"/>
        <w:numPr>
          <w:ilvl w:val="0"/>
          <w:numId w:val="2"/>
        </w:numPr>
        <w:spacing w:after="60"/>
      </w:pPr>
      <w:r>
        <w:t xml:space="preserve">Ventas de los dos fundadores (340.000 acciones cada uno) en FY2025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La dirección espera que el beneficio suba ≈ 40 % hasta jun-2027 (FY2027) por proyectos de colaboración público-privada, con una cartera de más de 300 M SAR (conferencia de resultados de sep-2026) [21]. No da cifras de ventas ni de margen.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0 / 0</w:t>
            </w:r>
          </w:p>
        </w:tc>
      </w:tr>
    </w:tbl>
    <w:p>
      <w:pPr>
        <w:spacing w:after="160" w:before="0"/>
      </w:pPr>
    </w:p>
    <w:p>
      <w:pPr>
        <w:pStyle w:val="Heading2"/>
      </w:pPr>
      <w:r>
        <w:t xml:space="preserve">Revisiones de estimaciones</w:t>
      </w:r>
    </w:p>
    <w:p>
      <w:pPr>
        <w:spacing w:after="100"/>
      </w:pPr>
      <w:r>
        <w:t xml:space="preserve">Solo una casa publica: GIB Capital, sobreponderar desde mar-2026 y objetivo elevado el 27-sep-2026 (cifra de pago) [30]. Para el 1T FY2027 (jul-sep 2026) espera 17 M de beneficio, +112 % según su tabla; la base que implica (≈ 8 M) no cuadra con los 14,1 M del 1T FY2026 que da Yahoo, así que su cifra de comparación es dudosa [24, 28]. En el 4T FY2026 esperaba 13 M y la empresa ganó 16,2 M [29].</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29,52 SAR el 19-oct-2026: +16 % en un año (el ETF KSA −11 %) y +36 % anual en tres años (KSA +1 %), a un 7 % del máximo de 52 semanas (32,40 SAR el 7-oct) y un 46 % por encima del mínimo (20,16 el 14-jul) [22]. Vale 1.771 M SAR (≈ 470 M USD) [23]. Volatilidad del 27-35 %, beta de 0,5-0,7 contra el KSA y caída máxima del 46 % [22]. Muy irregular: +221 % en 2024 y −28 % en 2025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 +33,6 % / +21,0 % / +11,0 %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 +43,2 %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conocer el precio y la forma de pago de la compra de AZM FinTech a los fundadores (memorando de ago-2026, vigente hasta ago-2027)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 a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20,16 SAR (14-jul) a 28,18 (13-sep; +28 % en el mes desde el 13-ago): adjudicación del Ministerio de Recursos Humanos el 16/19-jul (volumen de 333.000 acciones frente a 30.000-50.000), resultados de FY2026 el 2/3-ago (beneficio +36 %), recomendación de recompra y memorando de AZM FinTech el 3-ago, subida del 14 % entre el 20 y el 23-ago sin noticia propia encontrada, alianza con Elm el 1-sep (+6 %, 1,18 M acciones) y guía de beneficio +40 % en la conferencia del 7-sep [8, 16,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 al 7-oct, de 28,52 a 31,62 SAR con 1,65 M acciones en dos sesiones, sin anuncio propio encontrado (GIB subió su objetivo el 27-sep); devolvió un 10 % hasta el 15-oct y cerró a 29,52 [22,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2025-11-25 y 2026-03-05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diarias del 6,1 % (25-nov-2025, KSA −1,5 %) y del 7,8 % (5-mar-2026, tras dos sesiones sin cruces) sin anuncio propio encontrado; la segunda coincide con la época de resultados del 2T FY2026, con beneficio de 9,7 M frente a 14,1 M del trimestre anterior [22,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recompra de hasta 3,6 M acciones para el plan de empleados (≈ 106 M al precio de hoy), contratos marco de 5 años con empresas vinculadas a los fundadores por 191,6 M (Azm Digital 105,79 M, AZM FinTech 74,67 M) y consejo a seis miembros [8,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Vigilar el voto de los contratos vinculados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(jul-sep 2026) previstos a primeros de noviembre (fecha estimada); GIB espera 17 M de beneficio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GIB Capital mantiene sobreponderar y sube el precio objetivo (cifra de pago)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+40 % de beneficio en FY2027 y una cartera de más de 300 M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Memorando no vinculante para comprar el 100 % de AZM FinTech, de los propios presidente y consejero delegado; precio, forma de pago (dinero o acciones nuevas) y fecha sin fijar; vigencia de 12 meses [8,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el precio y la forma de pago de la compra de AZM FinTech (una ampliación para pagar a los fundadores diluiría)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ventas 307,4 M (+21 %) y beneficio 51,0 M (+36 %); 4T con 16,2 M frente a 13 M que esperaba GIB [8,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Wasl obtiene la licencia de intermediación digital de financiación del banco central (SAMA)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mandato del consejo (22-jun-2026 a 21-jun-2030), con los mismos presidente y consejero delegado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subida del 34 % en tres meses tiene causa propia: un contrato ministerial, resultados de FY2026 (+36 %), la alianza con Elm y una guía de +40 % de beneficio, en un mercado saudí que cae [8, 21, 22]. No hay colocaciones ni bloqueos pendientes. Lo que queda abierto es la compra de AZM FinTech a los dos fundadores: sin precio ni forma de pago, puede mover la acción más de un 5 % (una ampliación para pagarles diluiría y un precio alto trasladaría valor a los fundadores), y la junta del 5-nov vota además 191,6 M de contratos con sus empresas. Veredicto: retrasa hasta conocer esos términos.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Saudi Azm cotiza a ≈ 27 veces nuestro BPA de los próximos doce meses, por encima de la mediana de su historia adelantada (≈ 24 veces; de 20 a 38 veces entre FY2022 y FY2026) [22]. La historia es corta (cinco cierres, el primero en Nomu) y se cotizó siempre como una empresa de crecimiento: el mercado pagó 38 veces el beneficio siguiente en jun-2025 y 20 veces un año después. Los comparables cotizan a 9-16 veces el beneficio adelantado (mediana ≈ 11,5).</w:t>
      </w:r>
    </w:p>
    <w:p>
      <w:pPr>
        <w:pStyle w:val="Heading1"/>
      </w:pPr>
      <w:r>
        <w:t xml:space="preserve">18. Comparables cotizados</w:t>
      </w:r>
    </w:p>
    <w:p>
      <w:pPr>
        <w:pStyle w:val="Confianza"/>
        <w:spacing w:after="100"/>
      </w:pPr>
      <w:r>
        <w:t xml:space="preserve">Confianza: Media</w:t>
      </w:r>
    </w:p>
    <w:p>
      <w:pPr>
        <w:spacing w:after="100"/>
      </w:pPr>
      <w:r>
        <w:t xml:space="preserve">Dos grupos con datos del mismo día: los integradores y empresas de servicios digitales que cotizan en Tadawul (solutions by stc, Elm, 2P, MIS y Edarat), con los mismos clientes públicos y la misma regulación, y tres grandes de servicios informáticos globales (Infosys, Cognizant, EPAM) que miden lo que el mercado paga hoy por el sector expuesto a la IA [24]. Ninguno es tan pequeño ni depende tanto de subcontratistas vinculados.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Azm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Arabian Internet and Communicat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for Commer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Edarat Communication and Inform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Infosys Limited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 Technology Solutions </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EPAM Systems,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14,1x / 26,4x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2,9x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r>
    </w:tbl>
    <w:p>
      <w:pPr>
        <w:spacing w:after="160" w:before="0"/>
      </w:pPr>
    </w:p>
    <w:p>
      <w:pPr>
        <w:spacing w:after="100"/>
      </w:pPr>
      <w:r>
        <w:t xml:space="preserve">Las grandes saudíes cotizan a 11-17 veces el EBITDA y 12-16 veces el beneficio adelantado, creciendo ≈ 9-15 %; las pequeñas de Tadawul (MIS, Edarat) a 40-97 veces el EBITDA, sin consenso; las globales a 8-22 veces el EBITDA y 9-15 veces el beneficio, creciendo ≈ 4-5 % [24]. Saudi Azm cotiza a ≈ 31 veces el EBITDA de FY2026 y ≈ 27 veces el beneficio de doce meses: el doble que Elm, una empresa mucho mayor, más rentable y con más foso. Los comparables pesan un 20 %.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+22 %: el 4T de FY2026 facturó 87,0 M (+36 %), que anualizado ya es +13 % sobre FY2026; la cartera supera los 300 M (≈ un año de ventas) y entran el contrato del Ministerio de Recursos Humanos (&gt; 12,7 M) y los proyectos con Elm [9, 15, 16, 21]. Después, del +18 % al +8 % en FY2032e: el histórico es +19 % anual (FY2022-FY2026) y el mercado crece ≈ 7 % (IMARC), así que Azm sigue ganando cuota desde ≈ 0,7 % [8, 13]. No hay consenso de ventas publicado.</w:t>
      </w:r>
    </w:p>
    <w:p>
      <w:pPr>
        <w:keepNext/>
        <w:spacing w:after="100"/>
      </w:pPr>
      <w:r>
        <w:rPr>
          <w:b/>
          <w:bCs/>
        </w:rPr>
        <w:t xml:space="preserve">Márgenes.</w:t>
      </w:r>
    </w:p>
    <w:p>
      <w:pPr>
        <w:spacing w:after="100"/>
      </w:pPr>
      <w:r>
        <w:t xml:space="preserve">El margen EBITDA subió del 10,2 % de FY2022 al 17,2 % de FY2026, con 16,6 M de pagos en acciones dentro (5,4 % de las ventas) [9]. Proyecto un 19 % en FY2027e-FY2028e (el 4T26 tuvo ≈ 21 % y la dirección espera +40 % de beneficio) y una bajada al 17 % en FY2032e: la IA abarata el desarrollo y la Administración renegociará precios; las grandes estatales (Elm 23 %, solutions by stc 15 %) marcan la referencia [9, 24].</w:t>
      </w:r>
    </w:p>
    <w:p>
      <w:pPr>
        <w:keepNext/>
        <w:spacing w:after="100"/>
      </w:pPr>
      <w:r>
        <w:rPr>
          <w:b/>
          <w:bCs/>
        </w:rPr>
        <w:t xml:space="preserve">Inversión y circulante.</w:t>
      </w:r>
    </w:p>
    <w:p>
      <w:pPr>
        <w:spacing w:after="100"/>
      </w:pPr>
      <w:r>
        <w:t xml:space="preserve">Amortización del 2,5 % al 3,5 % de las ventas, porque empiezan a amortizarse las plataformas capitalizadas (29,1 M de intangibles en FY2026) [10]. Capex (inmovilizado, intangibles y altas de derechos de uso) del 7 % en FY2027e al 4,5 %: 10,2 % en FY2026 y 4,8 % en FY2025 [1, 10]. Circulante del −5 % de las ventas en FY2027e que converge a 0 en FY2030e: hoy es −7,8 % gracias a anticipos de clientes y devengos con subcontratistas que no son permanentes (fue +7,3 % en FY2024) [2, 10]. Zakat del 6,5 % [9].</w:t>
      </w:r>
    </w:p>
    <w:p>
      <w:pPr>
        <w:keepNext/>
        <w:spacing w:after="100"/>
      </w:pPr>
      <w:r>
        <w:rPr>
          <w:b/>
          <w:bCs/>
        </w:rPr>
        <w:t xml:space="preserve">Coste del capital.</w:t>
      </w:r>
    </w:p>
    <w:p>
      <w:pPr>
        <w:spacing w:after="100"/>
      </w:pPr>
      <w:r>
        <w:t xml:space="preserve">Flujos en SAR, anclado al USD a 3,75: tasa libre del 5,61 %, el Treasury a 10 años (5,10 %, FRED, 15-oct-2026) más el diferencial soberano saudí (0,51 %, Damodaran) [25, 26]. Beta de 0,90: la medida contra el ETF KSA es baja (0,52 mensual, 0,71 semanal) por la poca liquidez y el poco peso tecnológico del índice; Argaam da 0,89 y el sector ≈ 1,0-1,1 [22, 23]. Prima de mercado del 5,5 % y prima adicional del 2,28 %: 0,78 % de país y 1,5 % por tamaño (≈ 470 M USD) y liquidez [26]. Deuda del 2 % al 6,5 %.</w:t>
      </w:r>
    </w:p>
    <w:p>
      <w:pPr>
        <w:keepNext/>
        <w:spacing w:after="100"/>
      </w:pPr>
      <w:r>
        <w:rPr>
          <w:b/>
          <w:bCs/>
        </w:rPr>
        <w:t xml:space="preserve">Valor terminal.</w:t>
      </w:r>
    </w:p>
    <w:p>
      <w:pPr>
        <w:spacing w:after="100"/>
      </w:pPr>
      <w:r>
        <w:t xml:space="preserve">Crecimiento a perpetuidad del 3,0 % en SAR/USD: inflación del dólar y algo de crecimiento real de la digitalización saudí. Con un WACC de ≈ 12,7 %, Gordon implica ≈ 10 veces el EBITDA terminal, en línea con las grandes saudíes (11-17 veces) y por encima de las globales (8 veces) [24].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M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(ROIC 118,9 %)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 frente al 14,2 %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 (histórico: 213,3 %)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(hoy: 0,7 %)</w:t>
            </w:r>
          </w:p>
        </w:tc>
      </w:tr>
    </w:tbl>
    <w:p>
      <w:pPr>
        <w:spacing w:after="160" w:before="0"/>
      </w:pPr>
    </w:p>
    <w:p>
      <w:pPr>
        <w:spacing w:after="100"/>
      </w:pPr>
      <w:r>
        <w:t xml:space="preserve">La proyección reinvierte el 18 % del NOPAT. Con el ROIC del último ejercicio (118,9 %), eso financia un crecimiento del 21,6 % anual, frente al 14,2 % de ingresos proyectado. Supone que el capital nuevo rinde un 50,0 %, frente a un ROIC incremental histórico del 213,3 %; la cuota de mercado pasaría al 0,9 % desde el 0,7 %.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cartera de más de 300 M, contrato del Ministerio de Recursos Humanos y proyectos con Elm; otros: plataformas de terceros y Wasl (licencia de SAMA). Sin subidas de precio: la Administración licita [15, 16, 17,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contratos públicos al ritmo de la cartera; colaboración público-privada (guía de la dirección)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cuota creciente en un mercado al ≈ 7 % anual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madurez de los grandes programas de la Visión 2030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crecimiento hacia el del mercado [13].</w:t>
            </w:r>
          </w:p>
        </w:tc>
      </w:tr>
    </w:tbl>
    <w:p>
      <w:pPr>
        <w:spacing w:after="160" w:before="0"/>
      </w:pPr>
    </w:p>
    <w:p>
      <w:pPr>
        <w:spacing w:after="100"/>
      </w:pPr>
      <w:r>
        <w:t xml:space="preserve">En parte. El crecimiento proyectado (14 % anual de media en FY2027-FY2032e, del 22 % al 8 %) está por debajo del histórico (+19 % anual en FY2022-FY2026) y casi no necesita capital: la reinversión es pequeña y el ROIC del 118,9 % lo financia. La cuota pasaría de ≈ 0,7 % a ≈ 0,9 % del mercado saudí de servicios informáticos (IMARC), una ganancia moderada [13]. Pero la calidad no lo asegura: no hay foso (proyectos licitados, competidores 50-80 veces mayores), no hay poder de precios demostrado, el 75 % de las ventas depende del gasto público, la mitad del trabajo lo hacen empresas de los fundadores y la IA abarata justo lo que vende [5, 14]. Por eso «En parte»: el crecimiento es posible, pero no está protegido.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 (base: 14,2 %)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12,7 %)</w:t>
            </w:r>
          </w:p>
        </w:tc>
      </w:tr>
    </w:tbl>
    <w:p>
      <w:pPr>
        <w:spacing w:after="160" w:before="0"/>
      </w:pPr>
    </w:p>
    <w:p>
      <w:pPr>
        <w:spacing w:after="100"/>
      </w:pPr>
      <w:r>
        <w:t xml:space="preserve">El DCF da 13,08 SAR por acción (-55,7 % frente a 29,52 SAR) con un WACC del 12,70 % y un crecimiento terminal del 3 %; el valor terminal pesa el 64 %. El DCF inverso dice que el precio descuenta que las ventas crezcan ≈ 35,3 % anual en FY2027-FY2032e (frente al 14,2 % del base) o un margen EBITDA del 35,2 % (frente al 17,0 %), y que paga una rentabilidad implícita del 7,0 % anual, por debajo del WACC. Es exigente: supone mantener durante años el ritmo de FY2026, con la mitad del trabajo subcontratada a vinculadas, un 75 % de clientes públicos y la IA abaratando lo que vende. Con la prima implícita del mercado (4,2 %) el DCF sube a 14,63 SAR, todavía lejos del precio. La distancia no es de margen sino de crecimiento: el mercado paga a Azm como a una plataforma, y su historia es la de un integrador de proyectos.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petróleo bajo frena el gasto público, la Administración paga tarde y la IA abarata los proyectos al renovarlos: el crecimiento baja 8 puntos cada año (+14 % en FY2027e, +10 % en FY2028e) y el margen EBITDA 3 puntos, al nivel de FY2025 (≈ 16 %)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Azm ejecuta su cartera, crece +22 % en FY2027e y frena hacia el +8 % en FY2032e, con margen EBITDA del 19 % que baja al 17 % por la presión de precios.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proyectos de colaboración público-privada, Elm y Wasl aceleran: 5 puntos más de crecimiento y 1,5 de margen (cerca del 21 % del 4T26) [9,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SAR)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12,74 SAR (-56,8 %).</w:t>
      </w:r>
    </w:p>
    <w:p>
      <w:pPr>
        <w:spacing w:after="100"/>
      </w:pPr>
      <w:r>
        <w:t xml:space="preserve">La asimetría es desfavorable: el bajista (7,21 SAR, -75,6 %) recoge un frenazo del gasto público y la presión de la IA (margen EBITDA del 14 % al final); el alcista llega a 17,57 SAR (-40,5 %), también por debajo del precio. Con probabilidades 25/50/25, el valor ponderado de los escenarios es de 12,74 SAR (-56,8 %) y el valor intrínseco de la síntesis, con los comparables, de 12,91 SAR (-56,3 %).</w:t>
      </w:r>
    </w:p>
    <w:p>
      <w:pPr>
        <w:pStyle w:val="Heading1"/>
      </w:pPr>
      <w:r>
        <w:t xml:space="preserve">22. Suma de partes</w:t>
      </w:r>
    </w:p>
    <w:p>
      <w:pPr>
        <w:pStyle w:val="Confianza"/>
        <w:spacing w:after="100"/>
      </w:pPr>
      <w:r>
        <w:t xml:space="preserve">Confianza: Media</w:t>
      </w:r>
    </w:p>
    <w:p>
      <w:pPr>
        <w:spacing w:after="100"/>
      </w:pPr>
      <w:r>
        <w:t xml:space="preserve">No aplica: las cuatro líneas (servicios, tecnología propia, consultoría y plataformas de terceros) comparten clientes, plantilla y subcontratistas, y no hay resultado por línea; Wasl aún no factura de forma relevante [5].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SAR)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12,91 SAR (-56,3 % sobre 29,52).</w:t>
      </w:r>
    </w:p>
    <w:p>
      <w:pPr>
        <w:spacing w:after="100"/>
      </w:pPr>
      <w:r>
        <w:t xml:space="preserve">Pesos previstos: DCF 40 %, escenarios 40 % y comparables 20 %; transacciones sin peso (no hay operaciones con múltiplos publicados; la compra de AZM FinTech no tiene precio). Los comparables no entran en la síntesis porque no hay EBITDA de los próximos 12 meses publicado para ellos, así que el valor intrínseco es la media de DCF y escenarios. Como contraste, la mediana de los comparables (14,1 veces el EBITDA de doce meses y 11,5 veces el beneficio adelantado) daría 14,50 SAR por acción. El puente parte del balance de junio de 2026 (fuente secundaria): préstamos (9,4 M) y arrendamientos (18,6 M) como deuda, indemnizaciones por cese (8,9 M), caja con fondos y sukuk (146,8 M) y asociadas e inversiones (11,9 M), sobre 60 M acciones [10].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(26.8x) a mitad de camino hacia abajo, hacia la mediana de 5 años (24.5x)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bl>
    <w:p>
      <w:pPr>
        <w:spacing w:after="160" w:before="0"/>
      </w:pPr>
    </w:p>
    <w:p>
      <w:pPr>
        <w:spacing w:after="100"/>
      </w:pPr>
      <w:r>
        <w:rPr>
          <w:b/>
          <w:bCs/>
        </w:rPr>
        <w:t xml:space="preserve">Objetivo a 12 meses (ponderado):</w:t>
      </w:r>
      <w:r>
        <w:t xml:space="preserve"> 28,50 SAR · rentabilidad -3,4 % (base +2,3 %) · señal Mantener.</w:t>
      </w:r>
    </w:p>
    <w:p>
      <w:pPr>
        <w:spacing w:after="100"/>
      </w:pPr>
      <w:r>
        <w:t xml:space="preserve">Para comparar, con la regla v2 (historia al cierre, mismo precio): 25,0x / 26,8x / 33,7x, 11,2 %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No hay BPA de consenso publicado. La referencia es la guía de la dirección: +40 % de beneficio en FY2027e (≈ 71 M, ≈ 1,23 SAR por acción) [21]. Nuestro FY2027e (1,06, 61,6 M, +21 %) queda un 13 % por debajo porque (1) la recompra de ≈ 106 M recorta los ingresos financieros, (2) empiezan a amortizarse las plataformas capitalizadas y (3) no damos por hecho que el margen del 4T26 (≈ 21 %) se repita todo el año. El alcista recoge la guía.</w:t>
      </w:r>
    </w:p>
    <w:p>
      <w:pPr>
        <w:keepNext/>
        <w:spacing w:after="100"/>
      </w:pPr>
      <w:r>
        <w:rPr>
          <w:b/>
          <w:bCs/>
        </w:rPr>
        <w:t xml:space="preserve">Del valor intrínseco al objetivo a 12 meses.</w:t>
      </w:r>
    </w:p>
    <w:p>
      <w:pPr>
        <w:spacing w:after="100"/>
      </w:pPr>
      <w:r>
        <w:t xml:space="preserve">El objetivo a 12 meses lo decide la v3. Ponderado 28,50 SAR (-3,4 %) y base 30,21 SAR (+2,3 %), sin dividendo. El PER actual (26,8 veces nuestro BPA de los próximos doce meses) está por encima de la mediana de su historia adelantada (24,5 veces), así que la regla común recorta el múltiplo base hacia ella y todo el potencial tiene que venir del crecimiento del BPA (+11 % de FY2027e a FY2028e). La v2 de control da +11,2 % ponderada y +7,1 % en el base. No se llega a los umbrales de compra (15 % y 12 %); compraríamos por debajo de 12,91 SAR, un 56,3 % por debajo del cierre. El valor intrínseco (12,91 SAR, -56,3 %) también queda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recompra de 3,6 M acciones, contratos vinculados de 191,6 M, consejo a seis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sostiene el precio; los contratos fijan cuánto trabajo va a las empresas de los fundadores [20,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(jul-sep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GIB espera 17 M; nuestro FY2027e supone ≈ 15 M por trimestre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 a 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AZM FinTech (memorando de 12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forma de pago: puede diluir o integrar margen hoy subcontratado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Wasl con licencia de SAMA y proyectos con Elm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plataforma [15,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 sep-2026 a 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de las cuentas auditadas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balance y flujos de fuente secundaria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programación: abaratan el desarrollo a medida, las pruebas y la consultoría, que son ≈ 60 %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si las horas por proyecto caen un 30 % y la Administración traslada el ahorro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Azm puede usar la IA para producir más barato y quedarse parte del ahorro; la operación de plataformas y la integración con sistemas públicos (datos en el país) son menos sustituibles [5,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28 % o ventas de servicios a empresas planas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gasto público saudí: 75 % de las ventas a ministerios y semipúblicas; pagos por hitos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con un recorte presupuestario (petróleo &lt; 60 USD) o retrasos de cobro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Digitalización prioritaria en la Visión 2030; caja neta de ≈ 120 M para aguantar retrasos [10,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contrato por encima del 30 % de las ventas; flujo operativo negativo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Partes vinculadas: la mitad del trabajo la ejecutan empresas de los fundadores; compra de AZM FinTech sin precio; contratos marco de 191,6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si la compra se paga cara o con acciones nuevas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aprobadas en junta sin el voto de los interesados; asesor financiero externo (Alistithmar Capital) [19,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AZM FinTech por encima de 15 veces su beneficio o pago en acciones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las grandes estatales (Elm, solutions by stc) que se quedan los contratos y subcontratan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Elm con reparto de ingresos (sep-2026)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los proyectos con Elm por encima del 20 % de las ventas con menos margen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beneficio: capitalización de desarrollo (29,1 M en FY2026) y pagos en acciones (16,6 M) financiados con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acciones ya está en el EBIT; la amortización ya está en nuestro DCF [9,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por encima del 15 % de las ventas o deterioros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Liquidez y tamaño: ≈ 1,4 M USD al día, 470 M USD de capitalización, horquillas amplias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coste de entrada y salida en mercados nerviosos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Suficiente para posiciones de 1.000-5.000 EUR con orden limitada desde IBKR [23,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por debajo de 2 M SAR al día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Información: cuentas de FY2026 de fuente secundaria; intermedios escaneados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cuenta de FY2026 cuadra entre el anuncio a Tadawul y Yahoo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al publicarse las cuentas auditadas de FY2026</w:t>
            </w:r>
          </w:p>
        </w:tc>
      </w:tr>
    </w:tbl>
    <w:p>
      <w:pPr>
        <w:spacing w:after="160" w:before="0"/>
      </w:pPr>
    </w:p>
    <w:p>
      <w:pPr>
        <w:pStyle w:val="Heading2"/>
      </w:pPr>
      <w:r>
        <w:t xml:space="preserve">Pre-mortem</w:t>
      </w:r>
    </w:p>
    <w:p>
      <w:pPr>
        <w:spacing w:after="100"/>
      </w:pPr>
      <w:r>
        <w:t xml:space="preserve">Octubre de 2028: Saudi Azm vale la mitad. Lo que pasó: con el petróleo a 55 USD, el Ministerio de Finanzas recortó y aplazó proyectos digitales; los ministerios pagaron con seis meses de retraso y los activos de contrato volvieron al 40 % de las ventas, como en 2024. A la vez, los agentes de IA dejaron un proyecto de portal en la mitad de horas y las licitaciones de renovación salieron un 30 % más baratas. Azm compró AZM FinTech a sus fundadores pagando con acciones nuevas a un múltiplo alto, y los minoritarios vieron que la mitad del margen se quedaba en empresas hermanas. El beneficio se estancó en ≈ 50 M y el mercado, que pagaba 27 veces, pagó 15. La señal que nadie quiso leer: la mitad de las ventas subcontratada a vinculadas y un PER muy por encima del de Elm.</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Amenaza · </w:t>
      </w:r>
      <w:r>
        <w:rPr>
          <w:b/>
          <w:bCs/>
        </w:rPr>
        <w:t xml:space="preserve">Efecto en valor (3-5 años):</w:t>
      </w:r>
      <w:r>
        <w:t xml:space="preserve"> −15 % a −25 %</w:t>
      </w:r>
    </w:p>
    <w:p>
      <w:pPr>
        <w:spacing w:after="100"/>
      </w:pPr>
      <w:r>
        <w:t xml:space="preserve">Es un integrador que vende horas de desarrollo, pruebas y consultoría a la Administración: justo lo que los agentes de programación y la IA generativa hacen más barato [5]. Servicios a empresas, consultoría y tecnología propia suman ≈ 75 % de las ventas; la reventa de plataformas de terceros (≈ 19 %) es menos sensible [5]. A favor: la Administración saudí exige datos en el país, proveedores locales y homologaciones, y Azm puede usar la IA para producir con menos subcontratación. En contra: los contratos se relicitan y el cliente público captura el ahorro, y las grandes estatales (Elm) integran la IA con más recursos. Neto, amenaza: el escenario bajista del DCF (−3 puntos de margen y −8 de crecimiento) es nuestra medida del riesgo.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gobierno: la mitad del trabajo la ejecutan empresas de los dos fundadores (vinculadas), y la empresa planea comprarles una de ellas [5, 19]. En lo social, saudización de la plantilla técnica [11].</w:t>
      </w:r>
    </w:p>
    <w:p>
      <w:pPr>
        <w:pStyle w:val="Heading2"/>
      </w:pPr>
      <w:r>
        <w:t xml:space="preserve">Controversias</w:t>
      </w:r>
    </w:p>
    <w:p>
      <w:pPr>
        <w:spacing w:after="100"/>
      </w:pPr>
      <w:r>
        <w:t xml:space="preserve">Sin sanciones ni litigios encontrados en los anuncios y la prensa revisados (Argaam, Mubasher).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se quedan AZM FinTech y Azm Digital en los ≈ 116 M que facturan al año, y por qué no se ejecuta ese trabajo dentro de Azm?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las ventas pasa por empresas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AZM FinTech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con qué pago (dinero o acciones) se comprará AZM FinTech, y qué beneficio aporta fuera de lo que ya factura a Azm?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Transferencia de valor a los fundadores o integración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horas de desarrollo por proyecto ha ahorrado la IA y cómo se reparte ese ahorro con los ministerios en los contratos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puede bajar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más de 300 M está firmada y qué plazo de ejecución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+22 % de FY2027e.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antigüedad tienen los activos de contrato y los clientes públicos?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retrasos de cobro vacían la caja (FY2024).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recomprar 106 M de acciones para empleados en vez de pagar dividendo, y cuánto se capitalizará en desarrollo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 y calidad del beneficio.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26 controles correctos y 5 explicados. Fuentes: 32 (10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explica la causa (créditos fiscales, regularizaciones, mezcla de países) y no lo proyectes en el DCF. Explicación: Zakat: 9,2 % del BAI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Zakat: 4,3 % del BAI (la base patrimonial descuenta las inversiones a largo plazo)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 explica la causa (créditos fiscales, regularizaciones, mezcla de países) y no lo proyectes en el DCF. Explicación: Zakat: 6,1 % del BAI [9]. Es el que proyecta el DCF (6,5 %).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48 % y los ingresos un 12 %: si hubo una compra cerca del cierre, decláralo en financieros.cambios_perimetro y explícalo. Explicación: Sin compras: el activo crece porque la caja se invierte en sukuk a coste amortizado (25,0 M) y fondos (25,0 M frente a 17,0 M), y suben los activos de contrato (20,5 M frente a 13,4 M)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43 % y los ingresos un 16 %: si hubo una compra cerca del cierre, decláralo en financieros.cambios_perimetro y explícalo. Explicación: Sin compras relevantes (3,0 M de minoritarios de una filial y 2,8 M en una asociada): el activo crece porque los anticipos de clientes (pasivos de contrato +53,8 M) y el flujo operativo de 108,9 M se invierten en fondos a valor razonable (102,5 M frente a 26,0 M)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50,0 % frente a un ROIC de 118,9 % y un incremental histórico de 213,3 %: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0,9 % en FY2032e frente al 0,7 %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-7,8 % real: genera una variación de circulante de 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auditadas de FY2026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azm.com (API JSON:API: el último documento financiero es el intermedio de 9M a mar-2026); 2) saudiexchange.sa (403 desde el contenedor); 3) Argaam (zona de pago). Se usan el anuncio de resultados a Tadawul (cuenta) y Stock Analysis (balance y flujos, secundaria)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margen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intermedios (cuentas escaneadas, solo las notas en texto); 2) Yahoo (EBITDA con otros ingresos, no comparable); 3) Argaam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(de pago el reparto por empresas); 2) CST (Comisión de Comunicaciones, Espacio y Tecnología: solo tamaño del mercado tecnológico); 3) suma de las cotizadas (solutions by stc y Elm facturan ≈ 23.600 M SAR, la mitad del mercado de servicios informáticos de IMARC, pero con telecomunicaciones y servicios de gobierno que IMARC no cuenta)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consejo de FY2025 (solo los cinco primeros directivos en bloque, 5,21 M; el presidente y el consejero delegado renunciaron a la remuneración de consejeros); 2) nota de vinculadas (alta dirección 6,74 M);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(porcentajes)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las juntas 5.ª y 6.ª (web de inversores, sin porcentajes en el texto extraído); 2) Tadawul (403); 3) Argaam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integradores saudíes (memorando de AZM FinTech sin precio; sin múltiplos publicados en el sector local); 2) compras de integradores globales (múltiplos solo en prensa); 3) Argaam M&amp;A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Tadawul (préstamo de valores, 403); 2) Argaam; 3) en Tadawul no hay cortos relevantes en valores de este tamaño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analistas para 7211.SR); 2) Argaam (estimaciones de pago; GIB solo da trimestres); 3) informe de GIB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y Mubasher (foros: 403 o sin hilo útil); 2) Argaam (comentarios de los anuncios vacíos: «Be the first to comment»; análisis de comentarios 0 %); 3) Reddit, X y Stocktwits (sin debate sobre 7211.SR)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30 June 2025 (auditadas, PKF Al-Bassam; árabe): balance, cuenta, flujos, ingresos por línea y por tipo de cliente, vinculadas, sukuk, fondos, arrendamientos, zakat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https://azmsa-website-prod.oss-me-central-1.aliyuncs.com/s3fs-public/investors/2026-04/%D8%A7%D9%84%D9%82%D9%88%D8%A7%D8%A6%D9%85%20%D8%A7%D9%84%D9%85%D8%A7%D9%84%D9%8A%D8%A92025.pdf?VersionId=CAEQeBiBgMCq8.eo7RkiIGJhOGQ2MTBkY2ZjNTRhODdhOWIyMmMzYTIzYmU4ODRm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30 June 2024 (auditadas; árabe), con FY2023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https://azmsa-website-prod.oss-me-central-1.aliyuncs.com/s3fs-public/investors/2026-04/%D8%A7%D9%84%D9%82%D9%88%D8%A7%D8%A6%D9%85%20%D8%A7%D9%84%D9%85%D8%A7%D9%84%D9%8A%D8%A9%202024.pdf?VersionId=CAEQeBiBgMCZtO6o7RkiIDIwMmExNzc0OGZjZDQyZGZhYzMzOGIwMTcxMzlkMmZm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30 June 2023 (auditadas; árabe)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https://azmsa-website-prod.oss-me-central-1.aliyuncs.com/s3fs-public/investors/2026-04/%D8%A7%D9%84%D9%82%D9%88%D8%A7%D8%A6%D9%85%20%D8%A7%D9%84%D9%85%D8%A7%D9%84%D9%8A%D8%A9%202023.pdf?VersionId=CAEQeBiBgMDX1raq7RkiIGMyYjRjZDBjMzJiYjQ2ZjBiZTA3Y2UxMDFiNTQ2ZGZl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30 June 2022 (auditadas; árabe), con FY2021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https://azmsa-website-prod.oss-me-central-1.aliyuncs.com/s3fs-public/investors/2026-04/%D8%A7%D9%84%D9%82%D9%88%D8%A7%D8%A6%D9%85%20%D8%A7%D9%84%D9%85%D8%A7%D9%84%D9%8A%D8%A92022.pdf?VersionId=CAEQeBiBgIDM2qOq7RkiIGNiNWU0YzJhZjdmZjQ1MjhiY2E4NzdmMTc2ZmNmMmIw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nueve meses a 31-mar-2026 (3T FY2026; revisión limitada; árabe): ingresos por línea y por tipo de cliente, mayor cliente, vinculadas (AZM FinTech, Azm Digital), activos y pasivos de contrato, intangibles en desarrollo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-05/%D8%A7%D9%84%D9%82%D9%88%D8%A7%D9%8A%D9%85%20%D8%A7%D9%84%D9%85%D8%A7%D9%84%D9%8A%D8%A9%20%D9%84%D8%B3%D9%86%D8%A9%20%202026%20%D8%A7%D9%84%D8%B1%D8%A8%D8%B9%20%D8%A7%D9%84%D8%AB%D8%A7%D9%84%D8%AB.pdf?VersionId=CAEQfBiBgIC_x4uz7xkiIGYxYTdmOTJkOTE0MzQ0YzNhODA0ZTEwMjAzZTQ5ODM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seis meses a 31-dic-2025 (2T FY2026; árabe)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9%8A%D9%85%20%D8%A7%D9%84%D9%85%D8%A7%D9%84%D9%8A%D8%A9%20%D9%84%D8%B3%D9%86%D9%87%202026%20%D8%A7%D9%84%D8%B1%D8%A8%D8%B9%20%D8%A7%D9%84%D8%AB%D8%A7%D9%86%D9%8A.pdf?VersionId=CAEQeBiBgIDgt4Or7RkiIGYxMzlhMWQ2YzdiZTQ4NjFiZDM1Y2Y3OTU0ZTU1Yzl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tres meses a 30-sep-2025 (1T FY2026; árabe)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D8%A7%D9%84%D9%82%D9%88%D8%A7%D9%8A%D9%85%20%D8%A7%D9%84%D9%85%D8%A7%D9%84%D9%8A%D8%A9%20%D9%84%D8%B3%D9%86%D9%87%202026%20%D8%A7%D9%84%D8%B1%D8%A8%D8%B9%20%D8%A7%D9%84%D8%A7%D9%88%D9%84.pdf?VersionId=CAEQeBiBgIDWmfyq7RkiIDk3OTZkYTM5ZWIxODRjZjJhM2QzMDRjOTE2MGNjZDd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records 36% higher profits in FY25/26 (anuncio a Tadawul del 2/3-ago-2026: ventas 307,4 M, beneficio neto 51,0 M, BPA 0,85)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https://english.mubasher.info/markets/TDWL/stocks/7211/news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fundamentals-timeseries de 7211.SR: cuenta anual FY2023-FY2026 y trimestral (ventas, bruto, operativo, BAI, zakat, neto, amortización, pagos basados en acciones, capex, flujo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https://finance.yahoo.com/quote/7211.SR/financials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(7211): balance y estado de flujos de FY2026 (30-jun-2026; S&amp;P Global Market Intelligence), actualizado el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https://stockanalysis.com/quote/tadawul/7211/financials/balance-sheet/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consejo de FY2025 (árabe): actividades, filiales, accionistas, consejo y comisiones, remuneraciones, operaciones vinculadas, acciones propias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https://azmsa-website-prod.oss-me-central-1.aliyuncs.com/s3fs-public/investors/2026-04/AZM%20Report%202025%20AR_0.pdf?VersionId=CAEQeBiBgMDboY.x7BkiIDdmY2FjY2U5OGZmODQzOTRhZGQ0YzMzMmNiNTNjNDM2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consejo de FY2024 (árabe)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https://azmsa-website-prod.oss-me-central-1.aliyuncs.com/s3fs-public/investors/2026-04/AR_AZMCIT_Board%20Report%202024%20copy.pdf?VersionId=CAEQeBiBgMDBxpmv7BkiIDgxZDdlNDA5YmY3MzQyMDE4NmE1YWRiY2YyMzY1YzUz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IT Services Market Size, Share &amp; Report 2034 (12.091,5 M USD en 2025; 22.065,7 M en 2034; +6,91 % anual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https://www.imarcgroup.com/saudi-arabia-it-services-market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EBITDA, márgenes, crecimiento y múltiplos de solutions by stc, Elm, 2P, MIS, Arab Sea, Edarat, Infosys, Cognizant y EPAM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https://finance.yahoo.com/quote/7202.SR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AZM signs strategic partnership agreement with Elm (5 años, reparto de ingresos de proyectos conjuntos; sin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https://www.argaam.com/en/article/articledetail/id/1933168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awarded project contract with Ministry of Human Resources (plataforma de ayudas sociales; adjudicación 16/19-jul-2026; &gt; 5 % de las ventas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https://english.mubasher.info/news/4643663/Saudi-Azm-awarded-project-contract-with-Ministry-of-Human-Resources/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Azm: Wasl platform licensed by SAMA for digital brokerage (licencia del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https://www.argaam.com/en/article/articledetail/id/1927310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announces new board leadership for 2nd term (22-jun-2026 a 21-jun-2030; presidente Majed Al-Osaimi, vicepresidente Ahmed Al-Haqbani, consejero delegado Ali Al-Ballaa)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https://english.mubasher.info/news/4634594/Saudi-Azm-announces-new-board-leadership-for-2nd-term/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signs MoU to acquire 100% of AZM FinTech (no vinculante, 12 meses; vinculadas: presidente, consejero delegado y Firas Al-Mosli; asesor Alistithmar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https://www.argaam.com/en/article/articledetail/id/1925086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invites shareholders to vote on share buyback, contracts (junta del 5-nov-2026: recompra de 3,6 M acciones; contratos marco de 5 años con Azm Digital 105,79 M, AZM FinTech 74,67 M, Machine Learning 9,98 M y Real Estate Technologies 1,17 M; consejo a 6 miembros; 0,58 M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https://english.mubasher.info/news/4685736/Saudi-Azm-invites-shareholders-to-vote-on-share-buyback-contracts/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sees 40% profit rise through June 2027 on PPP projects; backlog tops SAR 300M (titular; texto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https://www.argaam.com/en/article/articledetail/id/1934680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7211.SR, KSA e IGV (bolsa.mjs) y movimiento (movimiento.mjs) hasta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https://finance.yahoo.com/quote/7211.SR/history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(AZM): cotización del 19-oct-2026 (29,52 SAR, +2,57 %; 464.984 acciones; 13,85 M SAR; media de 3 meses 5,39 M SAR), capitalización,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https://www.argaam.com/en/company/companyoverview/marketid/3/companyid/4/13995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(7211.SR y comparables): múltiplos, márgenes, estimaciones; tipos de cambio (USDSAR 3,7522)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https://finance.yahoo.com/quote/7211.SR/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 Capital previews Q3 2026 earnings (Saudi Azm, 1T FY2027: 17 M, +112,2 %)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https://www.argaam.com/en/article/articledetail/id/1942966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 Capital previews Q2 2026 earnings (Saudi Azm, 4T FY2026: 13 M, +7 %; real 16,2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https://www.argaam.com/en/article/articledetail/id/1919771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 Capital sets recommendation, TP for Saudi Azm (sobreponderar; objetivo elevado, cifra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https://www.argaam.com/en/article/articledetail/id/1939368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 the Saudi Exchange with your IBKR account (acceso de clientes minoristas extranjeros vía SNB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https://interactivebrokers.ie/en/trading/saudi-exchange.php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Azm to vote on repurchasing up to 3.6M treasury shares on Nov. 5 (acciones propias 2,92 %; 6 % del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https://www.argaam.com/en/article/articledetail/id/1944283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76,5 %</w:t>
      </w:r>
      <w:r>
        <w:t xml:space="preserve"> · Secciones con menos del 60 % de campos cubiertos: </w:t>
      </w:r>
      <w:r>
        <w:rPr>
          <w:b/>
          <w:bCs/>
        </w:rPr>
        <w:t xml:space="preserve">capital, transacciones, sentimiento, gobierno</w:t>
      </w:r>
      <w:r>
        <w:t xml:space="preserve"> · Generado el 19 oct 2026.</w:t>
      </w:r>
    </w:p>
    <w:p>
      <w:pPr>
        <w:pStyle w:val="Nota"/>
        <w:spacing w:after="100"/>
      </w:pPr>
      <w:r>
        <w:t xml:space="preserve">Ejercicio a 30 de JUNIO (FY2026 = jul-2025 a jun-2026), no a 31-dic como decía el encargo; los trimestres llevan etiqueta fiscal (1T26 = jul-sep 2025) y el objetivo a 12 meses usa FY2028e (jul-2027 a jun-2028), el primer ejercicio que cierra más de 18 meses después del corte. Cotiza en el mercado principal de Tadawul, en SAR (anclado al USD a 3,75) y de domingo a jueves; se puede comprar desde IBKR (acceso minorista vía SNB Capital, permiso «Saudi Arabia») [31]. Liquidez justa: ≈ 200.000 acciones y ≈ 5,4 M SAR (1,4 M USD) al día de media en tres meses; una posición de 1.000-5.000 EUR es &lt; 0,5 % de una sesión, pero con horquillas amplias conviene orden limitada [22, 23]. Cuentas: sin XBRL; se leyeron en árabe las cuentas auditadas de FY2022-FY2025 y los intermedios de FY2026 (de estos, los estados están escaneados y solo las notas se leen como texto) [1, 2, 3, 4, 5, 6, 7]. Las cuentas auditadas de FY2026 aún no están publicadas en la web de la empresa: la cuenta de FY2026 sale del anuncio a Tadawul y de Yahoo, y el balance y los flujos de FY2026, de Stock Analysis (fuente SECUNDARIA) [8, 9, 10]. Índice: el TASI no tiene serie en Yahoo; beta y rentabilidades relativas contra el ETF KSA [22]. Precio: cierre del 19-oct-2026 (29,52 SAR; Tadawul cierra ≈ 15:00 hora de Riad, 12:00 UTC) [23]. Fecha de los próximos resultados (1T FY2027) estimada: el calendario de Tadawul no es accesible. Sin foros ni redes con opiniones útiles: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Saudi Azm for Communication and Information Technology Company (7211.SR)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29,52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(20,16 – 32,40)</c:v>
                </c:pt>
                <c:pt idx="1">
                  <c:v>DCF (WACC y g ± 0,5) (12,18 – 14,18)</c:v>
                </c:pt>
                <c:pt idx="2">
                  <c:v>Escenarios (bajista – alcista) (7,21 – 17,57)</c:v>
                </c:pt>
                <c:pt idx="3">
                  <c:v>DCF con la prima implícita del mercado (4,2 %)</c:v>
                </c:pt>
                <c:pt idx="4">
                  <c:v>Precio actual (29,52)</c:v>
                </c:pt>
              </c:strCache>
            </c:strRef>
          </c:cat>
          <c:val>
            <c:numRef>
              <c:f>Hoja1!$B$2:$B$6</c:f>
              <c:numCache>
                <c:formatCode>#,##0.0</c:formatCode>
                <c:ptCount val="5"/>
                <c:pt idx="0">
                  <c:v>20.16</c:v>
                </c:pt>
                <c:pt idx="1">
                  <c:v>12.18</c:v>
                </c:pt>
                <c:pt idx="2">
                  <c:v>7.21</c:v>
                </c:pt>
                <c:pt idx="3">
                  <c:v>13.9</c:v>
                </c:pt>
                <c:pt idx="4">
                  <c:v>29.37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(20,16 – 32,40)</c:v>
                </c:pt>
                <c:pt idx="1">
                  <c:v>DCF (WACC y g ± 0,5) (12,18 – 14,18)</c:v>
                </c:pt>
                <c:pt idx="2">
                  <c:v>Escenarios (bajista – alcista) (7,21 – 17,57)</c:v>
                </c:pt>
                <c:pt idx="3">
                  <c:v>DCF con la prima implícita del mercado (4,2 %)</c:v>
                </c:pt>
                <c:pt idx="4">
                  <c:v>Precio actual (29,52)</c:v>
                </c:pt>
              </c:strCache>
            </c:strRef>
          </c:cat>
          <c:val>
            <c:numRef>
              <c:f>Hoja1!$C$2:$C$6</c:f>
              <c:numCache>
                <c:formatCode>#,##0.0</c:formatCode>
                <c:ptCount val="5"/>
                <c:pt idx="0">
                  <c:v>12.239999999999998</c:v>
                </c:pt>
                <c:pt idx="1">
                  <c:v>2</c:v>
                </c:pt>
                <c:pt idx="2">
                  <c:v>10.36</c:v>
                </c:pt>
                <c:pt idx="3">
                  <c:v>1.5399999999999991</c:v>
                </c:pt>
                <c:pt idx="4">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Servicios a empresas y Administración</c:v>
                </c:pt>
              </c:strCache>
            </c:strRef>
          </c:tx>
          <c:spPr>
            <a:solidFill>
              <a:srgbClr val="2A78D6"/>
            </a:solidFill>
            <a:ln w="12700">
              <a:solidFill>
                <a:srgbClr val="FFFFFF"/>
              </a:solidFill>
            </a:ln>
          </c:spPr>
          <c:invertIfNegative val="0"/>
          <c:cat>
            <c:strRef>
              <c:f>Hoja1!$A$2:$A$4</c:f>
              <c:strCache>
                <c:ptCount val="3"/>
                <c:pt idx="0">
                  <c:v>FY2024</c:v>
                </c:pt>
                <c:pt idx="1">
                  <c:v>FY2025</c:v>
                </c:pt>
                <c:pt idx="2">
                  <c:v>9M FY2026</c:v>
                </c:pt>
              </c:strCache>
            </c:strRef>
          </c:cat>
          <c:val>
            <c:numRef>
              <c:f>Hoja1!$B$2:$B$4</c:f>
              <c:numCache>
                <c:formatCode>#,##0</c:formatCode>
                <c:ptCount val="3"/>
                <c:pt idx="0">
                  <c:v>116.1</c:v>
                </c:pt>
                <c:pt idx="1">
                  <c:v>139.5</c:v>
                </c:pt>
                <c:pt idx="2">
                  <c:v>116.35</c:v>
                </c:pt>
              </c:numCache>
            </c:numRef>
          </c:val>
        </c:ser>
        <c:ser>
          <c:idx val="1"/>
          <c:order val="1"/>
          <c:tx>
            <c:strRef>
              <c:f>Hoja1!$C$1</c:f>
              <c:strCache>
                <c:ptCount val="1"/>
                <c:pt idx="0">
                  <c:v>Tecnología propia</c:v>
                </c:pt>
              </c:strCache>
            </c:strRef>
          </c:tx>
          <c:spPr>
            <a:solidFill>
              <a:srgbClr val="EB6834"/>
            </a:solidFill>
            <a:ln w="12700">
              <a:solidFill>
                <a:srgbClr val="FFFFFF"/>
              </a:solidFill>
            </a:ln>
          </c:spPr>
          <c:invertIfNegative val="0"/>
          <c:cat>
            <c:strRef>
              <c:f>Hoja1!$A$2:$A$4</c:f>
              <c:strCache>
                <c:ptCount val="3"/>
                <c:pt idx="0">
                  <c:v>FY2024</c:v>
                </c:pt>
                <c:pt idx="1">
                  <c:v>FY2025</c:v>
                </c:pt>
                <c:pt idx="2">
                  <c:v>9M FY2026</c:v>
                </c:pt>
              </c:strCache>
            </c:strRef>
          </c:cat>
          <c:val>
            <c:numRef>
              <c:f>Hoja1!$C$2:$C$4</c:f>
              <c:numCache>
                <c:formatCode>#,##0</c:formatCode>
                <c:ptCount val="3"/>
                <c:pt idx="0">
                  <c:v>58.9</c:v>
                </c:pt>
                <c:pt idx="1">
                  <c:v>50.2</c:v>
                </c:pt>
                <c:pt idx="2">
                  <c:v>39.73</c:v>
                </c:pt>
              </c:numCache>
            </c:numRef>
          </c:val>
        </c:ser>
        <c:ser>
          <c:idx val="2"/>
          <c:order val="2"/>
          <c:tx>
            <c:strRef>
              <c:f>Hoja1!$D$1</c:f>
              <c:strCache>
                <c:ptCount val="1"/>
                <c:pt idx="0">
                  <c:v>Consultoría</c:v>
                </c:pt>
              </c:strCache>
            </c:strRef>
          </c:tx>
          <c:spPr>
            <a:solidFill>
              <a:srgbClr val="1BAF7A"/>
            </a:solidFill>
            <a:ln w="12700">
              <a:solidFill>
                <a:srgbClr val="FFFFFF"/>
              </a:solidFill>
            </a:ln>
          </c:spPr>
          <c:invertIfNegative val="0"/>
          <c:cat>
            <c:strRef>
              <c:f>Hoja1!$A$2:$A$4</c:f>
              <c:strCache>
                <c:ptCount val="3"/>
                <c:pt idx="0">
                  <c:v>FY2024</c:v>
                </c:pt>
                <c:pt idx="1">
                  <c:v>FY2025</c:v>
                </c:pt>
                <c:pt idx="2">
                  <c:v>9M FY2026</c:v>
                </c:pt>
              </c:strCache>
            </c:strRef>
          </c:cat>
          <c:val>
            <c:numRef>
              <c:f>Hoja1!$D$2:$D$4</c:f>
              <c:numCache>
                <c:formatCode>#,##0</c:formatCode>
                <c:ptCount val="3"/>
                <c:pt idx="0">
                  <c:v>24.6</c:v>
                </c:pt>
                <c:pt idx="1">
                  <c:v>32.3</c:v>
                </c:pt>
                <c:pt idx="2">
                  <c:v>22.71</c:v>
                </c:pt>
              </c:numCache>
            </c:numRef>
          </c:val>
        </c:ser>
        <c:ser>
          <c:idx val="3"/>
          <c:order val="3"/>
          <c:tx>
            <c:strRef>
              <c:f>Hoja1!$E$1</c:f>
              <c:strCache>
                <c:ptCount val="1"/>
                <c:pt idx="0">
                  <c:v>Plataformas de terceros</c:v>
                </c:pt>
              </c:strCache>
            </c:strRef>
          </c:tx>
          <c:spPr>
            <a:solidFill>
              <a:srgbClr val="EDA100"/>
            </a:solidFill>
            <a:ln w="12700">
              <a:solidFill>
                <a:srgbClr val="FFFFFF"/>
              </a:solidFill>
            </a:ln>
          </c:spPr>
          <c:invertIfNegative val="0"/>
          <c:cat>
            <c:strRef>
              <c:f>Hoja1!$A$2:$A$4</c:f>
              <c:strCache>
                <c:ptCount val="3"/>
                <c:pt idx="0">
                  <c:v>FY2024</c:v>
                </c:pt>
                <c:pt idx="1">
                  <c:v>FY2025</c:v>
                </c:pt>
                <c:pt idx="2">
                  <c:v>9M FY2026</c:v>
                </c:pt>
              </c:strCache>
            </c:strRef>
          </c:cat>
          <c:val>
            <c:numRef>
              <c:f>Hoja1!$E$2:$E$4</c:f>
              <c:numCache>
                <c:formatCode>#,##0</c:formatCode>
                <c:ptCount val="3"/>
                <c:pt idx="0">
                  <c:v>18</c:v>
                </c:pt>
                <c:pt idx="1">
                  <c:v>31.1</c:v>
                </c:pt>
                <c:pt idx="2">
                  <c:v>41.62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(9M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Servicios a empresas y Administración</c:v>
                </c:pt>
                <c:pt idx="1">
                  <c:v>Tecnología propia</c:v>
                </c:pt>
                <c:pt idx="2">
                  <c:v>Consultoría</c:v>
                </c:pt>
                <c:pt idx="3">
                  <c:v>Plataformas de terceros</c:v>
                </c:pt>
              </c:strCache>
            </c:strRef>
          </c:cat>
          <c:val>
            <c:numRef>
              <c:f>Hoja1!$B$2:$B$5</c:f>
              <c:numCache>
                <c:formatCode>General</c:formatCode>
                <c:ptCount val="4"/>
                <c:pt idx="0">
                  <c:v>52.8</c:v>
                </c:pt>
                <c:pt idx="1">
                  <c:v>18</c:v>
                </c:pt>
                <c:pt idx="2">
                  <c:v>10.3</c:v>
                </c:pt>
                <c:pt idx="3">
                  <c:v>18.9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Arabia Saudí</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2034e</c:v>
                </c:pt>
              </c:strCache>
            </c:strRef>
          </c:cat>
          <c:val>
            <c:numRef>
              <c:f>Hoja1!$B$2:$B$3</c:f>
              <c:numCache>
                <c:formatCode>#,##0</c:formatCode>
                <c:ptCount val="2"/>
                <c:pt idx="0">
                  <c:v>12091.5</c:v>
                </c:pt>
                <c:pt idx="1">
                  <c:v>22065.7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Saudi Azm</c:v>
                </c:pt>
                <c:pt idx="1">
                  <c:v>Arabian Internet and Communications Services (solutions by stc)</c:v>
                </c:pt>
                <c:pt idx="2">
                  <c:v>Elm</c:v>
                </c:pt>
                <c:pt idx="3">
                  <c:v>Al Moammar Information Systems (MIS)</c:v>
                </c:pt>
                <c:pt idx="4">
                  <c:v>Perfect Presentation (2P)</c:v>
                </c:pt>
                <c:pt idx="5">
                  <c:v>Edarat Communication and Information Technology</c:v>
                </c:pt>
              </c:strCache>
            </c:strRef>
          </c:cat>
          <c:val>
            <c:numRef>
              <c:f>Hoja1!$B$2:$B$7</c:f>
              <c:numCache>
                <c:formatCode>0.0"%"</c:formatCode>
                <c:ptCount val="6"/>
                <c:pt idx="0">
                  <c:v>15.6</c:v>
                </c:pt>
                <c:pt idx="1">
                  <c:v>15.6</c:v>
                </c:pt>
                <c:pt idx="2">
                  <c:v>20.8</c:v>
                </c:pt>
                <c:pt idx="3">
                  <c:v>8.8</c:v>
                </c:pt>
                <c:pt idx="4">
                  <c:v>15.9</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1</c:v>
                </c:pt>
                <c:pt idx="3">
                  <c:v>1</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FY2022</c:v>
                </c:pt>
                <c:pt idx="1">
                  <c:v>FY2023</c:v>
                </c:pt>
                <c:pt idx="2">
                  <c:v>FY2024</c:v>
                </c:pt>
                <c:pt idx="3">
                  <c:v>FY2025</c:v>
                </c:pt>
                <c:pt idx="4">
                  <c:v>FY2026</c:v>
                </c:pt>
                <c:pt idx="5">
                  <c:v>FY2027e</c:v>
                </c:pt>
                <c:pt idx="6">
                  <c:v>FY2028e</c:v>
                </c:pt>
                <c:pt idx="7">
                  <c:v>FY2029e</c:v>
                </c:pt>
                <c:pt idx="8">
                  <c:v>FY2030e</c:v>
                </c:pt>
                <c:pt idx="9">
                  <c:v>FY2031e</c:v>
                </c:pt>
                <c:pt idx="10">
                  <c:v>FY2032e</c:v>
                </c:pt>
              </c:strCache>
            </c:strRef>
          </c:cat>
          <c:val>
            <c:numRef>
              <c:f>Hoja1!$B$2:$B$12</c:f>
              <c:numCache>
                <c:formatCode>#,##0</c:formatCode>
                <c:ptCount val="11"/>
                <c:pt idx="0">
                  <c:v>152.56</c:v>
                </c:pt>
                <c:pt idx="1">
                  <c:v>170.83</c:v>
                </c:pt>
                <c:pt idx="2">
                  <c:v>217.64</c:v>
                </c:pt>
                <c:pt idx="3">
                  <c:v>253.16</c:v>
                </c:pt>
                <c:pt idx="4">
                  <c:v>307.36</c:v>
                </c:pt>
                <c:pt idx="5">
                  <c:v>375</c:v>
                </c:pt>
                <c:pt idx="6">
                  <c:v>442</c:v>
                </c:pt>
                <c:pt idx="7">
                  <c:v>509</c:v>
                </c:pt>
                <c:pt idx="8">
                  <c:v>570</c:v>
                </c:pt>
                <c:pt idx="9">
                  <c:v>627</c:v>
                </c:pt>
                <c:pt idx="10">
                  <c:v>677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FY2022</c:v>
                </c:pt>
                <c:pt idx="1">
                  <c:v>FY2023</c:v>
                </c:pt>
                <c:pt idx="2">
                  <c:v>FY2024</c:v>
                </c:pt>
                <c:pt idx="3">
                  <c:v>FY2025</c:v>
                </c:pt>
                <c:pt idx="4">
                  <c:v>FY2026</c:v>
                </c:pt>
                <c:pt idx="5">
                  <c:v>FY2027e</c:v>
                </c:pt>
                <c:pt idx="6">
                  <c:v>FY2028e</c:v>
                </c:pt>
                <c:pt idx="7">
                  <c:v>FY2029e</c:v>
                </c:pt>
                <c:pt idx="8">
                  <c:v>FY2030e</c:v>
                </c:pt>
                <c:pt idx="9">
                  <c:v>FY2031e</c:v>
                </c:pt>
                <c:pt idx="10">
                  <c:v>FY2032e</c:v>
                </c:pt>
              </c:strCache>
            </c:strRef>
          </c:cat>
          <c:val>
            <c:numRef>
              <c:f>Hoja1!$C$2:$C$12</c:f>
              <c:numCache>
                <c:formatCode>#,##0</c:formatCode>
                <c:ptCount val="11"/>
                <c:pt idx="0">
                  <c:v>15.54</c:v>
                </c:pt>
                <c:pt idx="1">
                  <c:v>19.55</c:v>
                </c:pt>
                <c:pt idx="2">
                  <c:v>30.26</c:v>
                </c:pt>
                <c:pt idx="3">
                  <c:v>36.52</c:v>
                </c:pt>
                <c:pt idx="4">
                  <c:v>52.93</c:v>
                </c:pt>
                <c:pt idx="5">
                  <c:v>71</c:v>
                </c:pt>
                <c:pt idx="6">
                  <c:v>84</c:v>
                </c:pt>
                <c:pt idx="7">
                  <c:v>94</c:v>
                </c:pt>
                <c:pt idx="8">
                  <c:v>103</c:v>
                </c:pt>
                <c:pt idx="9">
                  <c:v>110</c:v>
                </c:pt>
                <c:pt idx="10">
                  <c:v>115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20.2</c:v>
                </c:pt>
                <c:pt idx="1">
                  <c:v>22.5</c:v>
                </c:pt>
                <c:pt idx="2">
                  <c:v>26.6</c:v>
                </c:pt>
                <c:pt idx="3">
                  <c:v>29</c:v>
                </c:pt>
                <c:pt idx="4">
                  <c:v>32.5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10.2</c:v>
                </c:pt>
                <c:pt idx="1">
                  <c:v>11.4</c:v>
                </c:pt>
                <c:pt idx="2">
                  <c:v>13.9</c:v>
                </c:pt>
                <c:pt idx="3">
                  <c:v>14.4</c:v>
                </c:pt>
                <c:pt idx="4">
                  <c:v>17.2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9.5</c:v>
                </c:pt>
                <c:pt idx="1">
                  <c:v>10.1</c:v>
                </c:pt>
                <c:pt idx="2">
                  <c:v>12.7</c:v>
                </c:pt>
                <c:pt idx="3">
                  <c:v>12.8</c:v>
                </c:pt>
                <c:pt idx="4">
                  <c:v>15.6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12.5</c:v>
                </c:pt>
                <c:pt idx="1">
                  <c:v>13.5</c:v>
                </c:pt>
                <c:pt idx="2">
                  <c:v>12.8</c:v>
                </c:pt>
                <c:pt idx="3">
                  <c:v>14.8</c:v>
                </c:pt>
                <c:pt idx="4">
                  <c:v>16.6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3T25</c:v>
                </c:pt>
                <c:pt idx="1">
                  <c:v>4T25</c:v>
                </c:pt>
                <c:pt idx="2">
                  <c:v>1T26</c:v>
                </c:pt>
                <c:pt idx="3">
                  <c:v>2T26</c:v>
                </c:pt>
                <c:pt idx="4">
                  <c:v>3T26</c:v>
                </c:pt>
                <c:pt idx="5">
                  <c:v>4T26</c:v>
                </c:pt>
              </c:strCache>
            </c:strRef>
          </c:cat>
          <c:val>
            <c:numRef>
              <c:f>Hoja1!$B$2:$B$7</c:f>
              <c:numCache>
                <c:formatCode>0.0"%"</c:formatCode>
                <c:ptCount val="6"/>
                <c:pt idx="4">
                  <c:v>17.5</c:v>
                </c:pt>
                <c:pt idx="5">
                  <c:v>35.7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3T25</c:v>
                </c:pt>
                <c:pt idx="1">
                  <c:v>4T25</c:v>
                </c:pt>
                <c:pt idx="2">
                  <c:v>1T26</c:v>
                </c:pt>
                <c:pt idx="3">
                  <c:v>2T26</c:v>
                </c:pt>
                <c:pt idx="4">
                  <c:v>3T26</c:v>
                </c:pt>
                <c:pt idx="5">
                  <c:v>4T26</c:v>
                </c:pt>
              </c:strCache>
            </c:strRef>
          </c:cat>
          <c:val>
            <c:numRef>
              <c:f>Hoja1!$C$2:$C$7</c:f>
              <c:numCache>
                <c:formatCode>0.0"%"</c:formatCode>
                <c:ptCount val="6"/>
                <c:pt idx="4">
                  <c:v>17.5</c:v>
                </c:pt>
                <c:pt idx="5">
                  <c:v>35.7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59</c:v>
                </c:pt>
                <c:pt idx="1">
                  <c:v>95</c:v>
                </c:pt>
                <c:pt idx="2">
                  <c:v>196</c:v>
                </c:pt>
                <c:pt idx="3">
                  <c:v>166</c:v>
                </c:pt>
                <c:pt idx="4">
                  <c:v>160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76</c:v>
                </c:pt>
                <c:pt idx="1">
                  <c:v>80</c:v>
                </c:pt>
                <c:pt idx="2">
                  <c:v>154</c:v>
                </c:pt>
                <c:pt idx="3">
                  <c:v>155</c:v>
                </c:pt>
                <c:pt idx="4">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24.95</c:v>
                </c:pt>
                <c:pt idx="1">
                  <c:v>29.560000000000002</c:v>
                </c:pt>
                <c:pt idx="2">
                  <c:v>-4.34</c:v>
                </c:pt>
                <c:pt idx="3">
                  <c:v>92.53</c:v>
                </c:pt>
                <c:pt idx="4">
                  <c:v>4.360000000000003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19.1</c:v>
                </c:pt>
                <c:pt idx="1">
                  <c:v>23.08</c:v>
                </c:pt>
                <c:pt idx="2">
                  <c:v>27.95</c:v>
                </c:pt>
                <c:pt idx="3">
                  <c:v>37.45</c:v>
                </c:pt>
                <c:pt idx="4">
                  <c:v>50.99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59.3</c:v>
                </c:pt>
                <c:pt idx="1">
                  <c:v>94.8</c:v>
                </c:pt>
                <c:pt idx="2">
                  <c:v>72.7</c:v>
                </c:pt>
                <c:pt idx="3">
                  <c:v>88.2</c:v>
                </c:pt>
                <c:pt idx="4">
                  <c:v>118.9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12.7</c:v>
                </c:pt>
                <c:pt idx="1">
                  <c:v>12.7</c:v>
                </c:pt>
                <c:pt idx="2">
                  <c:v>12.7</c:v>
                </c:pt>
                <c:pt idx="3">
                  <c:v>12.7</c:v>
                </c:pt>
                <c:pt idx="4">
                  <c:v>12.7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36.8</c:v>
                </c:pt>
                <c:pt idx="1">
                  <c:v>38.4</c:v>
                </c:pt>
                <c:pt idx="2">
                  <c:v>35.6</c:v>
                </c:pt>
                <c:pt idx="3">
                  <c:v>32.7</c:v>
                </c:pt>
                <c:pt idx="4">
                  <c:v>31.7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-1.87</c:v>
                </c:pt>
                <c:pt idx="1">
                  <c:v>-2.96</c:v>
                </c:pt>
                <c:pt idx="2">
                  <c:v>-1.12</c:v>
                </c:pt>
                <c:pt idx="3">
                  <c:v>-3.57</c:v>
                </c:pt>
                <c:pt idx="4">
                  <c:v>-2.24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5.81</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11.13</c:v>
                </c:pt>
                <c:pt idx="2">
                  <c:v>12.01</c:v>
                </c:pt>
                <c:pt idx="3">
                  <c:v>0.23</c:v>
                </c:pt>
                <c:pt idx="4">
                  <c:v>29.81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Ejecutivo</c:v>
                </c:pt>
              </c:strCache>
            </c:strRef>
          </c:cat>
          <c:val>
            <c:numRef>
              <c:f>Hoja1!$B$2:$B$4</c:f>
              <c:numCache>
                <c:formatCode>0</c:formatCode>
                <c:ptCount val="3"/>
                <c:pt idx="0">
                  <c:v>1</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Majed Saad Al-Osaimi</c:v>
                </c:pt>
                <c:pt idx="1">
                  <c:v>Ali Mohammed Al-Ballaa</c:v>
                </c:pt>
                <c:pt idx="2">
                  <c:v>Acciones propias (plan de empleados)</c:v>
                </c:pt>
              </c:strCache>
            </c:strRef>
          </c:cat>
          <c:val>
            <c:numRef>
              <c:f>Hoja1!$B$2:$B$4</c:f>
              <c:numCache>
                <c:formatCode>0.0"%"</c:formatCode>
                <c:ptCount val="3"/>
                <c:pt idx="0">
                  <c:v>20.4</c:v>
                </c:pt>
                <c:pt idx="1">
                  <c:v>20.4</c:v>
                </c:pt>
                <c:pt idx="2">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26.7</c:v>
                </c:pt>
                <c:pt idx="1">
                  <c:v>221.1</c:v>
                </c:pt>
                <c:pt idx="2">
                  <c:v>-27.8</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15</c:v>
                </c:pt>
                <c:pt idx="1">
                  <c:v>-0.2</c:v>
                </c:pt>
                <c:pt idx="2">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29</c:v>
                </c:pt>
                <c:pt idx="1">
                  <c:v>31.9</c:v>
                </c:pt>
                <c:pt idx="2">
                  <c:v>33.1</c:v>
                </c:pt>
                <c:pt idx="3">
                  <c:v>49.4</c:v>
                </c:pt>
                <c:pt idx="4">
                  <c:v>22.1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31.9</c:v>
                </c:pt>
                <c:pt idx="1">
                  <c:v>31.9</c:v>
                </c:pt>
                <c:pt idx="2">
                  <c:v>31.9</c:v>
                </c:pt>
                <c:pt idx="3">
                  <c:v>31.9</c:v>
                </c:pt>
                <c:pt idx="4">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FY2027e</c:v>
                </c:pt>
                <c:pt idx="1">
                  <c:v>FY2028e</c:v>
                </c:pt>
                <c:pt idx="2">
                  <c:v>FY2029e</c:v>
                </c:pt>
                <c:pt idx="3">
                  <c:v>FY2030e</c:v>
                </c:pt>
                <c:pt idx="4">
                  <c:v>FY2031e</c:v>
                </c:pt>
                <c:pt idx="5">
                  <c:v>FY2032e</c:v>
                </c:pt>
              </c:strCache>
            </c:strRef>
          </c:cat>
          <c:val>
            <c:numRef>
              <c:f>Hoja1!$B$2:$B$7</c:f>
              <c:numCache>
                <c:formatCode>#,##0</c:formatCode>
                <c:ptCount val="6"/>
                <c:pt idx="0">
                  <c:v>36</c:v>
                </c:pt>
                <c:pt idx="1">
                  <c:v>47</c:v>
                </c:pt>
                <c:pt idx="2">
                  <c:v>58</c:v>
                </c:pt>
                <c:pt idx="3">
                  <c:v>64</c:v>
                </c:pt>
                <c:pt idx="4">
                  <c:v>76</c:v>
                </c:pt>
                <c:pt idx="5">
                  <c:v>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241</c:v>
                </c:pt>
                <c:pt idx="1">
                  <c:v>423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29,52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7.21</c:v>
                </c:pt>
                <c:pt idx="1">
                  <c:v>13.08</c:v>
                </c:pt>
                <c:pt idx="2">
                  <c:v>17.57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29,52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(20,16 – 32,40)</c:v>
                </c:pt>
                <c:pt idx="1">
                  <c:v>DCF (WACC y g ± 0,5) (12,18 – 14,18)</c:v>
                </c:pt>
                <c:pt idx="2">
                  <c:v>Escenarios (bajista – alcista) (7,21 – 17,57)</c:v>
                </c:pt>
                <c:pt idx="3">
                  <c:v>DCF con la prima implícita del mercado (4,2 %)</c:v>
                </c:pt>
                <c:pt idx="4">
                  <c:v>Precio actual (29,52)</c:v>
                </c:pt>
              </c:strCache>
            </c:strRef>
          </c:cat>
          <c:val>
            <c:numRef>
              <c:f>Hoja1!$B$2:$B$6</c:f>
              <c:numCache>
                <c:formatCode>#,##0.0</c:formatCode>
                <c:ptCount val="5"/>
                <c:pt idx="0">
                  <c:v>20.16</c:v>
                </c:pt>
                <c:pt idx="1">
                  <c:v>12.18</c:v>
                </c:pt>
                <c:pt idx="2">
                  <c:v>7.21</c:v>
                </c:pt>
                <c:pt idx="3">
                  <c:v>13.9</c:v>
                </c:pt>
                <c:pt idx="4">
                  <c:v>29.37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(20,16 – 32,40)</c:v>
                </c:pt>
                <c:pt idx="1">
                  <c:v>DCF (WACC y g ± 0,5) (12,18 – 14,18)</c:v>
                </c:pt>
                <c:pt idx="2">
                  <c:v>Escenarios (bajista – alcista) (7,21 – 17,57)</c:v>
                </c:pt>
                <c:pt idx="3">
                  <c:v>DCF con la prima implícita del mercado (4,2 %)</c:v>
                </c:pt>
                <c:pt idx="4">
                  <c:v>Precio actual (29,52)</c:v>
                </c:pt>
              </c:strCache>
            </c:strRef>
          </c:cat>
          <c:val>
            <c:numRef>
              <c:f>Hoja1!$C$2:$C$6</c:f>
              <c:numCache>
                <c:formatCode>#,##0.0</c:formatCode>
                <c:ptCount val="5"/>
                <c:pt idx="0">
                  <c:v>12.239999999999998</c:v>
                </c:pt>
                <c:pt idx="1">
                  <c:v>2</c:v>
                </c:pt>
                <c:pt idx="2">
                  <c:v>10.36</c:v>
                </c:pt>
                <c:pt idx="3">
                  <c:v>1.5399999999999991</c:v>
                </c:pt>
                <c:pt idx="4">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