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SFS Group AG</w:t>
      </w:r>
    </w:p>
    <w:p>
      <w:pPr>
        <w:spacing w:after="60"/>
        <w:rPr>
          <w:color w:val="52514E"/>
          <w:sz w:val="22"/>
          <w:szCs w:val="22"/>
        </w:rPr>
      </w:pPr>
      <w:r>
        <w:rPr>
          <w:color w:val="52514E"/>
          <w:sz w:val="22"/>
          <w:szCs w:val="22"/>
        </w:rPr>
        <w:t xml:space="preserve">SFSN · SIX Swiss Exchange · ISIN CH0239229302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140,60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144,13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+4,3 % (base +2,9 %)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141,21 CHF · mercado 171,77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5.467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SFS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SFSN / CH0239229302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y componentes industriales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Heerbrugg (Widnau, San Galo) · 1928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https://www.sfs.com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140,60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98,30 – 146,40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5.467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5.807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 M CHF/día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144,13 CHF</w:t>
      </w:r>
      <w:r>
        <w:t xml:space="preserve"> frente a 140,60 · Rentabilidad a 12 meses </w:t>
      </w:r>
      <w:r>
        <w:rPr>
          <w:b/>
          <w:bCs/>
        </w:rPr>
        <w:t xml:space="preserve">+4,3 % (base +2,9 %)</w:t>
      </w:r>
      <w:r>
        <w:t xml:space="preserve"> · Valor intrínseco 141,21 CHF · con la prima implícita del mercado: 171,77 (+22,2 %) · Alcista / bajista +5,4 % / -31,9 %</w:t>
      </w:r>
    </w:p>
    <w:p>
      <w:pPr>
        <w:spacing w:after="100"/>
      </w:pPr>
      <w:r>
        <w:rPr>
          <w:b/>
        </w:rPr>
        <w:t xml:space="preserve">La recomendación y por qué.</w:t>
      </w:r>
      <w:r>
        <w:t xml:space="preserve"> Mantener, con convicción baja. El objetivo a 12 meses es de 144,13 CHF, un 4,3 % de rentabilidad ponderada con el dividendo y un 2,9 % en el caso base, frente a un precio de 140,60 CHF; el valor intrínseco es de 141,21 CHF (+0,4 %) y el objetivo medio de los analistas, de 142 CHF [22]. La asimetría es mala: el bajista pierde un 31,9 % y el alcista gana un 5,4 %. La razón principal: tras subir un 29 % en el año, el precio ya descuenta la recuperación del margen que esperamos. La convicción es baja porque la única regla que daría Comprar es la relativa, y solo por la tasa de descuento (con la prima del mercado el valor sube a 171,77 CHF), no por las cifras, que coinciden con el consenso; subiría con un margen EBIT ajustado de 2026 por encima del 14 %.</w:t>
      </w:r>
    </w:p>
    <w:p>
      <w:pPr>
        <w:spacing w:after="100"/>
      </w:pPr>
      <w:r>
        <w:rPr>
          <w:b/>
        </w:rPr>
        <w:t xml:space="preserve">El negocio.</w:t>
      </w:r>
      <w:r>
        <w:t xml:space="preserve"> SFS fabrica componentes de precisión y fijaciones y, desde la compra de Hoffmann en 2022, distribuye herramientas. El negocio operativo es bueno (ROIC del 14,8 % sin fondo de comercio y ROCE del 21,1 %), pero con el fondo de comercio de las compras el ROIC es del 8,1 %, solo 1,4 puntos sobre el WACC del 6,70 % [1]: veredicto de calidad «En parte», no pasa el requisito de 5 puntos. La sostenibilidad del crecimiento es «En parte»: el 3,1 % anual proyectado es financiable, pero el ROIC incremental histórico es del 2,4 %.</w:t>
      </w:r>
    </w:p>
    <w:p>
      <w:pPr>
        <w:spacing w:after="100"/>
      </w:pPr>
      <w:r>
        <w:rPr>
          <w:b/>
        </w:rPr>
        <w:t xml:space="preserve">Sector y ciclo.</w:t>
      </w:r>
      <w:r>
        <w:t xml:space="preserve"> Mercado fragmentado de unos 88.000 M CHF que crece un 3,7 % al año [11]. SFS está en recuperación: orgánico del 2,9 % en 2025 y del 4,0 % en el 1S26, tirado por la electrónica (móviles y discos duros de centros de datos) y la aeronáutica, mientras construcción e industria alemana solo mejoran un poco [1, 2].</w:t>
      </w:r>
    </w:p>
    <w:p>
      <w:pPr>
        <w:spacing w:after="100"/>
      </w:pPr>
      <w:r>
        <w:rPr>
          <w:b/>
        </w:rPr>
        <w:t xml:space="preserve">Finanzas.</w:t>
      </w:r>
      <w:r>
        <w:t xml:space="preserve"> Balance sólido (deuda neta de 320 M en junio, unas 0,6 veces el EBITDA) y caja libre operativa de 274 M en 2025 [1, 2]. Las cuentas son Swiss GAAP FER: el fondo de comercio no pasa por la cuenta y el alquiler está en el EBITDA, lo que hace parecer baratos los múltiplos de EBITDA.</w:t>
      </w:r>
    </w:p>
    <w:p>
      <w:pPr>
        <w:spacing w:after="100"/>
      </w:pPr>
      <w:r>
        <w:rPr>
          <w:b/>
        </w:rPr>
        <w:t xml:space="preserve">Equipo y gobierno.</w:t>
      </w:r>
      <w:r>
        <w:t xml:space="preserve"> Equipo estable que cumple la guía de margen. Las familias fundadoras controlan el 53,3 %; el variable a largo plazo es discrecional y un 41 % del capital libre votó contra el informe de remuneración de 2026 [18].</w:t>
      </w:r>
    </w:p>
    <w:p>
      <w:pPr>
        <w:spacing w:after="100"/>
      </w:pPr>
      <w:r>
        <w:rPr>
          <w:b/>
        </w:rPr>
        <w:t xml:space="preserve">Valoración.</w:t>
      </w:r>
      <w:r>
        <w:t xml:space="preserve"> El DCF da 133,60 CHF; el precio descuenta un crecimiento del 5,7 % anual frente a nuestro 3,3 %, o un margen EBITDA del 18,1 % frente al 17,5 %. Cotiza a 18,5 veces nuestro BPA de 2027, por encima de su mediana adelantada de 16,8 veces y por debajo de los comparables (24,7 veces), que rinden el triple sobre el capital. Coincidimos con el consenso en el beneficio; discrepamos en que haya recorrido.</w:t>
      </w:r>
    </w:p>
    <w:p>
      <w:pPr>
        <w:spacing w:after="100"/>
      </w:pPr>
      <w:r>
        <w:rPr>
          <w:b/>
        </w:rPr>
        <w:t xml:space="preserve">Riesgos y catalizadores.</w:t>
      </w:r>
      <w:r>
        <w:t xml:space="preserve"> El mayor riesgo es una recaída industrial europea con el automóvil (bajista −31,9 %); después, la pérdida de un programa de electrónica (−8 % a −12 %) y un franco más fuerte. El riesgo de que la IA se coma el negocio es bajo: vende piezas físicas cualificadas; la IA ayuda por los discos duros de centros de datos y presiona algo el catálogo de Hoffmann. Catalizadores: ventas de 2026 en enero y anual el 26-feb-2027. Los foros apenas existen y no cambian la tesis.</w:t>
      </w:r>
    </w:p>
    <w:p>
      <w:pPr>
        <w:spacing w:after="100"/>
      </w:pPr>
      <w:r>
        <w:rPr>
          <w:b/>
        </w:rPr>
        <w:t xml:space="preserve">Qué cambiaría la decisión.</w:t>
      </w:r>
      <w:r>
        <w:t xml:space="preserve"> Compraríamos por debajo de 127,51 CHF y venderíamos por encima de 162,92 CHF. Pasaríamos a Comprar con un margen EBIT ajustado de 2026 por encima del 14 % y una guía de 2027 que lo mantenga; a Vender, si el orgánico de D&amp;L vuelve a ser negativo o la electrónica cae en el segundo semestre.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144,13 CHF</w:t>
      </w:r>
      <w:r>
        <w:t xml:space="preserve"> (rentabilidad +4,3 % (base +2,9 %)) · Valor intrínseco: 141,21 CHF (+0,4 % sobre 140,60) · con la prima implícita del mercado: 171,77 (+22,2 %)</w:t>
      </w:r>
    </w:p>
    <w:p>
      <w:pPr>
        <w:spacing w:after="100"/>
      </w:pPr>
      <w:r>
        <w:t xml:space="preserve">SFS es un fabricante suizo de componentes de precisión y fijaciones con un negocio operativo rentable (ROCE del 21,1 %, margen EBIT ajustado del 12,2 % en 2025 y del 13,3 % en el 1S26) y un distribuidor de herramientas, Hoffmann, que compró en 2022 por 1.064 M y que ha bajado el ROIC del grupo al 8,1 % con el fondo de comercio [1, 2, 5]. Genera unos 270 M de caja libre al año con poca deuda.</w:t>
      </w:r>
    </w:p>
    <w:p>
      <w:pPr>
        <w:spacing w:after="100"/>
      </w:pPr>
      <w:r>
        <w:t xml:space="preserve">A 140,60 CHF, el precio descuenta un crecimiento de las ventas del 5,7 % anual o un margen EBITDA del 18,1 %, por encima de nuestro base (3,3 % y 17,5 %). Cotiza a 18,5 veces nuestro BPA de 2027, en la parte alta de su historia adelantada (mediana de 16,8 veces), aunque por debajo de comparables con mucho más ROIC (24,7 veces).</w:t>
      </w:r>
    </w:p>
    <w:p>
      <w:pPr>
        <w:spacing w:after="100"/>
      </w:pPr>
      <w:r>
        <w:t xml:space="preserve">El mercado acierta al pagar la recuperación: el semestral batió al consenso y el programa de red productiva promete +0,8 puntos de margen [7, 10]. Para invertir hoy hay que creer en la parte alta de la guía a 2030 (4.000 M de ventas) con compras que rindan más que Hoffmann, o en una electrónica que siga creciendo a doble dígito. Nosotros no lo creemos lo bastante como para pagarlo.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144,13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6,31 = 80,77 · 17,6x × 8,08 = 142,21 · 23,8x × 8,88 = 211,34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 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142,00 (nuestro base +0,1 %)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 -31,9 %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6,7 % y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171,77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127,51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127,51 y 162,92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162,92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127,51 CHF (comprar) o por encima de 162,92 CHF (vender), con el objetivo fijo.</w:t>
      </w:r>
    </w:p>
    <w:p>
      <w:pPr>
        <w:pStyle w:val="ListParagraph"/>
        <w:numPr>
          <w:ilvl w:val="0"/>
          <w:numId w:val="2"/>
        </w:numPr>
        <w:spacing w:after="60"/>
      </w:pPr>
      <w:r>
        <w:t xml:space="preserve">Margen EBIT ajustado de 2026 por encima del 14 % con una guía de 2027 que lo mantenga: subiríamos el BPA y podríamos pasar a Comprar.</w:t>
      </w:r>
    </w:p>
    <w:p>
      <w:pPr>
        <w:pStyle w:val="ListParagraph"/>
        <w:numPr>
          <w:ilvl w:val="0"/>
          <w:numId w:val="2"/>
        </w:numPr>
        <w:spacing w:after="60"/>
      </w:pPr>
      <w:r>
        <w:t xml:space="preserve">Crecimiento orgánico de D&amp;L negativo en el 2S26 o caída de las ventas de electrónica: pasaríamos a Vender.</w:t>
      </w:r>
    </w:p>
    <w:p>
      <w:pPr>
        <w:pStyle w:val="ListParagraph"/>
        <w:numPr>
          <w:ilvl w:val="0"/>
          <w:numId w:val="2"/>
        </w:numPr>
        <w:spacing w:after="60"/>
      </w:pPr>
      <w:r>
        <w:t xml:space="preserve">Una compra de más de 300 M con margen EBIT inferior al 10 %: revisaríamos la tesis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recuperación del margen hacia la parte media-alta de la guía (12-15 %), electrónica fuerte y crecimiento con compras: un crecimiento implícito del 5,7 % anual y un PER de 18,5 veces el beneficio de 2027.</w:t>
      </w:r>
    </w:p>
    <w:p>
      <w:pPr>
        <w:keepNext/>
        <w:spacing w:after="100"/>
      </w:pPr>
      <w:r>
        <w:rPr>
          <w:b/>
          <w:bCs/>
        </w:rPr>
        <w:t xml:space="preserve">Lo que creemos nosotros.</w:t>
      </w:r>
    </w:p>
    <w:p>
      <w:pPr>
        <w:spacing w:after="100"/>
      </w:pPr>
      <w:r>
        <w:t xml:space="preserve">La recuperación es real y la compartimos en el beneficio (BPA de 8,08 CHF en 2028, en línea con el consenso), pero el ROIC con fondo de comercio del 8,1 % no justifica pagar más que la mediana histórica; el valor está en el precio.</w:t>
      </w:r>
    </w:p>
    <w:p>
      <w:pPr>
        <w:keepNext/>
        <w:spacing w:after="100"/>
      </w:pPr>
      <w:r>
        <w:rPr>
          <w:b/>
          <w:bCs/>
        </w:rPr>
        <w:t xml:space="preserve">Por qué podemos tener razón.</w:t>
      </w:r>
    </w:p>
    <w:p>
      <w:pPr>
        <w:spacing w:after="100"/>
      </w:pPr>
      <w:r>
        <w:t xml:space="preserve">La historia adelantada (16,8 veces) es la de una empresa que ha crecido comprando con un ROIC incremental del 2,4 %; el descuento frente a los comparables se explica por un ROIC tres veces menor y por el control familiar, que quita la prima de OPA.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140,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en recuperación</w:t>
      </w:r>
      <w:r>
        <w:t xml:space="preserve">: EBIT ajustado del 13,3 % en el 1S26 frente al 11,0 % del 1S25 [2].</w:t>
      </w:r>
    </w:p>
    <w:p>
      <w:pPr>
        <w:pStyle w:val="ListParagraph"/>
        <w:numPr>
          <w:ilvl w:val="0"/>
          <w:numId w:val="2"/>
        </w:numPr>
        <w:spacing w:after="60"/>
      </w:pPr>
      <w:r>
        <w:rPr>
          <w:b/>
        </w:rPr>
        <w:t xml:space="preserve">Caja y balance</w:t>
      </w:r>
      <w:r>
        <w:t xml:space="preserve">: caja libre operativa de 273,6 M en 2025 y deuda neta de solo 0,3 veces el EBITDA a fin de 2025 [1].</w:t>
      </w:r>
    </w:p>
    <w:p>
      <w:pPr>
        <w:pStyle w:val="ListParagraph"/>
        <w:numPr>
          <w:ilvl w:val="0"/>
          <w:numId w:val="2"/>
        </w:numPr>
        <w:spacing w:after="60"/>
      </w:pPr>
      <w:r>
        <w:rPr>
          <w:b/>
        </w:rPr>
        <w:t xml:space="preserve">Electrónica y aeronáutica</w:t>
      </w:r>
      <w:r>
        <w:t xml:space="preserve">: orgánico del 8,6 % en EC en el 1S26, con discos duros para centros de datos [2].</w:t>
      </w:r>
    </w:p>
    <w:p>
      <w:pPr>
        <w:pStyle w:val="ListParagraph"/>
        <w:numPr>
          <w:ilvl w:val="0"/>
          <w:numId w:val="2"/>
        </w:numPr>
        <w:spacing w:after="60"/>
      </w:pPr>
      <w:r>
        <w:rPr>
          <w:b/>
        </w:rPr>
        <w:t xml:space="preserve">Programa de red productiva</w:t>
      </w:r>
      <w:r>
        <w:t xml:space="preserve">: +0,8 pp de margen EBIT a finales de 2027, más del 60 % ejecutado [7].</w:t>
      </w:r>
    </w:p>
    <w:p>
      <w:pPr>
        <w:pStyle w:val="ListParagraph"/>
        <w:numPr>
          <w:ilvl w:val="0"/>
          <w:numId w:val="2"/>
        </w:numPr>
        <w:spacing w:after="60"/>
      </w:pPr>
      <w:r>
        <w:rPr>
          <w:b/>
        </w:rPr>
        <w:t xml:space="preserve">Equipo que cumple</w:t>
      </w:r>
      <w:r>
        <w:t xml:space="preserve">: guía de margen cumplida en 2024 y 2025 [3, 4].</w:t>
      </w:r>
    </w:p>
    <w:p>
      <w:pPr>
        <w:pStyle w:val="Heading2"/>
      </w:pPr>
      <w:r>
        <w:t xml:space="preserve">En contra</w:t>
      </w:r>
    </w:p>
    <w:p>
      <w:pPr>
        <w:pStyle w:val="ListParagraph"/>
        <w:numPr>
          <w:ilvl w:val="0"/>
          <w:numId w:val="2"/>
        </w:numPr>
        <w:spacing w:after="60"/>
      </w:pPr>
      <w:r>
        <w:rPr>
          <w:b/>
        </w:rPr>
        <w:t xml:space="preserve">ROIC con fondo de comercio del 8,1 %</w:t>
      </w:r>
      <w:r>
        <w:t xml:space="preserve">, solo 1,4 puntos sobre el WACC [1].</w:t>
      </w:r>
    </w:p>
    <w:p>
      <w:pPr>
        <w:pStyle w:val="ListParagraph"/>
        <w:numPr>
          <w:ilvl w:val="0"/>
          <w:numId w:val="2"/>
        </w:numPr>
        <w:spacing w:after="60"/>
      </w:pPr>
      <w:r>
        <w:rPr>
          <w:b/>
        </w:rPr>
        <w:t xml:space="preserve">Precio exigente</w:t>
      </w:r>
      <w:r>
        <w:t xml:space="preserve">: descuenta un crecimiento del 5,7 % anual frente al 3,3 % del base.</w:t>
      </w:r>
    </w:p>
    <w:p>
      <w:pPr>
        <w:pStyle w:val="ListParagraph"/>
        <w:numPr>
          <w:ilvl w:val="0"/>
          <w:numId w:val="2"/>
        </w:numPr>
        <w:spacing w:after="60"/>
      </w:pPr>
      <w:r>
        <w:rPr>
          <w:b/>
        </w:rPr>
        <w:t xml:space="preserve">Asimetría mala</w:t>
      </w:r>
      <w:r>
        <w:t xml:space="preserve">: bajista −31,9 % frente a alcista +5,4 %.</w:t>
      </w:r>
    </w:p>
    <w:p>
      <w:pPr>
        <w:pStyle w:val="ListParagraph"/>
        <w:numPr>
          <w:ilvl w:val="0"/>
          <w:numId w:val="2"/>
        </w:numPr>
        <w:spacing w:after="60"/>
      </w:pPr>
      <w:r>
        <w:rPr>
          <w:b/>
        </w:rPr>
        <w:t xml:space="preserve">Ciclo europeo</w:t>
      </w:r>
      <w:r>
        <w:t xml:space="preserve">: automoción, industria y construcción son el 68 % de las ventas [1].</w:t>
      </w:r>
    </w:p>
    <w:p>
      <w:pPr>
        <w:pStyle w:val="ListParagraph"/>
        <w:numPr>
          <w:ilvl w:val="0"/>
          <w:numId w:val="2"/>
        </w:numPr>
        <w:spacing w:after="60"/>
      </w:pPr>
      <w:r>
        <w:rPr>
          <w:b/>
        </w:rPr>
        <w:t xml:space="preserve">Gobierno</w:t>
      </w:r>
      <w:r>
        <w:t xml:space="preserve">: variable a largo plazo discrecional y un 41 % del capital libre contra la remuneración [18].</w:t>
      </w:r>
    </w:p>
    <w:p>
      <w:pPr>
        <w:pStyle w:val="Heading2"/>
      </w:pPr>
      <w:r>
        <w:t xml:space="preserve">Qué tiene que pasar para que la tesis funcione</w:t>
      </w:r>
    </w:p>
    <w:p>
      <w:pPr>
        <w:spacing w:after="100"/>
      </w:pPr>
      <w:r>
        <w:t xml:space="preserve">La tesis depende de que el margen EBIT ajustado se mantenga por encima del 13 % con el programa completo y de que la electrónica no se dé la vuelta. La señal de que no se cumple: un segundo semestre de 2026 con margen ajustado por debajo del 12,5 % (el anual saldría por debajo del 13 %) o un crecimiento orgánico negativo en D&amp;L. Con resultados a finales de febrero de 2027, la primera prueba son las ventas de enero.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D&amp;L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44 %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de la empresa (con fondo de comercio)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 las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0,6x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en 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 / 10,5x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 / 19,0x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SFS nace en 1928 en Heerbrugg (valle del Rin de San Galo) como taller de las familias fundadoras, que aún controlan el 53 % del capital. Creció como especialista en conformado en frío y fijaciones, se internacionalizó en Asia con la compra de Unisteel (Singapur, componentes para discos duros y electrónica) y salió a bolsa en la SIX en mayo de 2014. En 2017 pasó de NIIF a Swiss GAAP FER. En 2022 compró Hoffmann SE (Múnich), lo que convirtió la distribución en el segmento más grande. Desde 2025 reorganiza su red productiva (cierre o venta de nueve centros, unos 650 empleos) y vuelve a comprar: tres socios de Hoffmann, Harald Zahn y Heartland en 2026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Heerbrugg (Suiza).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(7 de mayo).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en Swiss GAAP FER en lugar de NIIF: el fondo de comercio se compensa contra el patrimonio.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Hoffmann SE por 1.064 M CHF (mitad en acciones); las ventas pasan de 1.897 M a 2.739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para reducir la red de producción y distribución: −110 M de ventas, 75 M de costes únicos y +0,8 pp de margen EBIT hasta 2027.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Gödde, Oltrogge, Perschmann, Harald Zahn, Jellypipe (51 %) y Heartland Precision Fasteners; día del inversor con ventas de 3.600-4.000 M en 2030.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SFS Group (Heerbrugg, Suiza) fabrica componentes de precisión conformados en frío, estampados y mecanizados, sistemas de fijación y remaches, y distribuye herramientas y consumibles industriales. Tres segmentos: Engineered Components (EC, 1.134 M CHF de ventas a terceros en 2025: piezas a medida para electrónica —componentes estampados para dispositivos móviles y piezas de discos duros nearline de centros de datos—, automoción —frenos y sistemas de seguridad—, dispositivos médicos y aeronáutica), Fastening Systems (FS, 575 M: fijaciones para envolventes de edificios en Europa y Norteamérica) y Distribution &amp; Logistics (D&amp;L, 1.348 M: Hoffmann Group, distribuidor de herramientas de calidad con 500.000 referencias y más de 100.000 clientes, y la distribución suiza de fijaciones) [1, 5]. 14.341 empleados a tiempo completo a junio de 2026 y unos 150 centros en 35 países [2].</w:t>
      </w:r>
    </w:p>
    <w:p>
      <w:pPr>
        <w:pStyle w:val="Heading2"/>
      </w:pPr>
      <w:r>
        <w:t xml:space="preserve">Cómo gana dinero</w:t>
      </w:r>
    </w:p>
    <w:p>
      <w:pPr>
        <w:spacing w:after="100"/>
      </w:pPr>
      <w:r>
        <w:t xml:space="preserve">En EC, SFS desarrolla con el cliente una pieza a medida (por ejemplo, un componente estampado de un teléfono o una pieza de freno) y la fabrica durante la vida del modelo: el margen depende de ganar la siguiente plataforma, del uso de la capacidad instalada y de la mezcla (electrónica y aeronáutica dejan más que automoción). En FS vende fijaciones de catálogo y sistemas con servicio técnico a instaladores de cubiertas y fachadas; en D&amp;L, Hoffmann cobra la disponibilidad logística y el servicio sobre herramientas de marca propia (Garant, Holex) y de terceros. El margen EBIT ajustado de 2025 fue del 15,8 % en EC, 12,2 % en FS y 9,8 % en D&amp;L. El apalancamiento operativo es alto en EC (en el 1S26 el EBIT subió un 30,8 % con ventas +2,5 %). Estacionalidad: segundo semestre más fuerte en electrónica y construcción [1,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Engineered Components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Fastening Systems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Distribution &amp; Logistics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Engineered Components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Fastening Systems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Distribution &amp; Logistics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(2025 y 2024) [1]. La empresa no identifica a sus clientes de electrónica; el mercado final de electrónica pesa el 13,8 % de las ventas del grupo (422 M en 2025), repartido entre dispositivos móviles y discos duros nearline [1]. Por mercado final: industria manufacturera 27,0 %, automoción 20,5 %, construcción 20,2 %, electrónica 13,8 %, dispositivos médicos 5,9 % y otros 12,6 % [1]. Las piezas a medida se adjudican por plataforma y duran años (costes de cambio altos por cualificación del proceso); Hoffmann sirve a más de 100.000 clientes con contratos de suministro y máquinas expendedoras en planta. Poder de precios: el margen ajustado se mantuvo en el 11,6-12,9 % en 2022-2025 pese a la inflación de costes y a un franco fuerte, sin crecimiento orgánico en 2024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(2025); 4,0 %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−2,9 % en 2025 y −4,2 % en el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(2025); 13,3 %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y a medio plazo: 12-15 %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operativa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menos capex; 120,9 M en el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(EBIT ajustado / capital empleado medio)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 (2025); 23,4 %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fondo de comercio ni impuestos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de la empresa (con fondo de comercio compensado, impuesto teórico del 17,5 %)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 (2025); 9,6 %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&gt; 10 %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EC por electrónica (mercado final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13,8 % de las ventas; ningún cliente supera el 10 %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fijaciones industriales y componentes metálicos de precisión (tornillos, remaches, piezas conformadas en frío y estampadas) más la distribución especializada de herramientas y consumibles (MRO) en Europa. Usamos IMARC para el tamaño de fijaciones (105,9 mil M USD en 2025, ≈ 88.260 M CHF) [11]; Global Market Insights da 129,2 mil M USD con un perímetro más amplio [12]. La distribución de herramientas de Hoffmann no tiene una estadística comparable; la ficha sectorial del repositorio la trata como distribución industrial especializada [16,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88.260 M CHF en 2025 (105,9 mil M USD, IMARC) [11]; 129,2 mil M USD según Global Market Insights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IMARC, a 0,8334 CHF por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europea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 manufacturera, 27 % de las ventas; D&amp;L con ventas planas en 2024-2025 por la atonía inversora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Automoción (frenos electrónicos y seguridad)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20,5 % de las ventas; exceso de capacidad en Europa, rampas de componentes de frenos en Heerbrugg, Medina y Nantong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móviles y discos duros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+5,5 % en 2025; crecimiento orgánico de EC del 8,6 % en el 1S26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Aeronáutica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Heartland para entrar en Norteamérica; aeronáutica, área más dinámica de EC [2,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(envolvente de edificios)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FS −1,6 % orgánico en 2025 y +1,2 % en el 1S26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Franco suizo fuerte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 −2,9 % en ventas de 2025 y −4,2 % en el 1S26; solo el 11 % de las ventas en Suiza [1,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(cinco primeros, 14,9 %) [12]; en piezas a medida la rivalidad es por plataforma, con pocos rivales cualificados.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fabricantes de automoción y electrónica negocian precio anual; en electrónica la dependencia de pocos programas es alta aunque ningún cliente supere el 10 %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y alambre son materias primas con muchos proveedores; energía, ≈ 1,5 %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Cualificación de procesos (automoción, médico, aeronáutica AS9100) y escala logística de Hoffmann.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Adhesivos y uniones soldadas sustituyen fijaciones en algunos usos; la impresión 3D, en prototipos (SFS compró Jellypipe) [2].</w:t>
            </w:r>
          </w:p>
        </w:tc>
      </w:tr>
    </w:tbl>
    <w:p>
      <w:pPr>
        <w:spacing w:after="160" w:before="0"/>
      </w:pPr>
    </w:p>
    <w:p>
      <w:pPr>
        <w:pStyle w:val="Heading2"/>
      </w:pPr>
      <w:r>
        <w:t xml:space="preserve">Ciclo</w:t>
      </w:r>
    </w:p>
    <w:p>
      <w:pPr>
        <w:spacing w:after="100"/>
      </w:pPr>
      <w:r>
        <w:t xml:space="preserve">En 2025 las ventas orgánicas crecieron un 2,9 % y en el 1S26 un 4,0 %, tras un 0,1 % en 2024; el consenso de bancos esperaba 1.542 M de ventas en el 1S26 y salieron 1.559 M [1, 2]. En 2020 las ventas orgánicas cayeron un 3,2 % con un margen EBIT que se sostuvo en el 13,3 %; en 2021-2022 crecieron un 10,3 % y un 9,1 %; 2023-2024 fueron planas por la debilidad industrial europea [1]. La recuperación es desigual: EC crece, FS y D&amp;L solo mejoran ligeramente [2].</w:t>
      </w:r>
    </w:p>
    <w:p>
      <w:pPr>
        <w:pStyle w:val="Heading2"/>
      </w:pPr>
      <w:r>
        <w:t xml:space="preserve">Regulación</w:t>
      </w:r>
    </w:p>
    <w:p>
      <w:pPr>
        <w:spacing w:after="100"/>
      </w:pPr>
      <w:r>
        <w:t xml:space="preserve">Aranceles de EE. UU. y tensiones comerciales: la estrategia «local para local» (producción en EE. UU., China, India, Malasia y Vietnam) limita el efecto [2, 7]. Certificaciones de aeronáutica y de dispositivos médicos condicionan la entrada. CBAM europeo sobre el acero importado desde 2026 encarece el material de origen extracomunitario. Objetivos climáticos validados por SBTi; 81,5 % de electricidad renovable en 2025 [1].</w:t>
      </w:r>
    </w:p>
    <w:p>
      <w:pPr>
        <w:pStyle w:val="Heading2"/>
      </w:pPr>
      <w:r>
        <w:t xml:space="preserve">Tendencias y disrupción</w:t>
      </w:r>
    </w:p>
    <w:p>
      <w:pPr>
        <w:spacing w:after="100"/>
      </w:pPr>
      <w:r>
        <w:t xml:space="preserve">Frenos electrónicos y sistemas por cable en el coche (SFS fabrica componentes para BSD/EMB), centros de datos con discos duros nearline de mayor capacidad, aeronáutica comercial en máximo de cadencia y relocalización de la producción hacia EE. UU. e India favorecen a SFS [1, 7]. En contra: el exceso de capacidad del automóvil europeo, la caída de la inversión industrial en Alemania (29,7 % de las ventas) y la venta directa en línea de herramientas estándar frente al modelo de Hoffmann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Especialista europeo en fijaciones y componentes de precisión con ≈ 1,9 % del mercado mundial de fijaciones (EC + FS, 1.709 M CHF frente a ≈ 88.260 M; estimación propia) [1, 11]; Hoffmann es el mayor distribuidor europeo de herramientas de calidad según la empresa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Würth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mundial de fijaciones y montaje (no cotiza); compite con FS y con la distribución.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Illinois Tool Works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Fijaciones y componentes industriales; margen EBITDA del 29,2 % y ROIC del 29,3 %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Bossard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y gestión logística de fijaciones; margen EBITDA del 12,9 %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Bufab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BUFAB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componentes (C-parts); margen EBITDA del 14,4 %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LISI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Fijaciones aeronáuticas y de automoción; rival en aeronáutica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Howmet Aerospace (fijaciones)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HWM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fijaciones aeronáuticas; rival de la nueva plataforma de Heartland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Piezas codesarrolladas y cualificadas por plataforma (automoción, médico, aeronáutica); máquinas expendedoras y contratos de Hoffmann en planta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GESIPA, UNISTEEL, Tegra Medical, Garant y Holex; I+D de 68,5 M (2,2 %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Conformado en frío y estampado multietapa de alta precisión; ROCE del 21,1 %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LogisticCity de Hoffmann en Núremberg, el centro logístico de herramientas más eficiente de Europa según la empresa [1].</w:t>
            </w:r>
          </w:p>
        </w:tc>
      </w:tr>
    </w:tbl>
    <w:p>
      <w:pPr>
        <w:spacing w:after="160" w:before="0"/>
      </w:pPr>
    </w:p>
    <w:p>
      <w:pPr>
        <w:pStyle w:val="Heading2"/>
      </w:pPr>
      <w:r>
        <w:t xml:space="preserve">Amenazas</w:t>
      </w:r>
    </w:p>
    <w:p>
      <w:pPr>
        <w:spacing w:after="100"/>
      </w:pPr>
      <w:r>
        <w:t xml:space="preserve">El foso es real en las piezas cualificadas pero no se nota en el margen consolidado: el EBIT ajustado del grupo (12,2 %) queda lejos del de ITW y la distribución rinde un 9,8 %. Lo que podría erosionarlo: pérdida de un programa grande de electrónica (la empresa no publica la concentración por cliente dentro del 13,8 % de electrónica), electrificación que reduce piezas mecánicas por coche, venta en línea de herramientas estándar y competidores asiáticos en fijaciones de catálogo. Probabilidad media en cinco años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2021-2025: ingresos </w:t>
      </w:r>
      <w:r>
        <w:rPr>
          <w:b/>
          <w:bCs/>
        </w:rPr>
        <w:t xml:space="preserve">12,6 %</w:t>
      </w:r>
      <w:r>
        <w:t xml:space="preserve">, EBITDA </w:t>
      </w:r>
      <w:r>
        <w:rPr>
          <w:b/>
          <w:bCs/>
        </w:rPr>
        <w:t xml:space="preserve">6,2 %</w:t>
      </w:r>
      <w:r>
        <w:t xml:space="preserve">, BPA </w:t>
      </w:r>
      <w:r>
        <w:rPr>
          <w:b/>
          <w:bCs/>
        </w:rPr>
        <w:t xml:space="preserve">-3,6 %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netas pasaron de 1.897 M CHF en 2021 a 3.045 M en 2025, pero casi todo es inorgánico: Hoffmann aportó un 37,9 % de perímetro en 2022 y un 14,6 % en 2023 [1]. El crecimiento orgánico fue del 10,3 % y 9,1 % en 2021-2022, del 2,1 % en 2023, del 0,1 % en 2024 y del 2,9 % en 2025, con la divisa restando entre un 1,9 % y un 4,1 % cada año [1]. El margen EBITDA bajó del 21,5 % de 2021 al 15,3 % de 2025 por la mezcla (la distribución de Hoffmann rinde menos que la fabricación) y por la baja utilización de plantas en automoción e industria europea; sin los 46,7 M del programa de red productiva, el margen EBIT ajustado de 2025 fue del 12,2 % frente al 11,6 % de 2024 [1]. En el 1S26 el EBIT ajustado subió un 22,5 % (13,3 % de margen) con ventas +1,4 %: la electrónica, la aeronáutica y los cierres de plantas dan apalancamiento operativo [2]. 2022 no es comparable (Hoffmann desde mayo).</w:t>
      </w:r>
    </w:p>
    <w:p>
      <w:pPr>
        <w:pStyle w:val="Heading2"/>
      </w:pPr>
      <w:r>
        <w:t xml:space="preserve">Ajustes y partidas no recurrentes</w:t>
      </w:r>
    </w:p>
    <w:p>
      <w:pPr>
        <w:spacing w:after="100"/>
      </w:pPr>
      <w:r>
        <w:t xml:space="preserve">Usamos las cifras publicadas. La empresa da un EBIT ajustado que excluye los costes únicos del programa de red productiva (46,7 M en 2025, unos 75 M en total hasta 2027), la revalorización de existencias de Hoffmann (22,9 M en 2022) y una plusvalía de 3,1 M en 2021 [1]; esas cifras van en «no recurrentes» para que el EBITDA de los múltiplos sea el recurrente. En el 1S26 el EBIT publicado (211,2 M) supera al ajustado (206,0 M) por plusvalías de ventas de centros. El BPA de 2025 (5,63 CHF) lleva unos 0,99 CHF de esos costes (estimación propia con un impuesto del 17,5 %); el normalizado es de unos 6,62 CHF y es el que usamos en la historia del PER de 2024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semestral de julio de 2026 la dirección cambió el tono respecto a marzo: en el anual hablaba de «resiliencia en tiempos turbulentos» y de mercados con exceso de capacidad; en julio, de «fuerte progreso» y de compras como oportunidad para sumar crecimiento al orgánico [1, 2]. Los mensajes: crecimiento orgánico del 4,0 % pese a un −4,2 % de divisa; electrónica con un crecimiento «extraordinario» por dispositivos móviles y discos duros nearline; aeronáutica dinámica; automoción mejor por los cierres de plantas; FS y D&amp;L solo ligeramente mejor [2]. El EBIT ajustado (206 M) batió el consenso de ocho bancos recogido por la propia empresa (185 M; rango 173-194) [10]. En el día del inversor del 17-sep, el CFO confirmó la guía, presentó el programa (−110 M de ventas, 75 M de costes, +0,8 pp de margen a finales de 2027; más del 60 % ejecutado) y dibujó 3.600-4.000 M de ventas en 2030 con compras, sin dar una guía oficial por segmento [7]. No hemos podido leer las preguntas de los analistas (transcripción de pago): la acción cayó un 6,9 % en la semana del semestral, lo que apunta a dudas sobre el segundo semestre [28].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Hoffmann SE, consolidada desde el 1-may-2022 (ventas de unos 1.000 M EUR en 2021): entra entera en el balance de 2022 y solo ocho meses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bajó de 477,7 M (2022, tras pagar Hoffmann) a 164,8 M en 2025, 0,3 veces el EBITDA, gracias a una caja libre operativa de 273,6 M y a un capex que cayó al 3,4 % de las ventas [1]. En el 1S26 subió a 320,4 M por las compras (161,8 M en caja) y por el circulante estacional (+63,1 M) [2]. El circulante es el punto débil: 28 % de las ventas, con 80 días de existencias (la distribución necesita stock) y 57 de cobro; el ciclo de caja es de 112 días. El patrimonio es el 64 % del activo publicado [1]. Con el bono de 250 M al 1,2 % de septiembre de 2026 refinancia el de 150 M que vence en junio de 2027 [8].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959</w:t>
      </w:r>
      <w:r>
        <w:t xml:space="preserve">, conversión </w:t>
      </w:r>
      <w:r>
        <w:rPr>
          <w:b/>
          <w:bCs/>
        </w:rPr>
        <w:t xml:space="preserve">78 %</w:t>
      </w:r>
      <w:r>
        <w:t xml:space="preserve"> del beneficio neto; adquisiciones 561, dividendos 441, recompras 34.</w:t>
      </w:r>
    </w:p>
    <w:p>
      <w:pPr>
        <w:spacing w:after="100"/>
      </w:pPr>
      <w:r>
        <w:t xml:space="preserve">La conversión de beneficio en caja es alta: el flujo operativo fue de 377,3 M en 2025 frente a un beneficio de 220,2 M, por amortizaciones de 142,3 M y un circulante contenido [1]. 2022 y 2023 fueron años de acopio de existencias y de capex alto (6,2 % y 5,7 % de las ventas: India, Malasia, frenos en Medina y Nantong); 2024-2025, de cosecha, con el capex en el 4,9 % y el 3,4 % [1]. La empresa no separa mantenimiento de crecimiento; con amortizaciones del 4,7 % de las ventas, el capex de mantenimiento ronda el 3,5-4 % (estimación propia) y su objetivo del 4-6 % incluye crecimiento [7]. Las compras se pagaron con caja y acciones: 519 M en caja por Hoffmann en 2022 y 161,8 M en el 1S26 [2,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(St. Gallen)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en Swiss GAAP FER desde 2017, auditadas por PwC (opinión favorable) [1]. Tres diferencias con NIIF importan: el fondo de comercio se compensa contra el patrimonio y no se amortiza ni se deteriora en la cuenta (la amortización teórica a cinco años habría restado 91,8 M al beneficio de 2025) [1]; los arrendamientos no están en el balance; y la I+D se lleva entera a gastos (68,5 M en 2025) [1]. El beneficio FER es, por tanto, más alto que el de una empresa NIIF que amortizase intangibles de compras, y el patrimonio publicado más bajo. Los indicadores del motor no muestran alertas: Altman Z de 6,07 (zona segura, calculado con el fondo de comercio repuesto), Piotroski F de 7 y Beneish M de −2,62 (por debajo del umbral de manipulación). La remuneración en acciones es pequeña (1,1 M para la dirección en 2025) [1]. Los ajustes del EBIT son por costes únicos con fecha de fin (2027) y la empresa los conciliará; vigilaremos que no se vuelvan recurrentes.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compensado contra el patrimonio (FER)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1.524 M acumulados en 2025 que no pasan por la cuenta; el ROIC con ese capital es del 8,1 % y sin él del 14,8 %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ajustado por el programa de red productiva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46,7 M en 2025 de un total de 75 M hasta 2027; plusvalías de ventas de centros en el 1S26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33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desde 1993; rota el socio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1.524 M en 2025 (el 45 % del capital invertido medio); ha subido más de un 5 % en 1 de 4 años: compra única grande. ROIC publicado 8,1 %; sin fondo de comercio, 14,8 %.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2,4 % · </w:t>
      </w:r>
      <w:r>
        <w:rPr>
          <w:b/>
          <w:bCs/>
        </w:rPr>
        <w:t xml:space="preserve">WACC</w:t>
      </w:r>
      <w:r>
        <w:t xml:space="preserve">: 6,7 %.</w:t>
      </w:r>
    </w:p>
    <w:p>
      <w:pPr>
        <w:spacing w:after="100"/>
      </w:pPr>
      <w:r>
        <w:t xml:space="preserve">Con el fondo de comercio de las compras, SFS apenas crea valor: ROIC del 8,1 % en 2025 frente a un WACC del 6,70 %, 1,4 puntos de diferencia; la propia empresa mide un 9,3 % con un impuesto teórico del 17,5 % y se fija un objetivo de más del 10 % [1]. Sin el fondo de comercio el ROIC es del 14,8 % (y el ROCE antes de impuestos de la empresa, del 21,1 %): el negocio operativo es bueno, pero se pagó caro por él [1]. El ROIC cayó del 11,2 % de 2021 al 7,7 % de 2024 porque Hoffmann añadió 487 M de fondo de comercio y un margen menor; el ROIC incremental histórico es del 2,4 %. Lo mueve la rotación del capital más que el margen. Frente a los comparables: ITW 29,3 %, Fastenal 32,6 %, Bossard 13,0 %, Bufab 10,5 % [13, 14, 15, 16]. Veredicto de calidad: en parte; no pasa el requisito de 5 puntos sobre el WACC con el ROIC publicado.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222,4 M (30-jun-26) + línea sindicada comprometida de 600 M CHF hasta mayo de 2029 (342,8 M dispuestos), ampliable en 100 M; bono de 250 M CHF al 1,2 % a siete años emitido el 2-sep-2026 [2,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agencia; A-/estable de ZKB y fedafin y BBB+ de UBS (bancos, previas a la emisión de septiembre de 2026)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publicados en la línea sindicada de 600 M (hasta mayo de 2029) [2]. Pensiones: 12,3 M de obligaciones frente a 28,0 M de reservas de cotizaciones del empleador y beneficio económico de planes (activo neto, no se resta) [2]. Provisiones de reestructuración de 13,6 M a junio de 2026 (25,4 M a fin de 2025) [2]. Pagos aplazados y contingentes de las compras del 1S26: 22,2 M, que sumamos a la deuda del puente [2]. Un swap de divisas CHF/EUR de 150 M cubre la inversión en Hoffmann (valor razonable de 20,7 M a favor) [2]. Sin factoring ni confirming publicados. Compromisos de alquiler fuera de balance por la norma FER (no cuantificados aquí) [1].</w:t>
      </w:r>
    </w:p>
    <w:p>
      <w:pPr>
        <w:pStyle w:val="Heading1"/>
      </w:pPr>
      <w:r>
        <w:t xml:space="preserve">12. Asignación de capital</w:t>
      </w:r>
    </w:p>
    <w:p>
      <w:pPr>
        <w:pStyle w:val="Confianza"/>
        <w:spacing w:after="100"/>
      </w:pPr>
      <w:r>
        <w:t xml:space="preserve">Confianza: Alta</w:t>
      </w:r>
    </w:p>
    <w:p>
      <w:pPr>
        <w:spacing w:after="100"/>
      </w:pPr>
      <w:r>
        <w:t xml:space="preserve">Dividendo estable con un reparto objetivo del 35-50 % del beneficio neto (2,50 CHF por acción desde 2022, 44,4 % de reparto en 2025, 0,50 CHF de la reserva de capital exenta de retención); capex objetivo del 4-6 % de las ventas; caja para compras (plataformas de aeronáutica y dispositivos médicos, fijaciones en Europa y Norteamérica, distribución) y reducción de deuda. Sin recompras: la autocartera (0,06 %) cubre los planes de acciones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Hoffmann SE (distribución de herramientas, Múnich; ~1.000 M EUR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519 M en caja (bonos de 400 M) y 520 M en 1,4 M de acciones nuevas y 0,2 M de autocartera; fondo de comercio de 486,9 M compensado contra el patrimonio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Llevó las ventas de 1.897 M a 2.739 M; el margen de D&amp;L bajó (9,8 % ajustado en 2025) y el ROIC del grupo se quedó en el 8-9 %; sin deterioro visible por la compensación FER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 Building Fasteners (California, distribución de fijaciones)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acceso a la construcción del oeste de EE. UU.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Gödde, Oltrogge y Perschmann (socios de Hoffmann), Harald Zahn (fijaciones para cubiertas planas) y 51 % de Jellypipe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13,6 M aplazados y 8,6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Consolidadas en el 1S26 (+1,5 % de perímetro); 106,5 M de fondo de comercio compensado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Heartland Precision Fasteners (EE. UU., fijaciones aeronáuticas, ~30 M USD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confidencial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9-jul-2026; cierre previsto antes de fin de septiembre de 2026 [9].</w:t>
            </w:r>
          </w:p>
        </w:tc>
      </w:tr>
    </w:tbl>
    <w:p>
      <w:pPr>
        <w:spacing w:after="160" w:before="0"/>
      </w:pPr>
    </w:p>
    <w:p>
      <w:pPr>
        <w:spacing w:after="100"/>
      </w:pPr>
      <w:r>
        <w:t xml:space="preserve">La dirección asigna el capital con prudencia financiera pero con rentabilidad mediocre en la gran compra: Hoffmann (1.064 M, mitad en acciones) duplicó la distribución y bajó el ROIC del grupo de más del 11 % a un 8 %; el ROIC incremental histórico es del 2,4 % [1, 5]. Desde 2022 la caja ha ido a deuda (de 478 M a 165 M), dividendos (97 M al año, 45 % de la caja libre) y capex [1]. Sin recompras ni dilución relevante: las acciones pasaron de 37,5 M a 38,9 M solo por Hoffmann. Las compras de 2026 (202 M por cuatro empresas y Heartland) son pequeñas y en plataformas que la empresa conoce (socios de Hoffmann, fijaciones, aeronáutica) [2, 9]; el riesgo es repetir el patrón de comprar ventas de margen bajo.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Breu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SFS desde hace más de dos décadas; antes dirigió la división de electrónica. Con él las ventas pasaron de unos 1.600 M a 3.057 M (compra de Hoffmann) y el margen EBIT ajustado del 13-16 % al 12,2 %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Volker Dostmann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Lideró la financiación de Hoffmann (bonos de 400 M) y el bono de 250 M de 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Oetterli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Exconsejero delegado de Schindler (2016-2022); consejero de SFS desde 2011 y presidente desde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Langenauer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del segmento EC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jefe de la división de automoción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George Poh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de electrónica (EC)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Viene de Unisteel; la electrónica es la unidad que más crece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Iso Raunjak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Jefe del segmento D&amp;L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jefe de D&amp;L Suiza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en torno al del año anterior (11,7 %)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en torno al del año anterior (11,6 %)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12,2 % ajustado (10,6 % publicado, con 46,7 M del programa)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en moneda local del 3-6 % con perímetro; margen EBIT ajustado 12-15 % (confirmada en julio y septiembre)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+5,5 % en moneda local; 13,3 %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Jens Breu es consejero delegado desde 2016 y la mayoría de la dirección viene de dentro (George Poh, de Unisteel, con 52.217 acciones) [1]. La guía de margen se cumplió en 2024 y 2025 (margen «en torno al del año anterior») y la de 2026 va camino de cumplirse tras el 1S26 (13,3 % frente a 12-15 %) [2, 3, 4]. En 2025-2026 se reorganizaron EC, FS y D&amp;L y se creó la región Asia, con cuatro cambios en la dirección de segmentos, pero sin cambios en la cúpula [1]. El presidente, Thomas Oetterli (exconsejero delegado de Schindler y hoy de Rieter), es independiente. No hay plan de sucesión publicado para el consejero delegado.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Oetterli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Kaufmann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 Walther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Manuela Suter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Bauschatz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Tanja Birner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Nick Huber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Fabian Tschan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Familias fundadoras Huber y Stadler/Tschan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(grupo organizado)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+0,23 pp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SALT Stiftung / First ELF Stiftung (antiguos dueños de Hoffmann)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 (bloqueo de siete años desde 2021)</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−0,03 pp</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1,62 M CHF en 2025: 0,70 M de fijo, 0,38 M de variable en efectivo, 2.500 acciones (0,35 M) y 0,20 M de previsión social; unas 25 veces el coste medio por empleado [1]. El variable en efectivo depende en un 60 % de objetivos financieros del grupo (sin detallar las métricas), un 20 % individuales y un 20 % de liderazgo; el variable en acciones lo fija el consejo a su discreción (factor 0-1,5) y queda bloqueado tres años, sin métricas de ROIC ni de rentabilidad para el accionista [1]. Sin cláusula de recuperación publicada. En la junta de 2026 el informe de remuneración tuvo un 15,2 % de votos en contra; descontados los votos del pacto familiar, en contra estuvo un 41 % del capital libre presente, una señal de descontento de los institucionales [18].</w:t>
      </w:r>
    </w:p>
    <w:p>
      <w:pPr>
        <w:pStyle w:val="Heading2"/>
      </w:pPr>
      <w:r>
        <w:t xml:space="preserve">Operaciones vinculadas, estructura de control y defensas</w:t>
      </w:r>
    </w:p>
    <w:p>
      <w:pPr>
        <w:spacing w:after="100"/>
      </w:pPr>
      <w:r>
        <w:t xml:space="preserve">Las familias Huber y Stadler/Tschan controlan el 53,31 % con un pacto de sindicación y quieren mantener más del 50 % a largo plazo; tienen dos consejeros dominicales (Nick Huber y Fabian Tschan) [1]. Los antiguos dueños de Hoffmann (First SALT y First ELF Stiftung) tienen un 4,11 % bloqueado siete años desde 2021, y UBS Fund Management un 5,75 % [1]. Una acción, un voto, sin límites de voto. Con el control familiar, una OPA solo es posible si las familias quieren: no hay prima de control en el precio. Las operaciones vinculadas son pequeñas (servicios de TI por 1,2 M a stürmsfs y 0,2 M a Locher Bewehrungen) [1].</w:t>
      </w:r>
    </w:p>
    <w:p>
      <w:pPr>
        <w:pStyle w:val="Heading2"/>
      </w:pPr>
      <w:r>
        <w:t xml:space="preserve">Señales de alerta</w:t>
      </w:r>
    </w:p>
    <w:p>
      <w:pPr>
        <w:pStyle w:val="ListParagraph"/>
        <w:numPr>
          <w:ilvl w:val="0"/>
          <w:numId w:val="2"/>
        </w:numPr>
        <w:spacing w:after="60"/>
      </w:pPr>
      <w:r>
        <w:t xml:space="preserve">Voto consultivo del informe de remuneración 2025 con un 15,2 % en contra; descontados los votos del pacto familiar (que vota a favor), un 41 % del capital libre presente votó en contra [18].</w:t>
      </w:r>
    </w:p>
    <w:p>
      <w:pPr>
        <w:pStyle w:val="ListParagraph"/>
        <w:numPr>
          <w:ilvl w:val="0"/>
          <w:numId w:val="2"/>
        </w:numPr>
        <w:spacing w:after="60"/>
      </w:pPr>
      <w:r>
        <w:t xml:space="preserve">PwC audita SFS desde 1993 (33 años); rota el socio, no la firma [1].</w:t>
      </w:r>
    </w:p>
    <w:p>
      <w:pPr>
        <w:pStyle w:val="ListParagraph"/>
        <w:numPr>
          <w:ilvl w:val="0"/>
          <w:numId w:val="2"/>
        </w:numPr>
        <w:spacing w:after="60"/>
      </w:pPr>
      <w:r>
        <w:t xml:space="preserve">Peter Bauschatz, consejero calificado de independiente, preside el consejo de supervisión de Hoffmann SE, filial del grupo cuyos antiguos dueños tienen el 4,11 %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crecimiento de las ventas en moneda local del 3-6 % con perímetro y margen EBIT ajustado del 12-15 %, confirmado el 23-jul-2026 con el semestral y el 16-sep-2026 antes del día del inversor; la misma guía vale a medio plazo. En el día del inversor la empresa dibujó unas ventas de unos 3.600-4.000 M CHF en 2030 a divisa constante, con compras, y el programa de red productiva (−110 M de ventas, 75 M de costes únicos, +0,8 pp de margen EBIT a finales de 2027) [2,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135,00 – 146,00</w:t>
            </w:r>
          </w:p>
        </w:tc>
      </w:tr>
    </w:tbl>
    <w:p>
      <w:pPr>
        <w:spacing w:after="160" w:before="0"/>
      </w:pPr>
    </w:p>
    <w:p>
      <w:pPr>
        <w:pStyle w:val="Heading2"/>
      </w:pPr>
      <w:r>
        <w:t xml:space="preserve">Revisiones de estimaciones</w:t>
      </w:r>
    </w:p>
    <w:p>
      <w:pPr>
        <w:spacing w:after="100"/>
      </w:pPr>
      <w:r>
        <w:t xml:space="preserve">Tras el 1S26 (EBIT ajustado de 206 M frente a 185 M del consenso recogido por la empresa) el BPA de 2026 del consenso subió de 6,40 a 6,72 CHF según Simply Wall St [28] y hoy está en 7,23-7,26 [20, 21]. El objetivo medio sube de 132,6 CHF (julio) a 141-146 CHF; UBS pasó de comprar a neutral tras la subida. Solo MarketScreener da tres años; S&amp;P Global (6 analistas, 140-152 CHF) [21] y cash.ch (8 analistas, 135-146 CHF) [22] contrastan el objetivo.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29,5 % en 2026 y un 28,8 % en doce meses, frente al 9,5 % y el 15,6 % del SPI, hasta máximos históricos (146,40 CHF el 23-jul) [19]. La subida empezó a finales de 2025, cuando la acción cotizaba a 98-110 CHF, con el mercado descontando un 2025 débil, y se aceleró con el anual (organico +2,9 %) y el semestral (EBIT ajustado +22,5 %) [1, 2]. A cinco años, sin embargo, gana solo un 1,6 % anual frente al 5,3 % del SPI: los máximos de 2021 (143 CHF) no se superaron hasta 2026 porque el beneficio por acción se estancó tras Hoffmann [1, 19]. Beta de 1,05 frente al SPI (0,70 semanal a dos años), volatilidad del 22,3 % y caída máxima del −39,1 % en 2022.</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 cada año, SFS cotizó a un PER de 12,6-20,2 veces el beneficio del año, con una media de 19,3 veces; hoy está a 21,3 veces el de los últimos doce meses, en el máximo de su rango, y a 10,6 veces el EBITDA frente a una media de 9,3. En base adelantada (precio de cierre entre el BPA del año siguiente), la mediana de cinco años es de 16,8 veces y hoy cotiza a 18,5 veces nuestro BPA de 2027: el mercado ya paga la recuperación del margen. La prima se explica por el giro del ciclo y por la electrónica, no por un cambio estructural de la rentabilidad, que sigue en el 8 % con fondo de comercio.</w:t>
      </w:r>
    </w:p>
    <w:p>
      <w:pPr>
        <w:pStyle w:val="Heading1"/>
      </w:pPr>
      <w:r>
        <w:t xml:space="preserve">18. Comparables cotizados</w:t>
      </w:r>
    </w:p>
    <w:p>
      <w:pPr>
        <w:pStyle w:val="Confianza"/>
        <w:spacing w:after="100"/>
      </w:pPr>
      <w:r>
        <w:t xml:space="preserve">Confianza: Media</w:t>
      </w:r>
    </w:p>
    <w:p>
      <w:pPr>
        <w:spacing w:after="100"/>
      </w:pPr>
      <w:r>
        <w:t xml:space="preserve">Siete cotizadas de fijaciones y distribución industrial: Bossard y Bufab (gestión de componentes y fijaciones en Europa), ITW (fabricante de fijaciones y componentes, el mejor del sector en margen) y Fastenal, MSC, Applied Industrial y RS Group (distribución industrial, el modelo de Hoffmann). Datos de Stock Analysis a 14-15-oct-2026 (los cuatro últimos, de la ficha sectorial del 14-oct, pasados a CHF con el BCE) [13, 14, 15, 16]. Fuera: Georg Fischer (desinversiones, beneficio no comparable), Norma Group (vendió su negocio principal) y Würth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SFS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Bossard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Bufab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Illinois Tool 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Fastenal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 Industrial Direct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Industrial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17,8x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 / 24,7x / 29,3x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 / 2,6x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SFS cotiza a 19,0 veces el beneficio de los próximos doce meses, por debajo de la mediana de los siete comparables (24,7 veces), y a 10,6 veces el EBITDA, frente a 17,8 veces. El descuento tiene motivos: su ROIC con fondo de comercio (8,1 %) es menor que el de casi todos (mediana de 13,6 %, con ITW y Fastenal por encima del 29 %), su crecimiento orgánico de 2024-2025 fue casi nulo y el control familiar quita la opción de una OPA [13, 14, 15, 16]. Además, el EBITDA de SFS lleva dentro los alquileres (norma FER) y el de los comparables en NIIF no, lo que exagera el descuento en EV/EBITDA. Los más parecidos son Bossard (20,4 veces) y Bufab (30,7 veces): el primero, con un ROIC similar al de SFS sin fondo de comercio, marca mejor el múltiplo justo. Usamos el PER y no el EV/EBITDA para el valor relativo, con poco peso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Hoffmann SE (distribución de herramientas, 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SFS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1.064,4 M CHF con costes, mitad en acciones; ventas de 2021 ≈ 1.000 M EUR (≈ 1,04 CHF/EUR); EBITDA no publicado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Etanco Group (fijaciones para construcción, FR)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Simpson Manufacturing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725 M EUR (≈ 1,04 CHF/EUR); 11,9 veces el EBITDA de 12 meses; margen operativo del 19,7 %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Heartland Precision Fasteners (fijaciones aeronáuticas,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unos 30 M USD; precio confidencial.</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dos referencias útiles están en los extremos: SFS pagó por Hoffmann unas 1,0 veces las ventas (distribución de herramientas de margen bajo), y Simpson pagó por Etanco, un fabricante de fijaciones para construcción como el segmento FS, 11,9 veces el EBITDA y 2,8 veces las ventas [5, 27]. A 11,9 veces el EBITDA, el grupo valdría algo más que hoy (10,6 veces el EBITDA recurrente de doce meses). Con el 53 % en manos de las familias fundadoras, una compra del grupo no es un escenario realista; las transacciones no pesan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+2,5 % en 2026 (1S26 +1,4 %; guía en moneda local del 3-6 % con perímetro, menos un 3,5 % de divisa) y +4,5 % en 2027 por las compras de 2026 en año completo, menos las ventas que cierra el programa (−110 M en total) [2, 7]. Después, 4,0 % a 2,0 %: 2,5 % de volumen y 1 % de precio, en línea con el crecimiento orgánico medio de 2019-2025 (≈ 3 %) y por debajo de los 3.600-4.000 M de 2030 que dibujó la empresa con compras [1, 7]. El consenso espera 3.233 M en 2027 y 3.347 M en 2028; nosotros, 3.262 M y 3.392 M (+0,9 % y +1,4 %) [20].</w:t>
      </w:r>
    </w:p>
    <w:p>
      <w:pPr>
        <w:keepNext/>
        <w:spacing w:after="100"/>
      </w:pPr>
      <w:r>
        <w:rPr>
          <w:b/>
          <w:bCs/>
        </w:rPr>
        <w:t xml:space="preserve">Márgenes.</w:t>
      </w:r>
    </w:p>
    <w:p>
      <w:pPr>
        <w:spacing w:after="100"/>
      </w:pPr>
      <w:r>
        <w:t xml:space="preserve">Margen EBITDA del 17,0 % en 2026 (1S26: 17,8 % con plusvalías; quedan costes del programa en el 2S), 17,3 % en 2027 y 17,5 % desde 2028: equivale a un margen EBIT de unos 12,9 %, en la mitad de la guía del 12-15 % y 0,7 puntos por encima del 12,2 % ajustado de 2025 por el programa (+0,8 pp) [1, 7]. Por debajo del 21,5 % de 2021 porque Hoffmann rebaja la mezcla. El consenso de EBIT es de 397 M en 2026 y 440 M en 2028 (12,7 % y 13,1 %) [20].</w:t>
      </w:r>
    </w:p>
    <w:p>
      <w:pPr>
        <w:keepNext/>
        <w:spacing w:after="100"/>
      </w:pPr>
      <w:r>
        <w:rPr>
          <w:b/>
          <w:bCs/>
        </w:rPr>
        <w:t xml:space="preserve">Inversión y circulante.</w:t>
      </w:r>
    </w:p>
    <w:p>
      <w:pPr>
        <w:spacing w:after="100"/>
      </w:pPr>
      <w:r>
        <w:t xml:space="preserve">Capex del 3,8 % de las ventas en 2026 (1S26: 2,3 %) y del 4,5-4,8 % después, dentro del objetivo del 4-6 % y por encima de la amortización del 4,6 % en estado estacionario [1, 7]. Circulante del 28,5 % de las ventas (28 % en 2025; 31 % en junio de 2026 por estacionalidad y compras) [2]. Sin arrendamientos (FER): el alquiler ya está en el EBITDA. Impuesto del 25 % (26,5 % en 2025; 25,6 % en 2024) [1].</w:t>
      </w:r>
    </w:p>
    <w:p>
      <w:pPr>
        <w:keepNext/>
        <w:spacing w:after="100"/>
      </w:pPr>
      <w:r>
        <w:rPr>
          <w:b/>
          <w:bCs/>
        </w:rPr>
        <w:t xml:space="preserve">Coste del capital.</w:t>
      </w:r>
    </w:p>
    <w:p>
      <w:pPr>
        <w:spacing w:after="100"/>
      </w:pPr>
      <w:r>
        <w:t xml:space="preserve">Tasa libre del 0,54 % (bono de la Confederación a 10 años, 8-oct-2026) [24]. Beta de 1,05 (mensual a cinco años frente al SPI; 0,96 semanal a cinco años y 0,70 a dos) [19]. Prima de mercado del 5,5 % y 1,0 punto adicional por tamaño medio y ciclicidad (automoción y construcción, el 41 % de las ventas). Coste de la deuda del 1,5 % (bonos al 1,45 % y 1,2 %) con un 10 % de deuda: WACC del 6,70 %. Con la prima implícita del mercado (4,2 %), el WACC baja al 5,5 % [25].</w:t>
      </w:r>
    </w:p>
    <w:p>
      <w:pPr>
        <w:keepNext/>
        <w:spacing w:after="100"/>
      </w:pPr>
      <w:r>
        <w:rPr>
          <w:b/>
          <w:bCs/>
        </w:rPr>
        <w:t xml:space="preserve">Valor terminal.</w:t>
      </w:r>
    </w:p>
    <w:p>
      <w:pPr>
        <w:spacing w:after="100"/>
      </w:pPr>
      <w:r>
        <w:t xml:space="preserve">Gordon con un 1,0 % de crecimiento: inflación suiza esperada de alrededor del 0,5-1 % más algo de crecimiento real; por encima de la tasa libre menos medio punto, pero el bono suizo cotiza por debajo de la inflación y la mayoría de las ventas son en euros y dólares. El múltiplo de salida implícito se compara con el de 11 veces el EBITDA (Etanco, 11,9 veces) [27].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165,81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(reinvierte el 58 %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(histórico: 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 frente al 3,1 %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234 M, el 10 % del NOPAT, con un capex bruto medio del 4,6 % de las ventas). En un negocio de activos ligeros, el crecimiento medio del 3,1 %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4,0 % en el 1S26 y algo menos en el 2S: volumen +2,5 % y precio +1,0 %; perímetro de las compras +2,5 % menos divisa −3,5 %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2026 en año completo y Heartland (+2,5 %) menos centros cerrados o vendidos (−1,5 %); orgánico del 3,5 % con electrónica y aeronáutica [2,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y pequeñas compras (+0,5 %), en la parte baja de la guía del 3-6 %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sin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3,0 %; convergencia hacia el terminal.</w:t>
            </w:r>
          </w:p>
        </w:tc>
      </w:tr>
    </w:tbl>
    <w:p>
      <w:pPr>
        <w:spacing w:after="160" w:before="0"/>
      </w:pPr>
    </w:p>
    <w:p>
      <w:pPr>
        <w:spacing w:after="100"/>
      </w:pPr>
      <w:r>
        <w:t xml:space="preserve">El crecimiento proyectado (3,1 % anual) es financiable: la reinversión bruta (capex más circulante) financia un 4,7 % al ROIC actual y las pruebas del motor pasan. Pero la calidad solo lo sostiene en parte. El ROIC con el fondo de comercio de las compras es del 8,1 %, 1,4 puntos sobre el WACC, y el ROIC incremental histórico es del 2,4 %: crecer, tal como ha crecido (comprando Hoffmann), apenas ha creado valor [1]. Sin fondo de comercio el negocio rinde un 14,8 %, y el crecimiento orgánico que proyectamos sí crea valor; el que viene de compras depende del precio pagado. Poder de precios demostrado a medias: el margen ajustado aguantó en el 11,6-12,9 % en 2022-2025, pero el orgánico fue casi nulo en 2024 [1]. No hace falta rebajar el caso base: ninguna prueba falla.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(base: 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 (base: 17,5 %)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6,7 %)</w:t>
            </w:r>
          </w:p>
        </w:tc>
      </w:tr>
    </w:tbl>
    <w:p>
      <w:pPr>
        <w:spacing w:after="160" w:before="0"/>
      </w:pPr>
    </w:p>
    <w:p>
      <w:pPr>
        <w:spacing w:after="100"/>
      </w:pPr>
      <w:r>
        <w:t xml:space="preserve">El DCF da 133,60 CHF por acción, un 5,0 % por debajo del precio, con el valor terminal como el 72 % del total. El DCF inverso dice que, a 140,60 CHF, el mercado descuenta un crecimiento de las ventas del 5,7 % anual en 2027-2032, frente al 3,3 % de nuestro caso base, o un margen EBITDA del 18,1 % frente a nuestro 17,5 %; la rentabilidad implícita en el precio es del 6,4 %, casi el WACC (6,70 %). Es exigente frente a la historia: el crecimiento orgánico medio de 2019-2025 fue de unos 3 % y el margen EBITDA de 2025 del 16,9 % sin costes únicos [1]. Sería razonable si se cumplen a la vez la recuperación industrial, la electrónica y la parte alta de la guía a 2030 (4.000 M de ventas con compras) [7]. Con la prima implícita del mercado (WACC del 5,5 %) el valor sube a 173,00 CHF: SFS solo parece barata si se acepta la tasa de descuento baja de hoy. Nuestro DCF está cerca del objetivo medio de los analistas (142 CHF) [22].</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Recaída industrial europea en 2027 como en 2020 o en 2023-2024: ventas −3,5 % en 2027 y margen EBITDA 2,5 puntos más bajo ese año, con el franco fuerte. Después recupera el crecimiento, pero con 1,5 puntos menos de margen que el base (la electrónica deja de compensar).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gradual: orgánico del 3-3,5 %, compras de 2026 integradas y programa completo, con un margen EBIT de unos 12,9 % desde 2028 dentro de la guía del 12-15 %.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Electrónica (discos duros para centros de datos) y aeronáutica crecen a doble dígito y Europa se recupera: crecimiento 1,5 puntos mayor y margen EBITDA 0,8 puntos más alto, con un margen EBIT cerca del 13,7 %.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CHF) · precio actual 140,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127,81 CHF (-9,1 %).</w:t>
      </w:r>
    </w:p>
    <w:p>
      <w:pPr>
        <w:spacing w:after="100"/>
      </w:pPr>
      <w:r>
        <w:t xml:space="preserve">La asimetría es desfavorable: el alcista vale 148,23 CHF (+5,4 %) y el bajista 95,79 CHF (−31,9 %); la asimetría es de 0,17 veces. El bajista es verosímil: en 2020 el orgánico cayó un 3,2 % y en 2023-2024 fue casi nulo, y el automóvil europeo ya tiene exceso de capacidad [1]. El alcista sube poco porque el precio ya descuenta la recuperación. Con la prima del mercado la asimetría pasa a 2,65 veces, pero eso es tasa de descuento, no negocio.</w:t>
      </w:r>
    </w:p>
    <w:p>
      <w:pPr>
        <w:pStyle w:val="Heading1"/>
      </w:pPr>
      <w:r>
        <w:t xml:space="preserve">22. Suma de partes</w:t>
      </w:r>
    </w:p>
    <w:p>
      <w:pPr>
        <w:pStyle w:val="Confianza"/>
        <w:spacing w:after="100"/>
      </w:pPr>
      <w:r>
        <w:t xml:space="preserve">Confianza: Media</w:t>
      </w:r>
    </w:p>
    <w:p>
      <w:pPr>
        <w:spacing w:after="100"/>
      </w:pPr>
      <w:r>
        <w:t xml:space="preserve">No aplica: los tres segmentos comparten clientes industriales, compras y funciones centrales, y solo hay dos años de segmentos reexpresados; el DCF consolidado y el PER recogen la mezcla.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CHF) · precio actual 140,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141,21 CHF (+0,4 % sobre 140,60).</w:t>
      </w:r>
    </w:p>
    <w:p>
      <w:pPr>
        <w:spacing w:after="100"/>
      </w:pPr>
      <w:r>
        <w:t xml:space="preserve">Pesos: DCF 40 %, escenarios 40 % y comparables 20 %; transacciones a cero porque el control familiar impide una compra y solo hay dos referencias. El DCF es el método más fiable: SFS tiene caja estable y una guía a medio plazo con la que contrastar. Los comparables tiran hacia arriba (183,22 CHF por PER) porque el sector cotiza con prima y los mejores (ITW, Fastenal) tienen el triple de ROIC; por EV/EBITDA darían aún más, pero el EBITDA de SFS lleva los alquileres dentro y no es comparable. El rango entre métodos (95,79-183,22 CHF) muestra que lo que decide es el múltiplo que se pague por un ROIC del 8 %: el DCF y nuestra regla dicen que el precio ya es justo.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(18.5x) a mitad de camino hacia abajo, hacia la mediana de 5 años (16.8x)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r>
    </w:tbl>
    <w:p>
      <w:pPr>
        <w:spacing w:after="160" w:before="0"/>
      </w:pPr>
    </w:p>
    <w:p>
      <w:pPr>
        <w:spacing w:after="100"/>
      </w:pPr>
      <w:r>
        <w:rPr>
          <w:b/>
          <w:bCs/>
        </w:rPr>
        <w:t xml:space="preserve">Objetivo a 12 meses (ponderado):</w:t>
      </w:r>
      <w:r>
        <w:t xml:space="preserve"> 144,13 CHF · rentabilidad +4,3 % (base +2,9 %) · señal Mantener.</w:t>
      </w:r>
    </w:p>
    <w:p>
      <w:pPr>
        <w:spacing w:after="100"/>
      </w:pPr>
      <w:r>
        <w:t xml:space="preserve">Para comparar, con la regla v2 (historia al cierre, mismo precio): 12,6x / 16,4x / 21,3x, -3,3 %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(7,60 CHF) supera en un 1,9 % al del consenso (7,46) y el de 2028 (8,08) queda un 1,5 % por debajo (8,20) [20]: coincidimos en ventas y margen. En 2026 vamos un 3,4 % por debajo (7,01 frente a 7,26) porque contamos los costes del programa que quedan en el segundo semestre. Nuestro precio base a 12 meses queda prácticamente en el objetivo medio de los analistas (142 CHF, con 135-146 de rango) [22]: la diferencia con el mercado no está en el beneficio, sino en que el precio ya lo descuenta.</w:t>
      </w:r>
    </w:p>
    <w:p>
      <w:pPr>
        <w:keepNext/>
        <w:spacing w:after="100"/>
      </w:pPr>
      <w:r>
        <w:rPr>
          <w:b/>
          <w:bCs/>
        </w:rPr>
        <w:t xml:space="preserve">Del valor intrínseco al objetivo a 12 meses.</w:t>
      </w:r>
    </w:p>
    <w:p>
      <w:pPr>
        <w:spacing w:after="100"/>
      </w:pPr>
      <w:r>
        <w:t xml:space="preserve">El valor intrínseco (141,21 CHF) y el objetivo a 12 meses (144,13 CHF) casi coinciden y los dos están en el precio: no hay distancia que cerrar. El objetivo sale de nuestro BPA de 2028 (8,08) por un PER de 17,6 veces, a mitad de camino entre el actual (18,5 veces) y la mediana adelantada de cinco años (16,8 veces). Para que la acción rinda más de un 15 % en un año haría falta que el mercado pagase el múltiplo de los comparables (24,7 veces) o un BPA de 2028 cerca de 9 CHF (alcista), algo que solo llegaría con una electrónica que siga creciendo a doble dígito.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 (sin fecha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cifras de ventas de 2026 (en 2026 se publicaron el 23-ene)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Confirmará si el crecimiento en moneda local entra en la guía del 3-6 %.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del año (guía 12-15 %) y guía de 2027; costes restantes del programa.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Flawil, venta de la embutición profunda a Adval Tech y cierre de Essen y Göppingen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tramo del programa: +0,8 pp de margen EBIT a finales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con las compras de 2026 y Heartland integradas.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bono de 150 M al 1,45 %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refinanciado con el bono de 250 M al 1,2 % de septiembre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industrial alemán y automóvil europeo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D&amp;L y automoción (≈ 48 % de las ventas) dependen de que la inversión industrial europea vuelva.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del ciclo industrial europeo y del automóvil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mercado final (ningún mercado pasa del 27 %) y cierres de plantas ya hechos.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D&amp;L negativo dos semestres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cambio de diseño de un programa grande de electrónica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a −12 % (estimación propia: la mitad de la electrónica, con margen del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discos duros y móviles son clientes distintos.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las ventas de electrónica en el segundo semestre, cuando suelen subir.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suizo más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por cada 5 % de apreciación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el 11 % de las ventas en Suiza; producción local para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EUR/CHF por debajo de 0,90.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diluyen el ROIC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2026 pequeñas y en plataformas conocidas.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de más de 300 M con margen EBIT inferior al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programa de red productiva no da los +0,8 pp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(0,8 pp menos de margen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60 % ejecutado en 2025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de 2026 por debajo del 12,5 %.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en línea y agentes de compra digitales en herramientas estándar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propias (Garant, Holex), servicio en planta y máquinas expendedoras.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D&amp;L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tensiones comerciales EE. UU.-China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en EE. UU., China, India, Malasia y Vietnam.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sobre componentes de Asia que afecten a la electrónica.</w:t>
            </w:r>
          </w:p>
        </w:tc>
      </w:tr>
    </w:tbl>
    <w:p>
      <w:pPr>
        <w:spacing w:after="160" w:before="0"/>
      </w:pPr>
    </w:p>
    <w:p>
      <w:pPr>
        <w:pStyle w:val="Heading2"/>
      </w:pPr>
      <w:r>
        <w:t xml:space="preserve">Pre-mortem</w:t>
      </w:r>
    </w:p>
    <w:p>
      <w:pPr>
        <w:spacing w:after="100"/>
      </w:pPr>
      <w:r>
        <w:t xml:space="preserve">Octubre de 2029: la acción vale 85 CHF, un 40 % menos. La historia más probable empieza en 2027: el automóvil europeo recorta producción otra vez, Alemania sigue sin invertir y D&amp;L vuelve a crecimientos orgánicos negativos con un margen del 8 %. A la vez, el gran programa de dispositivos móviles cambia de diseño en el modelo de 2028 y la electrónica, que había sostenido el margen de EC, cae un 20 %. El margen EBIT ajustado del grupo vuelve al 11 % y el BPA a 6 CHF, mientras el franco se aprecia otro 5 %. El mercado, que pagaba 18,5 veces el beneficio esperando la recuperación, vuelve al mínimo de su historia (12,8 veces). Para compensar, la dirección compra otro distribuidor grande con deuda, y el ROIC con fondo de comercio baja al 7 %. Los indicadores que lo habrían anticipado: el crecimiento orgánico de D&amp;L y FS en los semestrales de 2027, las ventas de electrónica del segundo semestre de 2027 y el PMI manufacturero alemán por debajo de 47 durante seis meses.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3-5 años (estimación propia)</w:t>
      </w:r>
    </w:p>
    <w:p>
      <w:pPr>
        <w:spacing w:after="100"/>
      </w:pPr>
      <w:r>
        <w:t xml:space="preserve">La IA no sustituye lo que SFS vende: piezas metálicas físicas, cualificadas por plataforma, y fijaciones que se instalan en obra. Le toca por tres vías. A favor: la demanda de almacenamiento de los centros de datos de IA impulsa los componentes para discos duros nearline, una de las dos causas del crecimiento «extraordinario» de electrónica en el 1S26 (la electrónica es el 13,8 % de las ventas) [1, 2]; y la IA aplicada a planificación y logística puede mejorar el margen de Hoffmann. En contra: en D&amp;L (44 % de las ventas), los agentes de compra con IA abaratan comparar precios de herramientas estándar y podrían presionar el margen del catálogo. Señal: margen EBIT de D&amp;L por debajo del 8 % o caída de las ventas de discos duros nearline.</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el carbono de la producción (alcance 1 y 2 de 15,7 t por millón de ventas en 2025, −77,1 % frente a 2020; 81,5 % de electricidad renovable) y la cadena de suministro del acero (proveedores críticos reducidos de 621 a 249) [1]. Seguridad laboral: 2,9 accidentes por millón de horas (4,2 en 2024) [1]. Objetivos validados por SBTi a finales de 2025 [1].</w:t>
      </w:r>
    </w:p>
    <w:p>
      <w:pPr>
        <w:pStyle w:val="Heading2"/>
      </w:pPr>
      <w:r>
        <w:t xml:space="preserve">Controversias</w:t>
      </w:r>
    </w:p>
    <w:p>
      <w:pPr>
        <w:spacing w:after="100"/>
      </w:pPr>
      <w:r>
        <w:t xml:space="preserve">Sin multas ni procedimientos por incumplimiento, corrupción o derechos humanos en 2025 según la empresa [1]. No hemos encontrado controversias en prensa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electrónica depende de un solo cliente o programa, y cuándo se renuevan los programas actuales?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electrónica explica buena parte de la subida del margen de EC (24,2 % de EBITDA en el 1S26) y la empresa no da concentración por debajo del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sostenible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del 1S26 (13,3 % ajustado) es mezcla de electrónica y cuánto es estructural por el programa?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12,9 % de margen EBIT en 2028; si la mezcla se da la vuelta, el BPA baja un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se pagó por Heartland y qué ROIC exige el consejo a las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histórico es del 2,4 % y la guía a 2030 cuenta con 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Hoffmann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 de Hoffmann hoy frente al de 2021, antes de la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D&amp;L rinde un 9,8 % ajustado; sin ese dato no se puede juzgar la compra de 1.064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ligar el variable en acciones al ROIC o a la rentabilidad para el accionista, tras un 41 % del capital libre en contra en la junta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variable a largo plazo es discrecional.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efecto tendría en el margen una apreciación del franco del 5 % frente al euro y al dólar?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un 4,2 % a las ventas del 1S26.</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Neutro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(foro de la 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mensajes de lectores; la página recoge 2 recomendaciones de comprar y 6 neutrales, las dos últimas «mantener» de julio y septiembre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(RSS de SFSLF)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transcripciones y presentaciones (cuentas de 2025, 1S26 y día del inversor), sin artículos de opinión ni comentarios recientes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(prensa con datos de consenso)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la acción cayó un 6,9 % en una semana pese a subir el BPA esperado: el mercado dudó del segundo semestre y de un crecimiento de ventas que se frena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boerse.de (notas técnicas)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Máximos históricos en julio y tendencia alcista desde diciembre de 2025, con cruces de la media de 50 sesiones en agosto y septiembre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márgenes por el programa de red productiva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 ajustado del 1S26 subió un 22,5 % (13,3 % de margen), por encima del consenso [28]; el programa promete +0,8 pp a finales de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«suiza» a precio razonable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de un gestor de 2025 destacaba un ROIC histórico alto y caja estable [33]; con el fondo de comercio de Hoffmann el ROIC de la empresa es del 9,3 %, no del 20 % (el 21 % es el ROCE, sin fondo de comercio).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Segundo semestre más flojo y 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 julio y la rebaja de UBS a neutral reflejan esa duda [28]; la divisa restó un 4,2 % a las ventas del 1S26.</w:t>
            </w:r>
          </w:p>
        </w:tc>
      </w:tr>
    </w:tbl>
    <w:p>
      <w:pPr>
        <w:spacing w:after="160" w:before="0"/>
      </w:pPr>
    </w:p>
    <w:p>
      <w:pPr>
        <w:spacing w:after="100"/>
      </w:pPr>
      <w:r>
        <w:t xml:space="preserve">Aporta poco: SFS casi no tiene debate de particulares (cero mensajes en cash.ch y ariva; sin hilos en Reddit ni Stocktwits) [22, 31]. Lo que hay es prensa financiera y analistas: tras el semestral la acción cayó un 6,9 % pese a que el BPA esperado subió, y UBS rebajó a neutral tras la subida [28]. El tono va de neutro a positivo y mejora con los máximos históricos de julio [32]. No hay euforia ni capitulación: los particulares no contradicen al consenso (2 comprar y 6 neutral). La idea que circula de «calidad suiza con ROIC alto» confunde el ROCE del 21 % con el ROIC con fondo de comercio (8,1 %) [33]: es justo el punto que este informe corrige.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33 (13 primarias); citas distintas en el texto: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28,5 % frente a 28,0 % real: genera una variación de circulante de 38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23, 26,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Hoffmann 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5.1 del informe anual 2022 (solo precio y activos netos); 2) presentación de la compra de 2021 y prensa (sin EBITDA); 3) estimar con el margen de D&amp;L (no publicado para Hoffmann antes de la compra)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SIX (anónimo: solo cargo e importe); 2) informe anual 2025 (participaciones a fin de año: el CEO pasó de 35.920 a 37.920 acciones por el plan); 3) prensa suiza (sin operaciones relevantes)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(no da notas de agencias); 2) búsqueda de MSCI y Sustainalytics (de pago); 3) CDP (sin puntuación pública encontrada)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(solo presentaciones); 2) Seeking Alpha (transcripciones de pago); 3) prensa financiera suiza (resúmenes sin preguntas de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IMARC (solo previsión 2026-2034); 2) Global Market Insights (previsión); 3) asociaciones de fabricantes de fijaciones (EIFI, sin serie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(cuentas consolidadas Swiss GAAP FER, notas, gobierno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https://www.sfs.com/downloads/investor-relations/publications/annual-report-2025.pdf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Half-Year Report 2026 (cuentas del 1S26 sin auditar)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https://www.sfs.com/downloads/investor-relations/publications/half-year-report-2026.pdf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https://www.sfs.com/downloads/investor-relations/publications/annual-report-2024.pdf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(cuenta, balance y flujos 2023 y 2022; cifras clave 2019-2023)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https://www.sfs.com/downloads/investor-relations/publications/annual-report-2023.pdf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Financial report (cuentas 2022 y 2021; compra de Hoffmann 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https://www.sfs.com/downloads/investor-relations/publications-archive/2022/finanzbericht.pdf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https://www.sfs.com/downloads/investor-relations/publications/halbjahresbericht-2025.pdf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2026: presentación (guía a medio plazo, asignación de capital, programa de red productiva)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https://www.sfs.com/downloads/investor-relations/publikationen/presentation-investor-day-2026.pdf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Provides Insights Into Business Areas at Investor Day (bono de 250 M CHF al 1,2 % a siete años; calificaciones)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https://www.sfs.com/ch/en/media-newsroom/sfs-provides-insights-into-business-areas-at-investor-day.html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SFS acquires Heartland Precision Fasteners (ventas de unos 30 M USD; precio confidencial)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https://www.sfs.com/news/pdfs/2026-07-10-ad-hoc-mitteilung-2.pdf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consensus on results of SFS Group AG: 1H2026 E (ocho bancos)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https://www.sfs.com/downloads/investor-relations/consensus/analyst-expectations_1h2026.pdf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Fasteners Market Size, Share, Trends and Forecast 2026-2034 (105,9 mil M USD en 2025; TCAC 3,69 %)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https://imarcgroup.com/industrial-fasteners-market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Fasteners Market Size (129,2 mil M USD en 2025; TCAC 3,2 % 2026-2035; cinco primeros 14,9 %)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https://www.gminsights.com/industry-analysis/industrial-fasteners-market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Bossard Holding AG (SWX:BOSN):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https://stockanalysis.com/quote/swx/BOSN/statistics/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Bufab AB (STO:BUFAB):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https://stockanalysis.com/quote/sto/BUFAB/statistics/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Illinois Tool Works (ITW):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distribución industrial especializada (Fastenal, MSC, Applied, RS Group; Stock Analysis 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(sectores/)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sectores/distribucion-industrial-2026-10-14.md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componentes de precisión y fijaciones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(sectores/)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sectores/componentes-fijaciones-2026-10-15.md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Protokoll der 33. ordentlichen Generalversammlung (22-abr-2026): resultados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https://www.sfs.com/downloads/investor-relations/annual-general-meeting/minutes_agm-2026.pdf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SFSN.SW, ^SSHI y EXH4.DE: históricos diarios (precio, rango, volumen, beta, volatilidad,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https://finance.yahoo.com/quote/SFSN.SW/history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 finances (estimaciones 2026-2028, objetivo medio, número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https://www.marketscreener.com/quote/stock/SFS-GROUP-AG-16421371/finances/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 (SWX:SFSN) forecast: 6 analistas, objetivos 140-152 CHF, BPA 2026e 7,23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https://stockanalysis.com/quote/swx/SFSN/forecast/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N: consenso de analistas (8 analistas, 2 comprar y 6 neutral; objetivo medio 142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https://www.cash.ch/aktien/sfs-group-n-23922930/swx/chf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 (SWX:SFSN) statistics (capitalización 5.400 M CHF; 38,88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https://stockanalysis.com/quote/swx/SFSN/statistics/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bono de la Confederación a 10 años al 0,54 %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14-oct-2026 (0,9330 CHF, 1,1195 USD, 0,84385 GBP y 11,1580 SEK por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Simpson Manufacturing: presentación a inversores sobre la compra de Etanco (725 M EUR, ≈ 11,9 veces el EBITDA, ventas de 258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Simpson Manufacturing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https://www.sec.gov/Archives/edgar/data/920371/000092037122000005/exhibit992investorpresen.htm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 Just Released Its Half-Yearly Earnings, Here's What Analysts Think (objetivo de consenso 141 CHF; BPA 2026e de 6,40 a 6,72)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https://www.webull.com/news/15292566163973120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agenda 2026 y 2027 (informe anual 2026 el 26-feb-2027)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https://www.sfs.com/ch/en/investors/agenda/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AG (SFSLF): flujo RSS de noticias y transcripciones (1S26, día del inversor)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https://seekingalpha.com/api/sa/combined/SFSLF.xml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foro de la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https://www.ariva.de/forum/sfs-group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SFS Group Aktie: artículos automáticos (máximos históricos en julio, cruces de la media de 50 sesiones en agosto-septiembre)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https://www.boerse.de/nachrichten/SFS-Group-Aktie-unter-50-Tage-Linie/38521632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Durkin: SFS Group (tesis presentada en el European Investing Summit)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MOI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https://moiglobal.com/kevin-durkin-sfs-group-202510/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88,7 %</w:t>
      </w:r>
      <w:r>
        <w:t xml:space="preserve"> · Secciones con menos del 60 % de campos cubiertos: </w:t>
      </w:r>
      <w:r>
        <w:rPr>
          <w:b/>
          <w:bCs/>
        </w:rPr>
        <w:t xml:space="preserve">ninguna</w:t>
      </w:r>
      <w:r>
        <w:t xml:space="preserve"> · Generado el 15 oct 2026.</w:t>
      </w:r>
    </w:p>
    <w:p>
      <w:pPr>
        <w:pStyle w:val="Nota"/>
        <w:spacing w:after="100"/>
      </w:pPr>
      <w:r>
        <w:t xml:space="preserve">Cotiza solo en la SIX (SFSN) y publica en CHF: precio y cuentas en la misma divisa. Precio: cierre del 14-oct-2026 (la sesión del 15-oct no había cerrado al hacer el análisis). Cuentas en Swiss GAAP FER, no en NIIF: (1) el fondo de comercio se compensa contra el patrimonio al comprar; para medir el capital invertido como la propia empresa lo reponemos en el balance (1.524 M en 2025: fondo de comercio, activo, patrimonio y reservas), así que el ROIC «publicado» del informe incluye el fondo de comercio y el ROIC sin él se da al lado; (2) los arrendamientos operativos no están en el balance: el alquiler va dentro del EBITDA y no hay arrendamientos en la deuda ni en el capex. Segmentos solo para 2024-2025 (la empresa reorganizó FS y D&amp;L el 1-ene-2025 y reexpresó solo 2024). Comparables de distribución (Fastenal, MSC, Applied, RS) de la ficha del 14-oct pasados a CHF con el BCE del 14-oct. El precio de Heartland es confidencial y no está en el puente (ventas de unos 30 M USD, menos del 1 % del grupo). Sin transcripción accesible de las conferencias (Seeking Alpha de pago).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SFS Group AG (SFSN)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140,60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(98,30 – 146,40)</c:v>
                </c:pt>
                <c:pt idx="1">
                  <c:v>Precio objetivo de los analistas (135,00 – 146,00)</c:v>
                </c:pt>
                <c:pt idx="2">
                  <c:v>Comparables: PER NTM (160,60 – 216,97)</c:v>
                </c:pt>
                <c:pt idx="3">
                  <c:v>DCF (WACC y g ± 0,5) (114,80 – 160,34)</c:v>
                </c:pt>
                <c:pt idx="4">
                  <c:v>Escenarios (bajista – alcista) (95,79 – 148,23)</c:v>
                </c:pt>
                <c:pt idx="5">
                  <c:v>DCF con la prima implícita del mercado (4,2 %)</c:v>
                </c:pt>
                <c:pt idx="6">
                  <c:v>Precio actual (140,60)</c:v>
                </c:pt>
              </c:strCache>
            </c:strRef>
          </c:cat>
          <c:val>
            <c:numRef>
              <c:f>Hoja1!$B$2:$B$8</c:f>
              <c:numCache>
                <c:formatCode>#,##0</c:formatCode>
                <c:ptCount val="7"/>
                <c:pt idx="0">
                  <c:v>98.3</c:v>
                </c:pt>
                <c:pt idx="1">
                  <c:v>135</c:v>
                </c:pt>
                <c:pt idx="2">
                  <c:v>160.6</c:v>
                </c:pt>
                <c:pt idx="3">
                  <c:v>114.8</c:v>
                </c:pt>
                <c:pt idx="4">
                  <c:v>95.79</c:v>
                </c:pt>
                <c:pt idx="5">
                  <c:v>154.6</c:v>
                </c:pt>
                <c:pt idx="6">
                  <c:v>139.9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(98,30 – 146,40)</c:v>
                </c:pt>
                <c:pt idx="1">
                  <c:v>Precio objetivo de los analistas (135,00 – 146,00)</c:v>
                </c:pt>
                <c:pt idx="2">
                  <c:v>Comparables: PER NTM (160,60 – 216,97)</c:v>
                </c:pt>
                <c:pt idx="3">
                  <c:v>DCF (WACC y g ± 0,5) (114,80 – 160,34)</c:v>
                </c:pt>
                <c:pt idx="4">
                  <c:v>Escenarios (bajista – alcista) (95,79 – 148,23)</c:v>
                </c:pt>
                <c:pt idx="5">
                  <c:v>DCF con la prima implícita del mercado (4,2 %)</c:v>
                </c:pt>
                <c:pt idx="6">
                  <c:v>Precio actual (140,60)</c:v>
                </c:pt>
              </c:strCache>
            </c:strRef>
          </c:cat>
          <c:val>
            <c:numRef>
              <c:f>Hoja1!$C$2:$C$8</c:f>
              <c:numCache>
                <c:formatCode>#,##0</c:formatCode>
                <c:ptCount val="7"/>
                <c:pt idx="0">
                  <c:v>48.10000000000001</c:v>
                </c:pt>
                <c:pt idx="1">
                  <c:v>11</c:v>
                </c:pt>
                <c:pt idx="2">
                  <c:v>56.370000000000005</c:v>
                </c:pt>
                <c:pt idx="3">
                  <c:v>45.540000000000006</c:v>
                </c:pt>
                <c:pt idx="4">
                  <c:v>52.43999999999998</c:v>
                </c:pt>
                <c:pt idx="5">
                  <c:v>41.46000000000001</c:v>
                </c:pt>
                <c:pt idx="6">
                  <c:v>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Engineered Components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1124.9</c:v>
                </c:pt>
                <c:pt idx="1">
                  <c:v>1140.3</c:v>
                </c:pt>
              </c:numCache>
            </c:numRef>
          </c:val>
        </c:ser>
        <c:ser>
          <c:idx val="1"/>
          <c:order val="1"/>
          <c:tx>
            <c:strRef>
              <c:f>Hoja1!$C$1</c:f>
              <c:strCache>
                <c:ptCount val="1"/>
                <c:pt idx="0">
                  <c:v>Fastening Systems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589.1</c:v>
                </c:pt>
                <c:pt idx="1">
                  <c:v>580</c:v>
                </c:pt>
              </c:numCache>
            </c:numRef>
          </c:val>
        </c:ser>
        <c:ser>
          <c:idx val="2"/>
          <c:order val="2"/>
          <c:tx>
            <c:strRef>
              <c:f>Hoja1!$D$1</c:f>
              <c:strCache>
                <c:ptCount val="1"/>
                <c:pt idx="0">
                  <c:v>Distribution &amp; Logistics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1336.5</c:v>
                </c:pt>
                <c:pt idx="1">
                  <c:v>1339.7</c:v>
                </c:pt>
              </c:numCache>
            </c:numRef>
          </c:val>
        </c:ser>
        <c:ser>
          <c:idx val="3"/>
          <c:order val="3"/>
          <c:tx>
            <c:strRef>
              <c:f>Hoja1!$E$1</c:f>
              <c:strCache>
                <c:ptCount val="1"/>
                <c:pt idx="0">
                  <c:v>Corporativo y eliminaciones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-19.4</c:v>
                </c:pt>
                <c:pt idx="1">
                  <c:v>-14.6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Engineered Components</c:v>
                </c:pt>
                <c:pt idx="1">
                  <c:v>Fastening Systems</c:v>
                </c:pt>
                <c:pt idx="2">
                  <c:v>Distribution &amp; Logistics</c:v>
                </c:pt>
                <c:pt idx="3">
                  <c:v>Corporativo y eliminaciones</c:v>
                </c:pt>
              </c:strCache>
            </c:strRef>
          </c:cat>
          <c:val>
            <c:numRef>
              <c:f>Hoja1!$B$2:$B$5</c:f>
              <c:numCache>
                <c:formatCode>General</c:formatCode>
                <c:ptCount val="4"/>
                <c:pt idx="0">
                  <c:v>37.4</c:v>
                </c:pt>
                <c:pt idx="1">
                  <c:v>19</c:v>
                </c:pt>
                <c:pt idx="2">
                  <c:v>44</c:v>
                </c:pt>
                <c:pt idx="3">
                  <c:v>-0.5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Alemania</c:v>
                </c:pt>
                <c:pt idx="1">
                  <c:v>Resto de Europa</c:v>
                </c:pt>
                <c:pt idx="2">
                  <c:v>Norteamérica</c:v>
                </c:pt>
                <c:pt idx="3">
                  <c:v>Suiza</c:v>
                </c:pt>
                <c:pt idx="4">
                  <c:v>China</c:v>
                </c:pt>
                <c:pt idx="5">
                  <c:v>Resto de Asia</c:v>
                </c:pt>
                <c:pt idx="6">
                  <c:v>África y Australia</c:v>
                </c:pt>
              </c:strCache>
            </c:strRef>
          </c:cat>
          <c:val>
            <c:numRef>
              <c:f>Hoja1!$B$2:$B$8</c:f>
              <c:numCache>
                <c:formatCode>0"%"</c:formatCode>
                <c:ptCount val="7"/>
                <c:pt idx="0">
                  <c:v>29.7</c:v>
                </c:pt>
                <c:pt idx="1">
                  <c:v>27.1</c:v>
                </c:pt>
                <c:pt idx="2">
                  <c:v>17.8</c:v>
                </c:pt>
                <c:pt idx="3">
                  <c:v>11.1</c:v>
                </c:pt>
                <c:pt idx="4">
                  <c:v>8.8</c:v>
                </c:pt>
                <c:pt idx="5">
                  <c:v>5.2</c:v>
                </c:pt>
                <c:pt idx="6">
                  <c:v>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(IMARC, a 0,8334 CHF por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2025</c:v>
                </c:pt>
                <c:pt idx="1">
                  <c:v>2026e</c:v>
                </c:pt>
                <c:pt idx="2">
                  <c:v>2027e</c:v>
                </c:pt>
                <c:pt idx="3">
                  <c:v>2028e</c:v>
                </c:pt>
                <c:pt idx="4">
                  <c:v>2030e</c:v>
                </c:pt>
              </c:strCache>
            </c:strRef>
          </c:cat>
          <c:val>
            <c:numRef>
              <c:f>Hoja1!$B$2:$B$6</c:f>
              <c:numCache>
                <c:formatCode>#,##0</c:formatCode>
                <c:ptCount val="5"/>
                <c:pt idx="0">
                  <c:v>88260</c:v>
                </c:pt>
                <c:pt idx="1">
                  <c:v>91517</c:v>
                </c:pt>
                <c:pt idx="2">
                  <c:v>94894</c:v>
                </c:pt>
                <c:pt idx="3">
                  <c:v>98396</c:v>
                </c:pt>
                <c:pt idx="4">
                  <c:v>105791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SFS</c:v>
                </c:pt>
                <c:pt idx="1">
                  <c:v>Würth Group</c:v>
                </c:pt>
                <c:pt idx="2">
                  <c:v>Illinois Tool Works</c:v>
                </c:pt>
                <c:pt idx="3">
                  <c:v>Bossard</c:v>
                </c:pt>
                <c:pt idx="4">
                  <c:v>Bufab</c:v>
                </c:pt>
                <c:pt idx="5">
                  <c:v>LISI Group</c:v>
                </c:pt>
                <c:pt idx="6">
                  <c:v>Howmet Aerospace (fijaciones)</c:v>
                </c:pt>
              </c:strCache>
            </c:strRef>
          </c:cat>
          <c:val>
            <c:numRef>
              <c:f>Hoja1!$B$2:$B$8</c:f>
              <c:numCache>
                <c:formatCode>0.0"%"</c:formatCode>
                <c:ptCount val="7"/>
                <c:pt idx="0">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1897.3</c:v>
                </c:pt>
                <c:pt idx="1">
                  <c:v>2738.7</c:v>
                </c:pt>
                <c:pt idx="2">
                  <c:v>3073</c:v>
                </c:pt>
                <c:pt idx="3">
                  <c:v>3031.1</c:v>
                </c:pt>
                <c:pt idx="4">
                  <c:v>3045.4</c:v>
                </c:pt>
                <c:pt idx="5">
                  <c:v>3122</c:v>
                </c:pt>
                <c:pt idx="6">
                  <c:v>3262</c:v>
                </c:pt>
                <c:pt idx="7">
                  <c:v>3392</c:v>
                </c:pt>
                <c:pt idx="8">
                  <c:v>3511</c:v>
                </c:pt>
                <c:pt idx="9">
                  <c:v>3617</c:v>
                </c:pt>
                <c:pt idx="10">
                  <c:v>3707</c:v>
                </c:pt>
                <c:pt idx="11">
                  <c:v>3781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404</c:v>
                </c:pt>
                <c:pt idx="1">
                  <c:v>471</c:v>
                </c:pt>
                <c:pt idx="2">
                  <c:v>486</c:v>
                </c:pt>
                <c:pt idx="3">
                  <c:v>479.8</c:v>
                </c:pt>
                <c:pt idx="4">
                  <c:v>513.3000000000001</c:v>
                </c:pt>
                <c:pt idx="5">
                  <c:v>531</c:v>
                </c:pt>
                <c:pt idx="6">
                  <c:v>564</c:v>
                </c:pt>
                <c:pt idx="7">
                  <c:v>594</c:v>
                </c:pt>
                <c:pt idx="8">
                  <c:v>614</c:v>
                </c:pt>
                <c:pt idx="9">
                  <c:v>633</c:v>
                </c:pt>
                <c:pt idx="10">
                  <c:v>649</c:v>
                </c:pt>
                <c:pt idx="11">
                  <c:v>662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64.9</c:v>
                </c:pt>
                <c:pt idx="1">
                  <c:v>57.4</c:v>
                </c:pt>
                <c:pt idx="2">
                  <c:v>56.6</c:v>
                </c:pt>
                <c:pt idx="3">
                  <c:v>57.8</c:v>
                </c:pt>
                <c:pt idx="4">
                  <c:v>57.5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21.3</c:v>
                </c:pt>
                <c:pt idx="1">
                  <c:v>17.2</c:v>
                </c:pt>
                <c:pt idx="2">
                  <c:v>15.8</c:v>
                </c:pt>
                <c:pt idx="3">
                  <c:v>15.8</c:v>
                </c:pt>
                <c:pt idx="4">
                  <c:v>16.9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15.7</c:v>
                </c:pt>
                <c:pt idx="1">
                  <c:v>12.9</c:v>
                </c:pt>
                <c:pt idx="2">
                  <c:v>11.7</c:v>
                </c:pt>
                <c:pt idx="3">
                  <c:v>11.6</c:v>
                </c:pt>
                <c:pt idx="4">
                  <c:v>12.2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12.8</c:v>
                </c:pt>
                <c:pt idx="1">
                  <c:v>9.7</c:v>
                </c:pt>
                <c:pt idx="2">
                  <c:v>8.7</c:v>
                </c:pt>
                <c:pt idx="3">
                  <c:v>8</c:v>
                </c:pt>
                <c:pt idx="4">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-1.9</c:v>
                </c:pt>
                <c:pt idx="1">
                  <c:v>-0.8</c:v>
                </c:pt>
                <c:pt idx="2">
                  <c:v>-0.6</c:v>
                </c:pt>
                <c:pt idx="3">
                  <c:v>1.6</c:v>
                </c:pt>
                <c:pt idx="4">
                  <c:v>1.4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0.1</c:v>
                </c:pt>
                <c:pt idx="1">
                  <c:v>0.1</c:v>
                </c:pt>
                <c:pt idx="2">
                  <c:v>1.1</c:v>
                </c:pt>
                <c:pt idx="3">
                  <c:v>4.7</c:v>
                </c:pt>
                <c:pt idx="4">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c:v>
                </c:pt>
                <c:pt idx="1">
                  <c:v>55</c:v>
                </c:pt>
                <c:pt idx="2">
                  <c:v>54</c:v>
                </c:pt>
                <c:pt idx="3">
                  <c:v>56</c:v>
                </c:pt>
                <c:pt idx="4">
                  <c:v>57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93</c:v>
                </c:pt>
                <c:pt idx="1">
                  <c:v>101</c:v>
                </c:pt>
                <c:pt idx="2">
                  <c:v>78</c:v>
                </c:pt>
                <c:pt idx="3">
                  <c:v>79</c:v>
                </c:pt>
                <c:pt idx="4">
                  <c:v>80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31</c:v>
                </c:pt>
                <c:pt idx="1">
                  <c:v>33</c:v>
                </c:pt>
                <c:pt idx="2">
                  <c:v>26</c:v>
                </c:pt>
                <c:pt idx="3">
                  <c:v>24</c:v>
                </c:pt>
                <c:pt idx="4">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203.1</c:v>
                </c:pt>
                <c:pt idx="1">
                  <c:v>116.89999999999998</c:v>
                </c:pt>
                <c:pt idx="2">
                  <c:v>139.39999999999998</c:v>
                </c:pt>
                <c:pt idx="3">
                  <c:v>226.1</c:v>
                </c:pt>
                <c:pt idx="4">
                  <c:v>273.6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243.8</c:v>
                </c:pt>
                <c:pt idx="1">
                  <c:v>266.7</c:v>
                </c:pt>
                <c:pt idx="2">
                  <c:v>266</c:v>
                </c:pt>
                <c:pt idx="3">
                  <c:v>241.3</c:v>
                </c:pt>
                <c:pt idx="4">
                  <c:v>219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11.2</c:v>
                </c:pt>
                <c:pt idx="1">
                  <c:v>10.3</c:v>
                </c:pt>
                <c:pt idx="2">
                  <c:v>8.2</c:v>
                </c:pt>
                <c:pt idx="3">
                  <c:v>7.7</c:v>
                </c:pt>
                <c:pt idx="4">
                  <c:v>8.1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6.7</c:v>
                </c:pt>
                <c:pt idx="1">
                  <c:v>6.7</c:v>
                </c:pt>
                <c:pt idx="2">
                  <c:v>6.7</c:v>
                </c:pt>
                <c:pt idx="3">
                  <c:v>6.7</c:v>
                </c:pt>
                <c:pt idx="4">
                  <c:v>6.7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9.9</c:v>
                </c:pt>
                <c:pt idx="1">
                  <c:v>10.2</c:v>
                </c:pt>
                <c:pt idx="2">
                  <c:v>9.4</c:v>
                </c:pt>
                <c:pt idx="3">
                  <c:v>8.1</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-0.69</c:v>
                </c:pt>
                <c:pt idx="1">
                  <c:v>1.01</c:v>
                </c:pt>
                <c:pt idx="2">
                  <c:v>0.92</c:v>
                </c:pt>
                <c:pt idx="3">
                  <c:v>0.7</c:v>
                </c:pt>
                <c:pt idx="4">
                  <c:v>0.32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27.9</c:v>
                </c:pt>
                <c:pt idx="1">
                  <c:v>150</c:v>
                </c:pt>
                <c:pt idx="2">
                  <c:v>0</c:v>
                </c:pt>
                <c:pt idx="3">
                  <c:v>342.8</c:v>
                </c:pt>
                <c:pt idx="4">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7.6</c:v>
                </c:pt>
                <c:pt idx="1">
                  <c:v>519.1</c:v>
                </c:pt>
                <c:pt idx="2">
                  <c:v>10.3</c:v>
                </c:pt>
                <c:pt idx="3">
                  <c:v>17.1</c:v>
                </c:pt>
                <c:pt idx="4">
                  <c:v>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67.5</c:v>
                </c:pt>
                <c:pt idx="1">
                  <c:v>82</c:v>
                </c:pt>
                <c:pt idx="2">
                  <c:v>97.2</c:v>
                </c:pt>
                <c:pt idx="3">
                  <c:v>97.2</c:v>
                </c:pt>
                <c:pt idx="4">
                  <c:v>97.2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8.3</c:v>
                </c:pt>
                <c:pt idx="1">
                  <c:v>19.5</c:v>
                </c:pt>
                <c:pt idx="2">
                  <c:v>1.6</c:v>
                </c:pt>
                <c:pt idx="3">
                  <c:v>4</c:v>
                </c:pt>
                <c:pt idx="4">
                  <c:v>0.7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5</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Familias fundadoras Huber y Stadler/Tschan (pacto)</c:v>
                </c:pt>
                <c:pt idx="1">
                  <c:v>UBS Fund Management (Switzerland)</c:v>
                </c:pt>
                <c:pt idx="2">
                  <c:v>First SALT Stiftung / First ELF Stiftung (antiguos dueños de Hoffmann)</c:v>
                </c:pt>
                <c:pt idx="3">
                  <c:v>Autocartera</c:v>
                </c:pt>
              </c:strCache>
            </c:strRef>
          </c:cat>
          <c:val>
            <c:numRef>
              <c:f>Hoja1!$B$2:$B$5</c:f>
              <c:numCache>
                <c:formatCode>0.0"%"</c:formatCode>
                <c:ptCount val="4"/>
                <c:pt idx="0">
                  <c:v>53.31</c:v>
                </c:pt>
                <c:pt idx="1">
                  <c:v>5.75</c:v>
                </c:pt>
                <c:pt idx="2">
                  <c:v>4.11</c:v>
                </c:pt>
                <c:pt idx="3">
                  <c:v>0.06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18.7</c:v>
                </c:pt>
                <c:pt idx="1">
                  <c:v>36.2</c:v>
                </c:pt>
                <c:pt idx="2">
                  <c:v>-32.6</c:v>
                </c:pt>
                <c:pt idx="3">
                  <c:v>22</c:v>
                </c:pt>
                <c:pt idx="4">
                  <c:v>12.8</c:v>
                </c:pt>
                <c:pt idx="5">
                  <c:v>20.2</c:v>
                </c:pt>
                <c:pt idx="6">
                  <c:v>-30.7</c:v>
                </c:pt>
                <c:pt idx="7">
                  <c:v>19.1</c:v>
                </c:pt>
                <c:pt idx="8">
                  <c:v>20.5</c:v>
                </c:pt>
                <c:pt idx="9">
                  <c:v>-13.5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c:v>
                </c:pt>
                <c:pt idx="1">
                  <c:v>19.9</c:v>
                </c:pt>
                <c:pt idx="2">
                  <c:v>-8.6</c:v>
                </c:pt>
                <c:pt idx="3">
                  <c:v>30.6</c:v>
                </c:pt>
                <c:pt idx="4">
                  <c:v>3.8</c:v>
                </c:pt>
                <c:pt idx="5">
                  <c:v>23.4</c:v>
                </c:pt>
                <c:pt idx="6">
                  <c:v>-16.5</c:v>
                </c:pt>
                <c:pt idx="7">
                  <c:v>6.1</c:v>
                </c:pt>
                <c:pt idx="8">
                  <c:v>6.2</c:v>
                </c:pt>
                <c:pt idx="9">
                  <c:v>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11.1</c:v>
                </c:pt>
                <c:pt idx="1">
                  <c:v>8.2</c:v>
                </c:pt>
                <c:pt idx="2">
                  <c:v>9.3</c:v>
                </c:pt>
                <c:pt idx="3">
                  <c:v>10.9</c:v>
                </c:pt>
                <c:pt idx="4">
                  <c:v>8.6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9.3</c:v>
                </c:pt>
                <c:pt idx="1">
                  <c:v>9.3</c:v>
                </c:pt>
                <c:pt idx="2">
                  <c:v>9.3</c:v>
                </c:pt>
                <c:pt idx="3">
                  <c:v>9.3</c:v>
                </c:pt>
                <c:pt idx="4">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SFS</c:v>
                </c:pt>
                <c:pt idx="1">
                  <c:v>Bossard</c:v>
                </c:pt>
                <c:pt idx="2">
                  <c:v>Bufab</c:v>
                </c:pt>
                <c:pt idx="3">
                  <c:v>Illinois Tool Works</c:v>
                </c:pt>
                <c:pt idx="4">
                  <c:v>Fastenal</c:v>
                </c:pt>
                <c:pt idx="5">
                  <c:v>MSC Industrial Direct</c:v>
                </c:pt>
                <c:pt idx="6">
                  <c:v>Applied Industrial Technologies</c:v>
                </c:pt>
                <c:pt idx="7">
                  <c:v>RS Group</c:v>
                </c:pt>
              </c:strCache>
            </c:strRef>
          </c:cat>
          <c:val>
            <c:numRef>
              <c:f>Hoja1!$B$2:$B$9</c:f>
              <c:numCache>
                <c:formatCode>0.0"x"</c:formatCode>
                <c:ptCount val="8"/>
                <c:pt idx="0">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Hoffmann SE (distribución de herramientas, DE)</c:v>
                </c:pt>
                <c:pt idx="1">
                  <c:v>Etanco Group (fijaciones para construcción, FR)</c:v>
                </c:pt>
                <c:pt idx="2">
                  <c:v>Heartland Precision Fasteners (fijaciones aeronáuticas, EE. UU.)</c:v>
                </c:pt>
              </c:strCache>
            </c:strRef>
          </c:cat>
          <c:val>
            <c:numRef>
              <c:f>Hoja1!$B$2:$B$4</c:f>
              <c:numCache>
                <c:formatCode>0.0"x"</c:formatCode>
                <c:ptCount val="3"/>
                <c:pt idx="1">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277</c:v>
                </c:pt>
                <c:pt idx="1">
                  <c:v>274</c:v>
                </c:pt>
                <c:pt idx="2">
                  <c:v>284</c:v>
                </c:pt>
                <c:pt idx="3">
                  <c:v>299</c:v>
                </c:pt>
                <c:pt idx="4">
                  <c:v>313</c:v>
                </c:pt>
                <c:pt idx="5">
                  <c:v>325</c:v>
                </c:pt>
                <c:pt idx="6">
                  <c:v>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1542</c:v>
                </c:pt>
                <c:pt idx="1">
                  <c:v>3992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140,60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95.79</c:v>
                </c:pt>
                <c:pt idx="1">
                  <c:v>133.6</c:v>
                </c:pt>
                <c:pt idx="2">
                  <c:v>148.23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140,60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(98,30 – 146,40)</c:v>
                </c:pt>
                <c:pt idx="1">
                  <c:v>Precio objetivo de los analistas (135,00 – 146,00)</c:v>
                </c:pt>
                <c:pt idx="2">
                  <c:v>Comparables: PER NTM (160,60 – 216,97)</c:v>
                </c:pt>
                <c:pt idx="3">
                  <c:v>DCF (WACC y g ± 0,5) (114,80 – 160,34)</c:v>
                </c:pt>
                <c:pt idx="4">
                  <c:v>Escenarios (bajista – alcista) (95,79 – 148,23)</c:v>
                </c:pt>
                <c:pt idx="5">
                  <c:v>DCF con la prima implícita del mercado (4,2 %)</c:v>
                </c:pt>
                <c:pt idx="6">
                  <c:v>Precio actual (140,60)</c:v>
                </c:pt>
              </c:strCache>
            </c:strRef>
          </c:cat>
          <c:val>
            <c:numRef>
              <c:f>Hoja1!$B$2:$B$8</c:f>
              <c:numCache>
                <c:formatCode>#,##0</c:formatCode>
                <c:ptCount val="7"/>
                <c:pt idx="0">
                  <c:v>98.3</c:v>
                </c:pt>
                <c:pt idx="1">
                  <c:v>135</c:v>
                </c:pt>
                <c:pt idx="2">
                  <c:v>160.6</c:v>
                </c:pt>
                <c:pt idx="3">
                  <c:v>114.8</c:v>
                </c:pt>
                <c:pt idx="4">
                  <c:v>95.79</c:v>
                </c:pt>
                <c:pt idx="5">
                  <c:v>154.6</c:v>
                </c:pt>
                <c:pt idx="6">
                  <c:v>139.9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(98,30 – 146,40)</c:v>
                </c:pt>
                <c:pt idx="1">
                  <c:v>Precio objetivo de los analistas (135,00 – 146,00)</c:v>
                </c:pt>
                <c:pt idx="2">
                  <c:v>Comparables: PER NTM (160,60 – 216,97)</c:v>
                </c:pt>
                <c:pt idx="3">
                  <c:v>DCF (WACC y g ± 0,5) (114,80 – 160,34)</c:v>
                </c:pt>
                <c:pt idx="4">
                  <c:v>Escenarios (bajista – alcista) (95,79 – 148,23)</c:v>
                </c:pt>
                <c:pt idx="5">
                  <c:v>DCF con la prima implícita del mercado (4,2 %)</c:v>
                </c:pt>
                <c:pt idx="6">
                  <c:v>Precio actual (140,60)</c:v>
                </c:pt>
              </c:strCache>
            </c:strRef>
          </c:cat>
          <c:val>
            <c:numRef>
              <c:f>Hoja1!$C$2:$C$8</c:f>
              <c:numCache>
                <c:formatCode>#,##0</c:formatCode>
                <c:ptCount val="7"/>
                <c:pt idx="0">
                  <c:v>48.10000000000001</c:v>
                </c:pt>
                <c:pt idx="1">
                  <c:v>11</c:v>
                </c:pt>
                <c:pt idx="2">
                  <c:v>56.370000000000005</c:v>
                </c:pt>
                <c:pt idx="3">
                  <c:v>45.540000000000006</c:v>
                </c:pt>
                <c:pt idx="4">
                  <c:v>52.43999999999998</c:v>
                </c:pt>
                <c:pt idx="5">
                  <c:v>41.46000000000001</c:v>
                </c:pt>
                <c:pt idx="6">
                  <c:v>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