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Graco Inc.</w:t>
      </w:r>
    </w:p>
    <w:p>
      <w:pPr>
        <w:spacing w:after="60"/>
        <w:rPr>
          <w:color w:val="52514E"/>
          <w:sz w:val="22"/>
          <w:szCs w:val="22"/>
        </w:rPr>
      </w:pPr>
      <w:r>
        <w:rPr>
          <w:color w:val="52514E"/>
          <w:sz w:val="22"/>
          <w:szCs w:val="22"/>
        </w:rPr>
        <w:t xml:space="preserve">GGG · New York Stock Exchange · ISIN US3841091040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80,48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89,66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+12,8 % (base +18,5 %)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62,09 USD · mercado 67,53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13.199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Graco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GGG / US3841091040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Minneapolis (Minnesota) · 1926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www.graco.com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72,51 – 95,69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13.199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13.155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89,66 USD</w:t>
      </w:r>
      <w:r>
        <w:t xml:space="preserve"> frente a 80,48 · Rentabilidad a 12 meses </w:t>
      </w:r>
      <w:r>
        <w:rPr>
          <w:b/>
          <w:bCs/>
        </w:rPr>
        <w:t xml:space="preserve">+12,8 % (base +18,5 %)</w:t>
      </w:r>
      <w:r>
        <w:t xml:space="preserve"> · Valor intrínseco 62,09 USD · con la prima implícita del mercado: 67,53 (-16,1 %) · Alcista / bajista -21,0 % / -42,9 %</w:t>
      </w:r>
    </w:p>
    <w:p>
      <w:pPr>
        <w:spacing w:after="100"/>
      </w:pPr>
      <w:r>
        <w:rPr>
          <w:b/>
        </w:rPr>
        <w:t xml:space="preserve">La recomendación y por qué.</w:t>
      </w:r>
      <w:r>
        <w:t xml:space="preserve"> Mantener, con convicción media. El objetivo a 12 meses es de 89,66 USD (ponderado; 94,23 en el base) frente a un precio de 80,48 USD (cierre del 14-oct-26): rentabilidad del 12,8 % ponderada y del 18,5 % en el base, con dividendo. No llega al 15 % que pide la regla, y el valor intrínseco (62,09 USD, un 22,9 % por debajo del precio) tampoco lo permite. El objetivo medio de 10 analistas (91,14 USD) está dentro de nuestro rango. La asimetría a 12 meses es de 1,5 (alcista 108,25, bajista 61,92). La convicción es media porque las dos reglas coinciden lejos de sus umbrales; subiría si el precio bajara de 62,09 USD o si los resultados del 21-oct mostraran crecimiento orgánico con margen por encima del 32 %.</w:t>
      </w:r>
    </w:p>
    <w:p>
      <w:pPr>
        <w:spacing w:after="100"/>
      </w:pPr>
      <w:r>
        <w:rPr>
          <w:b/>
        </w:rPr>
        <w:t xml:space="preserve">El negocio.</w:t>
      </w:r>
      <w:r>
        <w:t xml:space="preserve"> Graco es una empresa de calidad alta: ROIC del 24,6 % frente a un WACC del 10,37 % (14,2 puntos; veredicto de calidad: </w:t>
      </w:r>
      <w:r>
        <w:rPr>
          <w:b/>
        </w:rPr>
        <w:t xml:space="preserve">Sí</w:t>
      </w:r>
      <w:r>
        <w:t xml:space="preserve">), margen EBITDA del 32 % frente al 26,5 % de la mediana de sus pares, foso amplio (marca entre profesionales, recambios, escala en nichos) y caja neta [1]. La calidad sí sostiene el crecimiento que proyectamos (4,2 % anual, la mitad precio): el ROIC incremental es del 19 % y la reinversión necesaria es pequeña. El riesgo de que la IA se coma el negocio es bajo: vende equipos físicos de alta presión y la IA empuja centros de datos y semiconductores, que compran sus equipos.</w:t>
      </w:r>
    </w:p>
    <w:p>
      <w:pPr>
        <w:spacing w:after="100"/>
      </w:pPr>
      <w:r>
        <w:rPr>
          <w:b/>
        </w:rPr>
        <w:t xml:space="preserve">Sector y ciclo.</w:t>
      </w:r>
      <w:r>
        <w:t xml:space="preserve"> Contractor (48 % de las ventas) depende de la vivienda estadounidense, que sigue en contracción: viviendas iniciadas de 1,275 millones e hipoteca al 7,40 % [27, 29]. Tras tres años sin crecimiento orgánico, los pedidos suben (+5 % en el 2T26, cartera +28 %) [34].</w:t>
      </w:r>
    </w:p>
    <w:p>
      <w:pPr>
        <w:spacing w:after="100"/>
      </w:pPr>
      <w:r>
        <w:rPr>
          <w:b/>
        </w:rPr>
        <w:t xml:space="preserve">Finanzas.</w:t>
      </w:r>
      <w:r>
        <w:t xml:space="preserve"> Conversión de beneficio en caja libre del 122 % en 2025; caja neta de 478 M a junio, que Valco Melton (447 M a 14x EBITDA) deja cerca de cero [14]. Corob, la compra de 2024, no alcanzó su plan: se liberaron 14,1 M de pago contingente [1].</w:t>
      </w:r>
    </w:p>
    <w:p>
      <w:pPr>
        <w:spacing w:after="100"/>
      </w:pPr>
      <w:r>
        <w:rPr>
          <w:b/>
        </w:rPr>
        <w:t xml:space="preserve">Equipo y gobierno.</w:t>
      </w:r>
      <w:r>
        <w:t xml:space="preserve"> Suma poco y resta algo: el 31,5 % votó contra la remuneración, cuyo variable a largo plazo son opciones sin condiciones de rentabilidad, y el consejo es escalonado [10, 11]. Cambio de director financiero en abril.</w:t>
      </w:r>
    </w:p>
    <w:p>
      <w:pPr>
        <w:spacing w:after="100"/>
      </w:pPr>
      <w:r>
        <w:rPr>
          <w:b/>
        </w:rPr>
        <w:t xml:space="preserve">Valoración.</w:t>
      </w:r>
      <w:r>
        <w:t xml:space="preserve"> El DCF da 57,96 USD con un bono al 5,21 %; el DCF inverso dice que el precio descuenta un crecimiento del 10,5 % anual frente a nuestro 3,9 %, o una rentabilidad del 7,3 % frente a un WACC del 10,37 %. Con la prima del mercado, 67,53 USD. Solo los comparables (81,77 USD) justifican el precio: Graco se valora por múltiplo de calidad (23,7x el beneficio de los próximos 12 meses, bajo su mediana adelantada de 27,9x). La regla v2 de control da un 7,4 %: tampoco es compra.</w:t>
      </w:r>
    </w:p>
    <w:p>
      <w:pPr>
        <w:spacing w:after="100"/>
      </w:pPr>
      <w:r>
        <w:rPr>
          <w:b/>
        </w:rPr>
        <w:t xml:space="preserve">Riesgos y catalizadores.</w:t>
      </w:r>
      <w:r>
        <w:t xml:space="preserve"> Una recaída de la vivienda y de la industria en 2027 (bajista: −23,1 % a 12 meses), los tipos altos que comprimen el múltiplo y compras caras. Catalizadores: resultados del 21-oct-26 y guía de 2027 a finales de enero [41]. Los foros repiten «cara para lo que crece», en línea con la tesis.</w:t>
      </w:r>
    </w:p>
    <w:p>
      <w:pPr>
        <w:spacing w:after="100"/>
      </w:pPr>
      <w:r>
        <w:rPr>
          <w:b/>
        </w:rPr>
        <w:t xml:space="preserve">Qué cambiaría la decisión.</w:t>
      </w:r>
      <w:r>
        <w:t xml:space="preserve"> Compraríamos por debajo de 62,09 USD y venderíamos por encima de 100,91 USD. Las pruebas de robustez dan un veredicto sólido, pero en cartera no pasaría el filtro de mantener (valor intrínseco un 23 % bajo el precio y v2 del 7,3 %): es para esperar, no para tener. Bajaríamos a Vender si el orgánico del 3T26 o el 4T26 es negativo con la cartera al +28 % o si el margen EBITDA de 2026 baja del 31 %.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89,66 USD</w:t>
      </w:r>
      <w:r>
        <w:t xml:space="preserve"> (rentabilidad +12,8 % (base +18,5 %)) · Valor intrínseco: 62,09 USD (-22,9 % sobre 80,48) · con la prima implícita del mercado: 67,53 (-16,1 %)</w:t>
      </w:r>
    </w:p>
    <w:p>
      <w:pPr>
        <w:spacing w:after="100"/>
      </w:pPr>
      <w:r>
        <w:t xml:space="preserve">Graco es el especialista mundial en mover, dosificar y pulverizar fluidos difíciles: 2.237 M USD de ventas en 2025, margen EBITDA del 32 %, ROIC del 24,6 % y caja neta. Su foso son la marca entre pintores profesionales, una base instalada con recambios y fábricas propias a escala en nichos pequeños; ha subido precios un 1,5-2 % al año sin perder margen bruto pese a los aranceles [1, 34].</w:t>
      </w:r>
    </w:p>
    <w:p>
      <w:pPr>
        <w:spacing w:after="100"/>
      </w:pPr>
      <w:r>
        <w:t xml:space="preserve">El precio de 80,48 USD descuenta mucho: con el coste de capital de hoy (10,4 %, bono al 5,21 %), un crecimiento del 10,5 % anual hasta 2033, el doble de su historia. En múltiplos, 23,7x el beneficio de los próximos 12 meses, por debajo de su mediana adelantada de 27,9x y de la de sus pares (24,1x): el mercado ya le ha quitado parte de la prima por tres años sin crecimiento orgánico.</w:t>
      </w:r>
    </w:p>
    <w:p>
      <w:pPr>
        <w:spacing w:after="100"/>
      </w:pPr>
      <w:r>
        <w:t xml:space="preserve">Para invertir hay que creer que la prima de calidad sobrevive a tipos altos y que el ciclo de la vivienda y de la industria gira en 2027. Los pedidos (+5 %) y la cartera (+28 %) apuntan a una mejora, pero la vivienda no acompaña. Nuestro objetivo a 12 meses (89,66 USD, +12,8 %) queda cerca del consenso: sin ventaja de información ni margen de seguridad, es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 × 3,05 = 61,92 · 25,4x × 3,71 = 94,23 · 27,9x × 3,88 = 108,25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 / 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91,14 (nuestro base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-42,9 %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10,4 %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frente a 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62,09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62,09 y 100,91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62,09 USD, Comprar; por encima de 100,91 USD, Vender.</w:t>
      </w:r>
    </w:p>
    <w:p>
      <w:pPr>
        <w:pStyle w:val="ListParagraph"/>
        <w:numPr>
          <w:ilvl w:val="0"/>
          <w:numId w:val="2"/>
        </w:numPr>
        <w:spacing w:after="60"/>
      </w:pPr>
      <w:r>
        <w:t xml:space="preserve">Si el crecimiento orgánico del 3T26 o del 4T26 es negativo con la cartera al +28 %, revisaríamos el BPA y probablemente bajaríamos el objetivo.</w:t>
      </w:r>
    </w:p>
    <w:p>
      <w:pPr>
        <w:pStyle w:val="ListParagraph"/>
        <w:numPr>
          <w:ilvl w:val="0"/>
          <w:numId w:val="2"/>
        </w:numPr>
        <w:spacing w:after="60"/>
      </w:pPr>
      <w:r>
        <w:t xml:space="preserve">Si el margen EBITDA de 2026 queda por debajo del 31 %, revisaríamos el caso base.</w:t>
      </w:r>
    </w:p>
    <w:p>
      <w:pPr>
        <w:pStyle w:val="ListParagraph"/>
        <w:numPr>
          <w:ilvl w:val="0"/>
          <w:numId w:val="2"/>
        </w:numPr>
        <w:spacing w:after="60"/>
      </w:pPr>
      <w:r>
        <w:t xml:space="preserve">Si el bono a 10 años baja del 4,5 %, el valor intrínseco subiría por encima de 70 USD y revisaríamos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Graco recuperará el crecimiento de su historia (5-6 % anual) y conservará un PER de 23-25 veces aunque el bono esté al 5,2 %. Los analistas, con siete «mantener» de diez, esperan un BPA de 3,77 USD en 2028 y un precio de 91 USD.</w:t>
      </w:r>
    </w:p>
    <w:p>
      <w:pPr>
        <w:keepNext/>
        <w:spacing w:after="100"/>
      </w:pPr>
      <w:r>
        <w:rPr>
          <w:b/>
          <w:bCs/>
        </w:rPr>
        <w:t xml:space="preserve">Lo que creemos nosotros.</w:t>
      </w:r>
    </w:p>
    <w:p>
      <w:pPr>
        <w:spacing w:after="100"/>
      </w:pPr>
      <w:r>
        <w:t xml:space="preserve">Coincidimos en el BPA (3,71 USD en 2028e) y en el negocio, pero no en el precio que merece: con el coste de capital de hoy, el valor intrínseco es de 62 USD y la rentabilidad a 12 meses (12,8 %) no compensa el riesgo de un nuevo año malo en la vivienda.</w:t>
      </w:r>
    </w:p>
    <w:p>
      <w:pPr>
        <w:keepNext/>
        <w:spacing w:after="100"/>
      </w:pPr>
      <w:r>
        <w:rPr>
          <w:b/>
          <w:bCs/>
        </w:rPr>
        <w:t xml:space="preserve">Por qué podemos tener razón.</w:t>
      </w:r>
    </w:p>
    <w:p>
      <w:pPr>
        <w:spacing w:after="100"/>
      </w:pPr>
      <w:r>
        <w:t xml:space="preserve">No tenemos una visión distinta del mercado sobre el negocio: la diferencia está en el coste de capital. Si los tipos bajan, el DCF converge al precio; si no, la prima se estrecha. Es una conclusión válida: Mantener a la espera de mejor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0,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 primera</w:t>
      </w:r>
      <w:r>
        <w:t xml:space="preserve">: ROIC del 24,6 % frente a un WACC del 10,37 %, 14,2 puntos de diferencia.</w:t>
      </w:r>
    </w:p>
    <w:p>
      <w:pPr>
        <w:pStyle w:val="ListParagraph"/>
        <w:numPr>
          <w:ilvl w:val="0"/>
          <w:numId w:val="2"/>
        </w:numPr>
        <w:spacing w:after="60"/>
      </w:pPr>
      <w:r>
        <w:rPr>
          <w:b/>
        </w:rPr>
        <w:t xml:space="preserve">Margen y precio</w:t>
      </w:r>
      <w:r>
        <w:t xml:space="preserve">: margen EBITDA del 32 % y margen bruto del 52-53 % pese a los aranceles [1].</w:t>
      </w:r>
    </w:p>
    <w:p>
      <w:pPr>
        <w:pStyle w:val="ListParagraph"/>
        <w:numPr>
          <w:ilvl w:val="0"/>
          <w:numId w:val="2"/>
        </w:numPr>
        <w:spacing w:after="60"/>
      </w:pPr>
      <w:r>
        <w:rPr>
          <w:b/>
        </w:rPr>
        <w:t xml:space="preserve">Pedidos al alza</w:t>
      </w:r>
      <w:r>
        <w:t xml:space="preserve">: +5 % orgánico en el 2T26 y cartera +28 % desde enero [34].</w:t>
      </w:r>
    </w:p>
    <w:p>
      <w:pPr>
        <w:pStyle w:val="ListParagraph"/>
        <w:numPr>
          <w:ilvl w:val="0"/>
          <w:numId w:val="2"/>
        </w:numPr>
        <w:spacing w:after="60"/>
      </w:pPr>
      <w:r>
        <w:rPr>
          <w:b/>
        </w:rPr>
        <w:t xml:space="preserve">Caja y recompras</w:t>
      </w:r>
      <w:r>
        <w:t xml:space="preserve">: conversión del 122 % en 2025 y 754 M recomprados en 18 meses [1, 2].</w:t>
      </w:r>
    </w:p>
    <w:p>
      <w:pPr>
        <w:pStyle w:val="ListParagraph"/>
        <w:numPr>
          <w:ilvl w:val="0"/>
          <w:numId w:val="2"/>
        </w:numPr>
        <w:spacing w:after="60"/>
      </w:pPr>
      <w:r>
        <w:rPr>
          <w:b/>
        </w:rPr>
        <w:t xml:space="preserve">Múltiplo bajo su historia</w:t>
      </w:r>
      <w:r>
        <w:t xml:space="preserve">: 23,1x el BPA de 2027e frente a 27,9x de mediana adelantada.</w:t>
      </w:r>
    </w:p>
    <w:p>
      <w:pPr>
        <w:pStyle w:val="Heading2"/>
      </w:pPr>
      <w:r>
        <w:t xml:space="preserve">En contra</w:t>
      </w:r>
    </w:p>
    <w:p>
      <w:pPr>
        <w:pStyle w:val="ListParagraph"/>
        <w:numPr>
          <w:ilvl w:val="0"/>
          <w:numId w:val="2"/>
        </w:numPr>
        <w:spacing w:after="60"/>
      </w:pPr>
      <w:r>
        <w:rPr>
          <w:b/>
        </w:rPr>
        <w:t xml:space="preserve">Valor intrínseco bajo el precio</w:t>
      </w:r>
      <w:r>
        <w:t xml:space="preserve">: 62,09 USD (−22,9 %) con un bono al 5,21 %.</w:t>
      </w:r>
    </w:p>
    <w:p>
      <w:pPr>
        <w:pStyle w:val="ListParagraph"/>
        <w:numPr>
          <w:ilvl w:val="0"/>
          <w:numId w:val="2"/>
        </w:numPr>
        <w:spacing w:after="60"/>
      </w:pPr>
      <w:r>
        <w:rPr>
          <w:b/>
        </w:rPr>
        <w:t xml:space="preserve">Sin crecimiento orgánico</w:t>
      </w:r>
      <w:r>
        <w:t xml:space="preserve">: 0 % en 2025 y −3 % en el 1S26 [1, 2].</w:t>
      </w:r>
    </w:p>
    <w:p>
      <w:pPr>
        <w:pStyle w:val="ListParagraph"/>
        <w:numPr>
          <w:ilvl w:val="0"/>
          <w:numId w:val="2"/>
        </w:numPr>
        <w:spacing w:after="60"/>
      </w:pPr>
      <w:r>
        <w:rPr>
          <w:b/>
        </w:rPr>
        <w:t xml:space="preserve">Vivienda en contracción</w:t>
      </w:r>
      <w:r>
        <w:t xml:space="preserve">: viviendas iniciadas de 1,275 millones e hipoteca al 7,40 % [27, 29].</w:t>
      </w:r>
    </w:p>
    <w:p>
      <w:pPr>
        <w:pStyle w:val="ListParagraph"/>
        <w:numPr>
          <w:ilvl w:val="0"/>
          <w:numId w:val="2"/>
        </w:numPr>
        <w:spacing w:after="60"/>
      </w:pPr>
      <w:r>
        <w:rPr>
          <w:b/>
        </w:rPr>
        <w:t xml:space="preserve">Compras más caras</w:t>
      </w:r>
      <w:r>
        <w:t xml:space="preserve">: Valco Melton a 14x EBITDA; Corob por debajo del plan [1, 14].</w:t>
      </w:r>
    </w:p>
    <w:p>
      <w:pPr>
        <w:pStyle w:val="ListParagraph"/>
        <w:numPr>
          <w:ilvl w:val="0"/>
          <w:numId w:val="2"/>
        </w:numPr>
        <w:spacing w:after="60"/>
      </w:pPr>
      <w:r>
        <w:rPr>
          <w:b/>
        </w:rPr>
        <w:t xml:space="preserve">Remuneración contestada</w:t>
      </w:r>
      <w:r>
        <w:t xml:space="preserve">: 31,5 % en contra en la junta de 2026 [11].</w:t>
      </w:r>
    </w:p>
    <w:p>
      <w:pPr>
        <w:pStyle w:val="Heading2"/>
      </w:pPr>
      <w:r>
        <w:t xml:space="preserve">Qué tiene que pasar para que la tesis funcione</w:t>
      </w:r>
    </w:p>
    <w:p>
      <w:pPr>
        <w:spacing w:after="100"/>
      </w:pPr>
      <w:r>
        <w:t xml:space="preserve">La tesis depende de que la cartera de pedidos (+28 % desde enero) se convierta en crecimiento orgánico positivo en el 2S26 y en 2027 sin que caiga el margen, mientras la vivienda se estabiliza. La señal de que no se cumple sería un crecimiento orgánico negativo en el 3T26 (resultados del 21-oct) o en el 4T26, con Contractor en América otra vez a la baja, o un bono a 10 años por encima del 5,5 % que siga comprimiendo el múltiplo.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 −3 %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2027e.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adelantada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 (2025 normalizado)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y la dilución de las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Viviendas iniciadas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 millones (ago-26)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millones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Contractor (48 %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coste de capital y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25,3x / 23,7x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(2017-2025)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Graco se fundó en Minneapolis en 1926 y celebra su centenario en 2026 [5]. Creció como especialista en manejar fluidos difíciles (viscosos, abrasivos, de dos componentes): pulverizadores airless de pintura para profesionales, bombas y equipos de acabado industrial. Deloitte la audita al menos desde 1969 [1]. En la última década ha mantenido márgenes operativos del 26-29 % y ha invertido en plantas nuevas en Minnesota (capex de 201 y 185 M en 2022-2023) [9]. Desde 2024 ha acelerado las compras: Corob (2024, 291 M), Color Service y Radia (2025) y Valco Melton (2026, 447 M), la mayor de la década, con un nuevo director financiero procedente de General Motors [1,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Minneapolis; 2026 es su año 100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Deloitte audita la empresa al menos desde este año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Estatutos reformados el 8-dic-2017 (desdoblamiento de 3 por 1); serie de BPA reexpresada [2,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Sheahan, director financiero desde 2018, pasa a consejero delegado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récord en plantas (capex de 201 y 185 M) [1,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Corob (290,7 M), la mayor en una década hasta entonces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segmentación (Contractor, Industrial, Expansion Markets) y compras de Color Service y Radia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Valco Melton (447 M) y nuevo director financiero (Sanjiv Gupta, procedente de General Motors) [13,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Graco diseña, fabrica y vende sistemas para mover, medir, mezclar, dosificar y pulverizar fluidos y polvo. Contractor (48 % de las ventas de 2025, 1.072 M) vende pulverizadores airless de pintura para profesionales y bricolaje, proporcionadoras de espuma y poliurea, marcado de vías y, desde Corob, dosificación de tintes. Industrial (45 %, 997 M) vende acabado líquido y en polvo (Gema), dosificación de selladores y adhesivos, bombas de proceso y lubricación; Valco Melton (adhesivos para envases) entra aquí desde sep-26. Expansion Markets (7 %, 168 M) vende bombas para semiconductores, válvulas de alta presión y equipos ambientales [1, 15]. Vende sobre todo a través de distribuidores y grandes superficies; América es el 60 % de las ventas y EE. UU. el 52 %. Fabrica sobre todo en EE. UU. y tiene 4.400 empleados [1].</w:t>
      </w:r>
    </w:p>
    <w:p>
      <w:pPr>
        <w:pStyle w:val="Heading2"/>
      </w:pPr>
      <w:r>
        <w:t xml:space="preserve">Cómo gana dinero</w:t>
      </w:r>
    </w:p>
    <w:p>
      <w:pPr>
        <w:spacing w:after="100"/>
      </w:pPr>
      <w:r>
        <w:t xml:space="preserve">Gana con equipos especializados y caros de sustituir y con recambios y accesorios (en Valco Melton, más de la mitad de las ventas) [34]. El margen bruto del 52-53 % y el operativo del 28 % salen de nichos pequeños donde es líder, de la marca entre profesionales y de fabricar en grandes plantas propias con poca mano de obra. El apalancamiento operativo es alto: en 2024 las ventas cayeron un 3,7 % y el BPA un 4 %; en el 2T26, con un 3 % más de ventas, el beneficio operativo subió un 11 % [1, 3]. La estacionalidad favorece al 2T y al 4T (pintura de primavera, proyectos de fin de año).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Expansion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no asignado y ajustes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Expansion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no asignado y ajustes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 cliente (una cadena de grandes superficies, en Contractor e Industrial) supera el 10 % de las ventas del grupo en 2023-2025; el resto se reparte entre miles de distribuidores [1]. Poder de precios demostrado: el margen bruto se mantuvo en el 52,5 % en 2025 pese a 14 M de aranceles adicionales, con un 1,5-2 % de subida de precios al año [1, 34].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(volumen y precio, sin divisa ni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(2025); −3 %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«low single-digit»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 en el 1T26 (proyectos de acabado en polvo) y −1 % en el 2T26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«estables»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el 2T26; media de seis semanas +14 %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sin compras +28 % (57 M) desde inicio de año a 17-jul-26 [3, 34].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Contractor: crecimiento orgánico en 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Primer trimestre al alza en casi dos años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Pintura profesional y gran superficie; espuma y recubrimientos de protección por centros de datos e infraestructuras [2, 34].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 (2025); 29,6 %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incluye 9 M de devolución de aranceles IEEPA; 2025, 14,1 M de ganancia por contraprestación contingente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compradas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 4 %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Corob, Color Service, Radia; Valco Melton desde sep-26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Contractor sumó 100 M de ventas compradas en 2025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desarrollo de producto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M (4,1 % de las ventas,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M (3,7 %,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de ≈4 % de las ventas en los últimos años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equipos de pulverización de pintura y recubrimientos (airless, aire y electrostáticos) y de dosificación de fluidos, mundial, con el núcleo en el profesional estadounidense. Se usa la cifra de Future Market Insights para las máquinas de pintura por pulverización (4.800 M USD en 2025) porque cubre Contractor y el acabado industrial; la de WiseGuy (pulverizadores airless, 1.975 M) es el núcleo de Contractor [30, 31]. No hay cifra fiable para la dosificación industrial; la ficha sectorial de bombas y fluidos del repositorio no tiene un mercado final con este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≈4.800 M USD en 2025 las máquinas de pintura por pulverización (Future Market Insights; airless el 41,2 %) y ≈1.975 M USD los pulverizadores airless (WiseGuy Reports) [30,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áquinas de pintura por pulverización; 2030e interpolado al 4,9 % anu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en EE. UU. (obra nueva y repintado)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Viviendas iniciadas 1,275 millones en ago-26 (1,69 millones en ene-22); compraventa de viviendas usadas 3,99 millones en sep-26; hipoteca a 30 años al 7,40 % el 8-oct-26 [27, 28,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rodillo y brocha por pulverización (productividad y escasez de pintores)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airless con crecimiento previsto del 5,9 % anual hasta 2035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infraestructuras (recubrimientos de protección, espuma, tejados, polvo para armarios eléctricos)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cita como causa del crecimiento de Contractor en América en el 2T26, sin cuantificarlo («no cientos de millones»)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industrial y automóvil (acabado, dosificación)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−5 % orgánico en el 1S26 por proyectos de acabado; pedidos de seis semanas +11 % en julio [2,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 (bombas de alta pureza)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Expansion Markets +58 % en el 2T26 por semiconductores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 de coste adicional en 2025; el Supremo anuló los aranceles IEEPA (20-feb-26) y Graco cobró 9 M netos de devoluciones en el 2T26 [1,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rivales con gama completa (Wagner/Titan en pintura; Nordson y Wagner en polvo y acabado); Graco mantiene un margen operativo del 25-34 % por segmento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por distribuidores y grandes superficies; un cliente supera el 10 % de las ventas del grupo (Contractor e Industrial)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Metales y componentes estándar; Graco fabrica la mayor parte en EE. UU. y repercute precio (1,5-2 % en 2026) [1,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entre profesionales, red de distribución y servicio, y recambios; entrada china en gama baja de bricolaje.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Rodillo y brocha en la gama baja; para obra grande, la pulverización gana productividad.</w:t>
            </w:r>
          </w:p>
        </w:tc>
      </w:tr>
    </w:tbl>
    <w:p>
      <w:pPr>
        <w:spacing w:after="160" w:before="0"/>
      </w:pPr>
    </w:p>
    <w:p>
      <w:pPr>
        <w:pStyle w:val="Heading2"/>
      </w:pPr>
      <w:r>
        <w:t xml:space="preserve">Ciclo</w:t>
      </w:r>
    </w:p>
    <w:p>
      <w:pPr>
        <w:spacing w:after="100"/>
      </w:pPr>
      <w:r>
        <w:t xml:space="preserve">La vivienda estadounidense sigue en contracción: viviendas iniciadas de 1,275 millones en ago-26 frente a 1,69 millones en ene-22, compraventa de usadas en 3,99 millones (sep-26) e hipoteca al 7,40 % [27, 28, 29]. Graco lleva tres años sin crecimiento orgánico (−4 % en 2024, 0 % en 2025, −3 % en el 1S26), pero los pedidos ya suben (+5 % en el 2T26) [1, 2]. En 2020 aguantó (ventas planas) y en 2022 subió un 7,8 %; en 2009 cayó un 29 %.</w:t>
      </w:r>
    </w:p>
    <w:p>
      <w:pPr>
        <w:pStyle w:val="Heading2"/>
      </w:pPr>
      <w:r>
        <w:t xml:space="preserve">Regulación</w:t>
      </w:r>
    </w:p>
    <w:p>
      <w:pPr>
        <w:spacing w:after="100"/>
      </w:pPr>
      <w:r>
        <w:t xml:space="preserve">Aranceles de EE. UU.: 14 M de coste adicional en 2025; el Tribunal Supremo anuló los aranceles IEEPA el 20-feb-2026 y Graco cobra devoluciones (9 M netos en el 2T26) [1, 2]. Normas de compuestos orgánicos volátiles en pinturas y de seguridad de equipos a presión, que favorecen a los fabricantes con homologaciones. Sin cambios regulatorios relevantes en tramitación identificados.</w:t>
      </w:r>
    </w:p>
    <w:p>
      <w:pPr>
        <w:pStyle w:val="Heading2"/>
      </w:pPr>
      <w:r>
        <w:t xml:space="preserve">Tendencias y disrupción</w:t>
      </w:r>
    </w:p>
    <w:p>
      <w:pPr>
        <w:spacing w:after="100"/>
      </w:pPr>
      <w:r>
        <w:t xml:space="preserve">La pulverización sustituye al rodillo por productividad ante la escasez de pintores; los centros de datos, las infraestructuras y los semiconductores tiran de recubrimientos de protección, espuma y bombas de alta pureza [34]. Graco gana con ellas. Riesgos: competencia china en bricolaje de gama baja y la robótica de pintura en fábrica, donde Graco también vende.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pulverizadores airless profesionales en Norteamérica y uno de los dos o tres grandes en acabado en polvo (Gema) y dosificación; no publica cuotas.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adhesivos, selladores y polvo; margen EBITDA 30,6 % (ingresos derivados del valor empresa y EV/ventas de Yahoo)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y dosificación de fluidos; margen EBITDA 26,7 %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Wagner Group (con Titan)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pulverizadores de pintura para profesionales y bricolaje; no cotiza ni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Dover (bombas y equipos de proceso)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Conglomerado; compite en bombas de transferencia; margen EBITDA 22,8 %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Interpump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Bombas de alta presión y procesos higiénicos; 2.071 M EUR de ventas en 2025 (pasado a USD con el BCE del 14-oct) [32,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distribuidores formados y especificación por fabricantes de pintura;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Recambios y consumibles para la base instalada; en Valco Melton más de la mitad de las ventas son piezas y accesorios [34].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Graco, Gema y Corob; margen bruto del 52,5 %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en EE. UU. con plantas nuevas (capex de 185-201 M en 2022-23)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(airless profesional, proporcionadoras de espuma) donde dos o tres fabricantes cubren el mercado.</w:t>
            </w:r>
          </w:p>
        </w:tc>
      </w:tr>
    </w:tbl>
    <w:p>
      <w:pPr>
        <w:spacing w:after="160" w:before="0"/>
      </w:pPr>
    </w:p>
    <w:p>
      <w:pPr>
        <w:pStyle w:val="Heading2"/>
      </w:pPr>
      <w:r>
        <w:t xml:space="preserve">Amenazas</w:t>
      </w:r>
    </w:p>
    <w:p>
      <w:pPr>
        <w:spacing w:after="100"/>
      </w:pPr>
      <w:r>
        <w:t xml:space="preserve">Wagner/Titan en pintura y Nordson en adhesivos y polvo son los rivales con escala; la entrada china en bricolaje presiona la gama baja. El foso (marca, red de distribuidores, recambios, plantas a escala) se mantiene: margen operativo de los segmentos del 25-34 % frente al 22-31 % del EBITDA de sus pares [1, 32]. Lo que más podría erosionarlo es depender de compras de menos margen para crecer.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2017-2025: ingresos </w:t>
      </w:r>
      <w:r>
        <w:rPr>
          <w:b/>
          <w:bCs/>
        </w:rPr>
        <w:t xml:space="preserve">5,3 %</w:t>
      </w:r>
      <w:r>
        <w:t xml:space="preserve">, EBITDA </w:t>
      </w:r>
      <w:r>
        <w:rPr>
          <w:b/>
          <w:bCs/>
        </w:rPr>
        <w:t xml:space="preserve">6,8 %</w:t>
      </w:r>
      <w:r>
        <w:t xml:space="preserve">, BPA </w:t>
      </w:r>
      <w:r>
        <w:rPr>
          <w:b/>
          <w:bCs/>
        </w:rPr>
        <w:t xml:space="preserve">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1.475 M en 2017 a 2.237 M en 2025 (5,3 % anual), con compras en 2024-2025 que suman unos 5 puntos en 2025 (0 % orgánico) [1]. El margen EBITDA sube del 29,7 % de 2021-2022 al 32,1 % de 2025 por precio, la caída de los costes de flete y las plantas nuevas; el margen bruto se mantiene en el 52-53 %. En 2024 las ventas cayeron un 3,7 % por Asia y la construcción. El 1S26 crece un 3 % con un 4 % de compras y −3 % orgánico, y el margen operativo del 2T26 (29,6 %) incluye 9 M de devoluciones de aranceles [2]. El tipo impositivo efectivo es del 17,5-19 % por las ventajas fiscales de las opciones (6-15 M al año); el ajustado ronda el 20,5 % [1].</w:t>
      </w:r>
    </w:p>
    <w:p>
      <w:pPr>
        <w:pStyle w:val="Heading2"/>
      </w:pPr>
      <w:r>
        <w:t xml:space="preserve">Ajustes y partidas no recurrentes</w:t>
      </w:r>
    </w:p>
    <w:p>
      <w:pPr>
        <w:spacing w:after="100"/>
      </w:pPr>
      <w:r>
        <w:t xml:space="preserve">Graco publica un BPA ajustado: hasta 2025 sin ventajas fiscales de opciones, ajustes de contraprestación contingente y reorganizaciones (2,95 USD frente a 3,08 publicado en 2025); desde el 2T26 también sin amortización de intangibles comprados ni costes de compras (0,91 frente a 0,87 en el 2T26) [1, 3]. No recurrentes en el resultado de explotación: ganancia de 14,1 M en 2025 por la contraprestación de Corob, reorganización de 7,7 M en 2024, y en 2023 deterioro de 7,8 M y ganancia contingente de 8,6 M; debajo del EBIT, pérdida por liquidación de pensiones de 42,1 M en 2023. Usamos el BPA publicado, normalizado por esas partidas en la historia del PER.</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(23-jul) la dirección habló de «impulso en los tres segmentos»: ventas récord de 591 M, pedidos orgánicos +5 %, media de seis semanas +14 % y cartera sin compras +28 % (57 M) desde enero; Contractor creció en América por primera vez en casi dos años y Expansion Markets tuvo pedidos +58 % por semiconductores [3, 34]. En el 3T25 (22-oct-25) ya hablaba de «pedidos estables» y −2 % orgánico por la construcción [6]. En el 1T26 (22-abr) el tono era defensivo: −6 % orgánico por proyectos de acabado en polvo, vivienda «todavía difícil» y BPA ajustado 0,08 por debajo del consenso [4, 38]. Los analistas preguntaron por la nueva guía trimestral (580-600 M), el peso de los centros de datos, la conversión de la cartera en ventas, Valco Melton y las recompras. La dirección no cuantificó los centros de datos («no cientos de millones»), no dio guía por segmento y no dijo cuánto recomprará; dijo que el entorno es una «oportunidad de compra» de acciones y que las compras pueden aportar un tercio del crecimiento en el ciclo [34].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Corob (dosificación de tintes, Italia), consolidada desde el 4-nov-2024: dos meses en la cuenta de 2024 y el año entero en el balance (290,7 M de contraprestación).).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Graco tiene caja neta desde 2020: −572,5 M de deuda neta a dic-25 y 478 M de caja neta a jun-26, que tras pagar Valco Melton queda cerca de 70 M (deuda neta ajustada de −44 M con pensiones y la compra). El circulante comercial baja al 27,8 % de las ventas en 2025 (30,9 % en 2024) por un programa de reducción de inventarios (55 M liberados) [1]. El balance permite compras de 1.000 M o más con deuda sin tensión.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2017-2025: FCF </w:t>
      </w:r>
      <w:r>
        <w:rPr>
          <w:b/>
          <w:bCs/>
        </w:rPr>
        <w:t xml:space="preserve">3.344</w:t>
      </w:r>
      <w:r>
        <w:t xml:space="preserve">, conversión </w:t>
      </w:r>
      <w:r>
        <w:rPr>
          <w:b/>
          <w:bCs/>
        </w:rPr>
        <w:t xml:space="preserve">91 %</w:t>
      </w:r>
      <w:r>
        <w:t xml:space="preserve"> del beneficio neto; adquisiciones 515, dividendos 1.176, recompras 1.237.</w:t>
      </w:r>
    </w:p>
    <w:p>
      <w:pPr>
        <w:spacing w:after="100"/>
      </w:pPr>
      <w:r>
        <w:t xml:space="preserve">La conversión del beneficio en caja libre es alta y mejora al terminar el ciclo de inversión en plantas: 91 % de media en 2017-2025, 106 % en 2024 y 122 % en 2025 (capex de solo 46 M y menos inventarios) [1]. 2022 fue anómalo (38 %: capex del 9,4 % de las ventas y más inventarios). En 2017-2025 generó 3.344 M de caja libre y la usó en dividendos (1.176 M), recompras (1.237 M) y compras (515 M). La empresa no separa el capex de mantenimiento; estimación propia: ≈3 % de las ventas (la depreciación del inmovilizado es 77 M, 3,4 %; la amortización total de 9M25 fue de 75,7 M) [8], y la guía de 2026 (≈100 M, 4,2 %) incluye crecimiento.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señales de alarma: Deloitte audita sin salvedades al menos desde 1969 [1]. Altman Z de 15,06 (zona segura, sin deuda), Piotroski F de 7 y Beneish M de −2,61 (por debajo de −1,78: sin indicios de manipulación). Los pagos en acciones son 34 M (6,6 % del beneficio). No capitaliza desarrollo. La diferencia entre resultado contable y fiscal es pequeña (impuestos pagados 111 M frente a 119 M devengados en 2025). Dos cambios a vigilar: desde el 2T26 el BPA ajustado excluye la amortización de intangibles comprados, que sube con las compras, y la contraprestación contingente de Corob se liberó como ganancia en 2025 (14,1 M) [1, 3]. La segmentación cambió en 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BPA ajustado sin amortización de compras (desde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ajustado un 4-5 % frente al publicado; usamos el publicado.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 por contraprestación contingente (14,1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 y señal de que Corob no cumplió su plan; excluida del EBITDA y del BPA normalizado.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Devoluciones de aranceles en el margen (9 M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costes de 2025; se reconocen al cobrar.</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19,0 % · </w:t>
      </w:r>
      <w:r>
        <w:rPr>
          <w:b/>
          <w:bCs/>
        </w:rPr>
        <w:t xml:space="preserve">WACC</w:t>
      </w:r>
      <w:r>
        <w:t xml:space="preserve">: 10,4 %.</w:t>
      </w:r>
    </w:p>
    <w:p>
      <w:pPr>
        <w:spacing w:after="100"/>
      </w:pPr>
      <w:r>
        <w:t xml:space="preserve">Graco crea valor con holgura: ROIC del 24,6 % en 2025 frente a un WACC del 10,37 % (14,2 puntos), y por encima del 25 % todos los años desde 2017 (máximo del 41,4 % en 2018). El ROIC baja desde 2021 (37,8 %) por dos causas: las plantas nuevas (inmovilizado de 451 M en 2021 a 755 M en 2025) y el fondo de comercio de las compras (de 356 M a 585 M); la rotación cae a 0,70 mientras el margen neto se mantiene en el 23 %. El ROIC incremental (19 %) sigue muy por encima del coste de capital, aunque por debajo del medio. Frente a los comparables (mediana de ROIC del 12,3 %), Graco duplica la rentabilidad [32]. Sin fondo de comercio el ROIC pasaría del 30 %; no hace falta para el veredicto.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26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507,6 M a 26-jun-26 (174 M fuera de EE. UU.) + 771 M de líneas comprometidas no dispuestas = 1.279 M; después pagó Valco Melton (447 M, 31-ago-26) [2,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Déficit de pensiones de 12,1 M y de médico de jubilados de 20,8 M a dic-25 (32,9 M; 26,0 netos de impuestos, en el puente) [1]. Contraprestación contingente de 1,6 M (Corob) [2]. Garantías de deuda de filiales hasta 8 M y cartas de crédito de 2 M; contratos de servicios comprometidos de 44 M hasta 2029 [1]. Arrendamientos operativos de 23 M (US GAAP: dentro del EBITDA, fuera del puente). Línea comprometida de 845 M (vence en oct-2029) sin disponer salvo 23 M en renminbi; covenants de apalancamiento con holgura total. Valco Melton se pagó con caja el 31-ago-26 (447 M, con ≈40 M de ventajas fiscales) y va en el puente como otros ajustes [14, 15].</w:t>
      </w:r>
    </w:p>
    <w:p>
      <w:pPr>
        <w:pStyle w:val="Heading1"/>
      </w:pPr>
      <w:r>
        <w:t xml:space="preserve">12. Asignación de capital</w:t>
      </w:r>
    </w:p>
    <w:p>
      <w:pPr>
        <w:pStyle w:val="Confianza"/>
        <w:spacing w:after="100"/>
      </w:pPr>
      <w:r>
        <w:t xml:space="preserve">Confianza: Media</w:t>
      </w:r>
    </w:p>
    <w:p>
      <w:pPr>
        <w:spacing w:after="100"/>
      </w:pPr>
      <w:r>
        <w:t xml:space="preserve">Dividendo creciente (0,295 USD trimestrales desde dic-25, +7 %; payout del 36 % en 2025) y recompras oportunistas: 423 M en 2025 (5,2 M de acciones) y 331 M en el 1S26; quedan 18,8 M de acciones autorizadas [1, 2]. Prioridades declaradas: crecimiento orgánico (≈4 % de las ventas en desarrollo de producto y capex), compras que aporten canales o tecnologías y devolución de caja [1, 34]. Objetivo a largo plazo: 10 % de crecimiento de ventas y 12 % de beneficio neto al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Valco Melton (aplicación de adhesivos y control de calidad por visión; 650 empleados, ventas ≈145 M en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31-ago-2026; incluye ≈40 M de valor actual de ventajas fiscales; entra en Industrial [14,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Devil Equipment (Radia), dosificación de tintes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Contractor en el 4T25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Color Service s.r.l. (dosificación automática,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división de polvo (Industrial) en el 3T25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Corob S.p.A. (dosificación, mezcla y agitado de tintes; ventas de 110 M EUR en 2023)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(230 M EUR + hasta 30 M EUR de pagos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primer periodo de pagos contingentes no se cumplió y se liberaron 14,1 M de la provisión en 2025: las ventas quedaron por debajo del plan; sin deterioro [1, 16].</w:t>
            </w:r>
          </w:p>
        </w:tc>
      </w:tr>
    </w:tbl>
    <w:p>
      <w:pPr>
        <w:spacing w:after="160" w:before="0"/>
      </w:pPr>
    </w:p>
    <w:p>
      <w:pPr>
        <w:spacing w:after="100"/>
      </w:pPr>
      <w:r>
        <w:t xml:space="preserve">Buena asignación de capital a largo plazo: en 2017-2025 devolvió el 72 % de la caja libre (1.176 M en dividendos y 1.237 M en recompras) y mantuvo el ROIC por encima del 24 % [1]. Las recompras de 2025-2026 (754 M a una media de ≈80 USD) se hicieron a 25-27 veces el beneficio, caras con el DCF de hoy. Las compras recientes son de menos calidad: Corob no alcanzó su plan (14,1 M de pago contingente liberado) y Valco Melton costó 14x EBITDA; el ROIC incremental del 19 % aún lo soporta. El objetivo del 10 % de crecimiento lleva cinco años sin cumplirse (3,0 % anual en 2021-2025).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Sheahan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2018 a 2021; consejero delegado desde junio de 2021. Con él las ventas pasaron de 1.988 M (2021) a 2.237 M (2025), con 4 de 5 puntos por compras [1,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Sanjiv Gupta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15-abr-2026; antes director financiero de GM International en General Motors (desde 2003 en GM)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Kevin Gilligan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2001; antiguo consejero delegado de Capella Education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Angela F. Wordell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operaciones y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con remuneración publicada en el proxy de 2026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J. O’Shea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división Industrial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división que integra Valco Melton [10, 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«low single-digit» y total «mid single-digit» en divisa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−3 % orgánico, +3 % total; guía mantenida en julio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«low single-digit» en divisa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0 % orgánico; +6 % total con compras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Largo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 de crecimiento de ventas y 12 % de beneficio neto al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2021-2025 +3,0 % anual y beneficio +4,4 % anual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y de casa: los directivos que fijan la estrategia llevan de media casi 22 años en Graco y el consejero delegado fue director financiero [1, 10]. El cambio de director financiero (abr-26, un externo de General Motors) es el primero en cinco años y coincide con la nueva guía trimestral y el cambio del BPA ajustado. La credibilidad de la guía anual es media: en 2025 prometió crecimiento orgánico «low single-digit» y dio 0 %; en 2026 va por debajo en el 1S26 (−3 %) aunque mantiene la guía. El objetivo a largo plazo (10 % de ventas al año) no se cumple desde 2021. Sin plan de sucesión publicado para el consejero delegado (61 años). El consejo se renueva: salió Brett Carter (feb-26) y entran Andrea Simon (dic-25), Steven Hedlund (sep-26) y Richard Lewis (dic-26) [18, 19, 20, 21].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Kevin Gilligan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del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Sheahan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Martha A. Morfitt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P. Etchart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Jody H. Feragen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Archie C. Black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Heather L. Anfang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H. Simon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Organización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B. Hedlund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Organización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0,10 / ventas 4,03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13G/A de feb-2024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ene-2026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3,9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P. Etchart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 H. Simon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Angela F. Wordell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R. White (Expansion Markets)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 Kevin Gilligan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J. O’Shea (Industrial)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Kathryn L. Schoenrock (sistemas)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Claudio Merengo (división de polvo)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9,49 M USD en 2025: 1,07 M de fijo, 1,26 M de bonus anual (ligado a ventas y a un BPA de incentivos) y 5,75 M en opciones sobre acciones, que son todo el variable a largo plazo y no tienen condiciones de rentabilidad (ni ROIC ni rentabilidad para el accionista) [10]. La relación con el salario mediano es de 120 a 1. En la junta de abril de 2026 el 31,5 % votó en contra de la remuneración (10,5 % en 2025) y el comité dice que consultará a los grandes accionistas [11, 12]. Los directivos tienen acuerdos con aceleración de lo pendiente en un cambio de control.</w:t>
      </w:r>
    </w:p>
    <w:p>
      <w:pPr>
        <w:pStyle w:val="Heading2"/>
      </w:pPr>
      <w:r>
        <w:t xml:space="preserve">Operaciones vinculadas, estructura de control y defensas</w:t>
      </w:r>
    </w:p>
    <w:p>
      <w:pPr>
        <w:spacing w:after="100"/>
      </w:pPr>
      <w:r>
        <w:t xml:space="preserve">Sin accionista de control: Vanguard y BlackRock tienen un 10,2 % cada uno y los consejeros y directivos un 2,18 % [10]. Una acción, un voto, pero el consejo es escalonado (tres clases con mandatos de tres años), una defensa frente a una toma de control; Morfitt fue reelegida con un 21 % en contra [11]. Presidente independiente desde feb-2024 (Gilligan, consejero desde 2001) y 9 de 10 consejeros independientes, aunque con antigüedad alta (Morfitt desde 1995). Sin operaciones vinculadas relevantes.</w:t>
      </w:r>
    </w:p>
    <w:p>
      <w:pPr>
        <w:pStyle w:val="Heading2"/>
      </w:pPr>
      <w:r>
        <w:t xml:space="preserve">Señales de alerta</w:t>
      </w:r>
    </w:p>
    <w:p>
      <w:pPr>
        <w:pStyle w:val="ListParagraph"/>
        <w:numPr>
          <w:ilvl w:val="0"/>
          <w:numId w:val="2"/>
        </w:numPr>
        <w:spacing w:after="60"/>
      </w:pPr>
      <w:r>
        <w:t xml:space="preserve">Voto consultivo sobre la remuneración de la junta de 2026: 31,5 % en contra (10,5 % en 2025); el comité dice que consultará a los grandes accionistas [11, 12].</w:t>
      </w:r>
    </w:p>
    <w:p>
      <w:pPr>
        <w:pStyle w:val="ListParagraph"/>
        <w:numPr>
          <w:ilvl w:val="0"/>
          <w:numId w:val="2"/>
        </w:numPr>
        <w:spacing w:after="60"/>
      </w:pPr>
      <w:r>
        <w:t xml:space="preserve">Consejo escalonado (tres clases con mandatos de tres años): defensa frente a una toma de control; Morfitt reelegida con un 21 % en contra [10, 11].</w:t>
      </w:r>
    </w:p>
    <w:p>
      <w:pPr>
        <w:pStyle w:val="ListParagraph"/>
        <w:numPr>
          <w:ilvl w:val="0"/>
          <w:numId w:val="2"/>
        </w:numPr>
        <w:spacing w:after="60"/>
      </w:pPr>
      <w:r>
        <w:t xml:space="preserve">Cambio de director financiero en abr-2026 (retiro de David Lowe tras cinco años) [13].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(26-ene-26, confirmada el 22-abr y el 22-jul): crecimiento orgánico «low single-digit» en divisa constante y «mid single-digit» con compras; divisa +1 punto. Desde julio da guía trimestral: ventas del 3T26 de 580-600 M sin Valco Melton. Capex de ≈100 M y gasto corporativo no asignado de 39-42 M [3, 5, 34]. Objetivo a largo plazo: 10 % de ventas y 12 % de beneficio neto al año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84,00 – 100,00</w:t>
            </w:r>
          </w:p>
        </w:tc>
      </w:tr>
    </w:tbl>
    <w:p>
      <w:pPr>
        <w:spacing w:after="160" w:before="0"/>
      </w:pPr>
    </w:p>
    <w:p>
      <w:pPr>
        <w:pStyle w:val="Heading2"/>
      </w:pPr>
      <w:r>
        <w:t xml:space="preserve">Revisiones de estimaciones</w:t>
      </w:r>
    </w:p>
    <w:p>
      <w:pPr>
        <w:spacing w:after="100"/>
      </w:pPr>
      <w:r>
        <w:t xml:space="preserve">Diez analistas: tres «comprar» y siete «mantener», sin «vender»; objetivo medio de 91,14 USD (84-100) [23]. Los objetivos van a la baja (RBC de 96 a 95 USD el 14-oct) y el consenso de BPA de 2026 (3,22 GAAP en MarketScreener; 3,29 ajustado en Stock Analysis) ha bajado tras el 1T26, que quedó 0,08 por debajo [24, 40]. Solo MarketScreener da estimaciones completas a tres años; se contrastan ventas, BPA y objetivos con Stock Analysis.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Graco lleva cinco años por detrás del mercado: +2,5 % anual frente al +11,7 % del S&amp;P 500 y −1,8 % en el último año frente al +16,2 % (rentabilidades de precio) [22]. La causa es el crecimiento orgánico nulo desde 2023 y la caída del múltiplo desde 30x: el BPA normalizado ha subido de 2,52 USD (2021) a 3,02 (2025), pero el precio está donde estaba a final de 2021 (80,62). Cayó un 3,9 % el 23-abr-26 tras el 1T26 (BPA del trimestre de 0,70 USD) [7] y marcó mínimos de 72,51 USD en julio; los máximos de 95,69 USD son de febrero. Beta de 0,88, volatilidad del 20,2 %.</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Graco cotiza a 18,3x el EBITDA de los últimos 12 meses frente a una media de 18,9x en sus cierres de 2017-2025 y a 25,3x el beneficio frente a 29,5x: un 3 % y un 14 % por debajo de su historia, en el percentil 22. El descuento refleja tres años sin crecimiento orgánico y un bono del 5,2 % frente al 2-4 % de 2017-2023; el negocio no ha empeorado (margen EBITDA del 32 %) pero el ROIC ha bajado del 38 % al 25 %.</w:t>
      </w:r>
    </w:p>
    <w:p>
      <w:pPr>
        <w:pStyle w:val="Heading1"/>
      </w:pPr>
      <w:r>
        <w:t xml:space="preserve">18. Comparables cotizados</w:t>
      </w:r>
    </w:p>
    <w:p>
      <w:pPr>
        <w:pStyle w:val="Confianza"/>
        <w:spacing w:after="100"/>
      </w:pPr>
      <w:r>
        <w:t xml:space="preserve">Confianza: Media</w:t>
      </w:r>
    </w:p>
    <w:p>
      <w:pPr>
        <w:spacing w:after="100"/>
      </w:pPr>
      <w:r>
        <w:t xml:space="preserve">Siete fabricantes de equipos de fluidos, bombas y dosificación con datos del mismo proveedor y fecha: Nordson (rival directo en adhesivos y polvo), IDEX y Dover (bombas y dosificación), Parker-Hannifin (componentes de fluidos), Atlas Copco y Alfa Laval (equipos industriales de calidad) e Interpump (bombas de alta presión, informe de hoy). Fuera Wagner (no cotiza) y Bucher (agrícola, otro ciclo). El EV/EBITDA de los próximos 12 meses solo existe para Interpump, así que no se usa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Parker-Hannifin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Interpump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19,7x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 / 24,1x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 / 5,3x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Graco tiene el margen EBITDA más alto (31,8 % frente a una mediana del 26,5 %) y el mejor ROIC (24,6 % frente al 12,3 %), sin deuda, pero el menor crecimiento esperado. Cotiza a 23,7x el beneficio de los próximos 12 meses, por debajo de la mediana de 24,1x, y a 18,3x el EBITDA frente a 19,7x: el mercado le cobra la falta de crecimiento con un pequeño descuento, aunque su calidad justificaría prima. Las estadounidenses publican BPA ajustado (sin amortización de compras): en la misma base, su PER sería 1-3 puntos mayor. Usamos el PER de los próximos 12 meses (valor implícito de 81,77 USD).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Valco Melton (adhesivos y control de calidad)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447 M USD en caja con ≈40 M de ventajas fiscales, ≈14x el EBITDA de 2025 y ventas de ≈145 M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Corob (dosificación de tintes)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290,7 M USD de contraprestación total sobre 110 M EUR (≈119 M USD) de ventas en 2023; EBITDA no publicado [1, 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 (equipos criogénicos y de proceso)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13.600 M USD sobre 4.200 M de ventas y 1.000 M de EBITDA ajustado de 2024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Seepex (bombas de cavidad progresiva)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Ingersoll Rand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431,5 M EUR (≈520 M USD al cambio de 2021) sobre unos 160 M EUR de ventas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Hydraulics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Danfoss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3.300 M USD sobre 1.800 M de ventas de 2020; EBITDA no publicado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33,45 – 42,85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pagan a 1,8-3,2 veces las ventas y a 13,6-14 veces el EBITDA (Chart, Valco Melton) [14, 37]. Aplicadas a Graco dan 37,59 USD, muy por debajo del precio, porque el margen de Graco (32 %) es mucho mayor que el de las empresas compradas. Graco no es objetivo probable: capitalización de 13.199 M sin accionista de control, pero con consejo escalonado.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+6,4 %: 1S26 de 1.130,7 M, guía del 3T26 de 580-600 M sin Valco, Valco Melton desde el 31-ago (≈145 M al año) y un 4T26 un 3 % por encima del de 2025 [2, 3, 14]. 2027e +6,5 %: el año completo de Valco suma ≈4,4 puntos y el orgánico ≈2 %, coherente con pedidos +5 % y cartera +28 % [34]. Desde 2028e el crecimiento es casi orgánico (3-4 %), en línea con el 5,3 % anual de 2016-2025 con compras y con el 5,9 % previsto del mercado airless [30]. El consenso de ventas es de 2.364 M en 2026e y 2.621 M en 2028e (nuestro 2.636 M) [24].</w:t>
      </w:r>
    </w:p>
    <w:p>
      <w:pPr>
        <w:keepNext/>
        <w:spacing w:after="100"/>
      </w:pPr>
      <w:r>
        <w:rPr>
          <w:b/>
          <w:bCs/>
        </w:rPr>
        <w:t xml:space="preserve">Márgenes.</w:t>
      </w:r>
    </w:p>
    <w:p>
      <w:pPr>
        <w:spacing w:after="100"/>
      </w:pPr>
      <w:r>
        <w:t xml:space="preserve">Margen EBITDA del 32,0 % en 2026e (con los 9 M de devolución de aranceles y la dilución de Valco), 32,3 % en 2027e y 32,5 % después, frente al 32,1 % normalizado de 2025, el 32,8 % de 2023 y el 29,7-29,8 % de 2021-2022 [1]. El margen bruto se ha mantenido en el 52-53 % pese a 14 M de aranceles en 2025: la empresa repercute un 1,5-2 % de precio al año [1, 34].</w:t>
      </w:r>
    </w:p>
    <w:p>
      <w:pPr>
        <w:keepNext/>
        <w:spacing w:after="100"/>
      </w:pPr>
      <w:r>
        <w:rPr>
          <w:b/>
          <w:bCs/>
        </w:rPr>
        <w:t xml:space="preserve">Inversión y circulante.</w:t>
      </w:r>
    </w:p>
    <w:p>
      <w:pPr>
        <w:spacing w:after="100"/>
      </w:pPr>
      <w:r>
        <w:t xml:space="preserve">Capex del 4,2 % de las ventas en 2026e (guía de ≈100 M) y del 4,0 % en 2027e; desde 2028e, 4,8 %: 4,0 % de inversión propia y 0,8 % de compras pequeñas que pagan los ≈0,4 puntos de crecimiento comprado. La amortización (con la de intangibles comprados) baja del 4,6 % al 4,0 %, igual al capex propio al final. Circulante comercial del 28 % de las ventas (27,8 % en 2025 con anticipos de clientes) [1, 2]. Las compras grandes (Valco Melton) se pagan en el puente, no en el capex.</w:t>
      </w:r>
    </w:p>
    <w:p>
      <w:pPr>
        <w:keepNext/>
        <w:spacing w:after="100"/>
      </w:pPr>
      <w:r>
        <w:rPr>
          <w:b/>
          <w:bCs/>
        </w:rPr>
        <w:t xml:space="preserve">Coste del capital.</w:t>
      </w:r>
    </w:p>
    <w:p>
      <w:pPr>
        <w:spacing w:after="100"/>
      </w:pPr>
      <w:r>
        <w:t xml:space="preserve">Bono del Tesoro a 10 años del 5,21 % (13-oct-26, FRED) [25], beta de 0,95 (mensual de 5 años frente al S&amp;P 500 0,88, semanal de 2 años 0,72, ajustada 0,92; se redondea al alza por el ciclo de la construcción) [22], prima de mercado del 5,5 % y sin prima adicional: coste del capital del 10,4 % con un 1 % de deuda. Con la prima implícita del mercado (4,2 %) [26] el WACC baja al 9,15 %.</w:t>
      </w:r>
    </w:p>
    <w:p>
      <w:pPr>
        <w:keepNext/>
        <w:spacing w:after="100"/>
      </w:pPr>
      <w:r>
        <w:rPr>
          <w:b/>
          <w:bCs/>
        </w:rPr>
        <w:t xml:space="preserve">Valor terminal.</w:t>
      </w:r>
    </w:p>
    <w:p>
      <w:pPr>
        <w:spacing w:after="100"/>
      </w:pPr>
      <w:r>
        <w:t xml:space="preserve">Media de Gordon (crecimiento del 3,0 %, por debajo del bono menos medio punto) y de un múltiplo de salida de 17x el EBITDA, por debajo de la mediana de los comparables (19,7x en los últimos 12 meses) y de la media de Graco al cierre de cada año (18,9x).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M (7 % del NOPAT)</w:t>
            </w:r>
          </w:p>
        </w:tc>
      </w:tr>
    </w:tbl>
    <w:p>
      <w:pPr>
        <w:spacing w:after="160" w:before="0"/>
      </w:pPr>
    </w:p>
    <w:p>
      <w:pPr>
        <w:spacing w:after="100"/>
      </w:pPr>
      <w:r>
        <w:t xml:space="preserve">La proyección apenas necesita inversión neta de la amortización (reinversión acumulada de 340 M, el 7 % del NOPAT, con un capex bruto medio del 4,6 % de las ventas). En un negocio de activos ligeros, el crecimiento medio del 4,2 %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(orgánico −3 % en el 1S26 y mejor en el 2S26), precio +2 % (1,5-2 % según la dirección) y 5,9 puntos de compras (Corob anualizada en Color Service y Radia, Valco Melton desde sep-26) y divisa (+1 %) [2, 34].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con la cartera más alta (+28 %), precio +1,5 % y 4,5 puntos del año completo de Valco Melton [14, 34].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ciclo medio (+1,5 %), precio +2 % y medio punto de compras pequeñas pagadas en el capex.</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Hacia el crecimiento terminal.</w:t>
            </w:r>
          </w:p>
        </w:tc>
      </w:tr>
    </w:tbl>
    <w:p>
      <w:pPr>
        <w:spacing w:after="160" w:before="0"/>
      </w:pPr>
    </w:p>
    <w:p>
      <w:pPr>
        <w:spacing w:after="100"/>
      </w:pPr>
      <w:r>
        <w:t xml:space="preserve">La reinversión de la proyección (340 M, el 7 % del NOPAT) es pequeña y el motor no hace la prueba de crecimiento financiable; la hacemos a mano. El crecimiento medio del 4,2 % sale en la mitad del precio (2 % al año, demostrado con el margen bruto del 52-53 % pese a los aranceles) y en el resto de volumen del ciclo medio y de Valco Melton, pagada en el puente [1, 14]. El volumen orgánico proyectado (1,5 % desde 2028e) es inferior al de 2016-2025 y el ROIC incremental histórico (19 %) y el actual (24,6 %) superan con holgura al WACC del 10,37 %: con un foso amplio (marca, recambios, escala en nichos) el crecimiento es financiable. La cuota no limita: Graco no la publica y el mercado airless crece al 5,9 % [30].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 (base: 32,5 %)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10,4 %)</w:t>
            </w:r>
          </w:p>
        </w:tc>
      </w:tr>
    </w:tbl>
    <w:p>
      <w:pPr>
        <w:spacing w:after="160" w:before="0"/>
      </w:pPr>
    </w:p>
    <w:p>
      <w:pPr>
        <w:spacing w:after="100"/>
      </w:pPr>
      <w:r>
        <w:t xml:space="preserve">El DCF da 57,96 USD por acción, un 28,0 % por debajo del precio, con el valor terminal en el 68 % del valor. El DCF inverso dice que el precio de 80,48 USD descuenta un crecimiento anual del 10,5 % en 2027-2033 frente al 3,9 % de nuestro caso base, o un margen EBITDA del 43,9 % frente a nuestro 32,5 %: con el coste de capital de hoy, el precio pide cosas que Graco no ha hecho nunca (5,3 % anual de ventas en 2016-2025 con compras) [1]. La rentabilidad implícita del 7,3 % queda tres puntos por debajo del WACC del 10,37 % y casi dos por debajo de lo que pide el mercado (9,2 %). Es exigente, pero la lectura depende del tipo de interés: Graco ha cotizado a 25-30 veces el beneficio durante una década con bonos del 2-4 %, y el precio de hoy supone que esa prima sobrevive a un bono del 5,2 %.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vivienda en EE. UU. sigue hundida con hipotecas por encima del 7 % y la industria cae en 2027 como en 2024 (−4 % de ventas orgánicas) o peor: ventas de 2027e un 5,5 % por debajo de 2026e y margen 2,5 puntos menor. Ya pasó en 2009, con mayor caída.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Valco Melton integrado, orgánico del 2-3 % con un 2 % de precio y margen EBITDA del 32,5 %.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vivienda se recupera y los centros de datos y los semiconductores siguen tirando: 1,5 puntos más de crecimiento al año y medio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80,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56,37 USD (-30,0 %).</w:t>
      </w:r>
    </w:p>
    <w:p>
      <w:pPr>
        <w:spacing w:after="100"/>
      </w:pPr>
      <w:r>
        <w:t xml:space="preserve">En el DCF, el bajista (45,98 USD) pierde un 42,9 % y el alcista (63,56) un 21,0 %: los tres escenarios quedan por debajo del precio porque el coste de capital (10,4 %) pesa más que cualquier supuesto de negocio. En el objetivo a 12 meses, con la regla de múltiplos, el bajista (61,92 USD) pierde un 23,1 % y el alcista (108,25) gana un 34,5 %: asimetría de 1,5. El bajista es verosímil: Graco perdió un 4 % de ventas en 2024 y un 29 % en 2009.</w:t>
      </w:r>
    </w:p>
    <w:p>
      <w:pPr>
        <w:pStyle w:val="Heading1"/>
      </w:pPr>
      <w:r>
        <w:t xml:space="preserve">22. Suma de partes</w:t>
      </w:r>
    </w:p>
    <w:p>
      <w:pPr>
        <w:pStyle w:val="Confianza"/>
        <w:spacing w:after="100"/>
      </w:pPr>
      <w:r>
        <w:t xml:space="preserve">Confianza: Media</w:t>
      </w:r>
    </w:p>
    <w:p>
      <w:pPr>
        <w:spacing w:after="100"/>
      </w:pPr>
      <w:r>
        <w:t xml:space="preserve">No aplica: los tres segmentos comparten fábricas en Minnesota, distribución y tecnología de fluidos; sus márgenes operativos (25-34 %) no justifican múltiplos distintos.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80,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62,09 USD (-22,9 % sobre 80,48).</w:t>
      </w:r>
    </w:p>
    <w:p>
      <w:pPr>
        <w:spacing w:after="100"/>
      </w:pPr>
      <w:r>
        <w:t xml:space="preserve">Pesos: DCF 40, comparables 20 y escenarios 40. El DCF recoge la calidad (ROIC del 24,6 %) pero castiga el bono estadounidense al 5,21 % [25]; los comparables (PER de los próximos 12 meses, 81,77 USD) son de calidad parecida pero publican BPA ajustado; las transacciones no pesan porque Graco compra negocios más pequeños y de menos margen a 2,4-3,1 veces las ventas (Corob, Valco Melton), que darían 37,59 USD [1, 14]. La dispersión es grande, de 37,59 USD por transacciones a 81,77 por comparables, y el precio (80,48) solo lo alcanzan los múltiplos de sus pares: el mercado valora a Graco por múltiplo de calidad, no por flujos descontados al coste de capital actual.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(23.1x) × 1.1 (tope: la mediana de 5 años, 27.9x,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r>
    </w:tbl>
    <w:p>
      <w:pPr>
        <w:spacing w:after="160" w:before="0"/>
      </w:pPr>
    </w:p>
    <w:p>
      <w:pPr>
        <w:spacing w:after="100"/>
      </w:pPr>
      <w:r>
        <w:rPr>
          <w:b/>
          <w:bCs/>
        </w:rPr>
        <w:t xml:space="preserve">Objetivo a 12 meses (ponderado):</w:t>
      </w:r>
      <w:r>
        <w:t xml:space="preserve"> 89,66 USD · rentabilidad +12,8 % (base +18,5 %) · señal Mantener.</w:t>
      </w:r>
    </w:p>
    <w:p>
      <w:pPr>
        <w:spacing w:after="100"/>
      </w:pPr>
      <w:r>
        <w:t xml:space="preserve">Para comparar, con la regla v2 (historia al cierre, mismo precio): 19,6x / 23,1x / 28,3x, 7,4 %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(3,22 USD) coincide con el consenso de MarketScreener (3,22) y el de 2027e (3,49) queda un 1,5 % por encima (3,44); el de 2028e (3,71) un 1,6 % por debajo (3,77), porque no suponemos recompras no anunciadas. El objetivo base de la regla (94,23 USD) queda un 3,4 % por encima del objetivo medio de 10 analistas (91,14 USD); el ponderado (89,66) un 1,6 % por debajo. Los objetivos van a la baja: RBC lo recortó a 95 USD el 14-oct [23, 24, 40].</w:t>
      </w:r>
    </w:p>
    <w:p>
      <w:pPr>
        <w:keepNext/>
        <w:spacing w:after="100"/>
      </w:pPr>
      <w:r>
        <w:rPr>
          <w:b/>
          <w:bCs/>
        </w:rPr>
        <w:t xml:space="preserve">Del valor intrínseco al objetivo a 12 meses.</w:t>
      </w:r>
    </w:p>
    <w:p>
      <w:pPr>
        <w:spacing w:after="100"/>
      </w:pPr>
      <w:r>
        <w:t xml:space="preserve">La distancia entre el objetivo ponderado a 12 meses (89,66 USD) y el valor intrínseco (62,09 USD) es del 44 %: el mercado paga por Graco un múltiplo que el DCF solo justifica con un coste de capital mucho más bajo que el 10,4 % que sale de un bono a 10 años del 5,21 %. Con la prima implícita del mercado el valor sube a 67,53 USD y sigue por debajo del precio. La rentabilidad a 12 meses depende del múltiplo (25,4x en el base, por debajo de la mediana adelantada de 27,9x) y del BPA, no del valor intrínseco; por eso la señal es Mantener y no Vender. El catalizador con fecha son los resultados del 21-oct-2026 [41].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2026 (conferencia el 22-oct)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580-600 M sin Valco; prueba de si Contractor sigue creciendo en América y si los pedidos se convierten en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Valco Melton; un orgánico «mid single-digit» subiría el BPA de 2027e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Devoluciones de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M netos cobrados en el 2T26; la empresa solo las reconoce al cobrarlas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Viviendas iniciadas, compraventas y tipo hipotecario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adelantada de Contractor (48 %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(18,8 M de acciones autorizadas pendientes; 331 M recomprados en el 1S26)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BPA si el precio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tras el 31,5 % en contra de la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el plan de incentivos (hoy opciones sin condiciones de rentabilidad)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y construcción en EE. UU. (Contractor, 48 % de las ventas; América es el 60 % del grupo)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en el objetivo a 12 meses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Infraestructuras, centros de datos y recambios;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Viviendas iniciadas por debajo de 1,2 millones o ventas de Contractor en América negativas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que mantienen el coste de capital por encima del 10 % y comprimen 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baja a 20x (mínimo de cinco años 21,5x)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creciente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más caras y de menos margen (Valco Melton a 14x EBITDA; Corob por debajo del plan)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Valco no cumple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pequeño frente a la caja libre (≈640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Industrial por debajo del 32 %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débil prolongado (0 % en 2025, −3 % en 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con un punto menos de crecimiento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+5 % y cartera +28 % en el 2T26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negativo en el 3T26 pese a la cartera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que la IA se coma 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físicos de alta presión con recambios; la IA empuja centros de datos y semiconductores, que compran sus equipos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Pintado robotizado o autónomo que prescinda de los pulverizadores profesionales de Graco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(un cliente de gran superficie supera el 10 %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pierde la mitad de ese canal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de décadas y marca entre profesionales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en el canal de grandes superficies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política comercial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 la mayor parte en EE. UU. y repercute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acero o componentes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rechazada por un 31,5 % y consejo escalonado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y 90 % de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voto en contra por encima del 30 % en 2027</w:t>
            </w:r>
          </w:p>
        </w:tc>
      </w:tr>
    </w:tbl>
    <w:p>
      <w:pPr>
        <w:spacing w:after="160" w:before="0"/>
      </w:pPr>
    </w:p>
    <w:p>
      <w:pPr>
        <w:pStyle w:val="Heading2"/>
      </w:pPr>
      <w:r>
        <w:t xml:space="preserve">Pre-mortem</w:t>
      </w:r>
    </w:p>
    <w:p>
      <w:pPr>
        <w:spacing w:after="100"/>
      </w:pPr>
      <w:r>
        <w:t xml:space="preserve">Es octubre de 2029 y Graco cotiza a 48 USD. La historia más probable empieza en 2027: el bono estadounidense se queda por encima del 5 %, la hipoteca a 30 años no baja del 7 % y las viviendas iniciadas caen por debajo de 1,2 millones. Contractor, casi la mitad de las ventas, pierde un 8-10 % de volumen en dos años, y la industria, que había mejorado en 2026 por proyectos de acabado y centros de datos, se frena cuando los fabricantes recortan inversión. Las ventas de 2027 caen un 5 % pese a Valco Melton, el margen EBITDA baja al 29-30 % por la menor absorción en las fábricas nuevas de Minnesota y el BPA vuelve a 3 USD. A la vez, el mercado deja de pagar 25x por un crecimiento orgánico que llevaba tres años en cero: el PER adelantado baja a 18-20x, como los pares de menor calidad. La dirección compra más empresas para sostener el crecimiento (a 14x EBITDA, como Valco) y el ROIC cae por debajo del 20 %. El indicador que lo habría anticipado: tres trimestres seguidos de crecimiento orgánico negativo en Contractor en América y el bono a 10 años por encima del 5,5 %.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los productos: pulverizadores que reducen el desperdicio de pintura y la exposición a compuestos orgánicos volátiles, y la espuma aislante, que ayuda a la eficiencia energética de los edificios [1]. Seguridad laboral en las fábricas de Minnesota (1.200 trabajadores por horas en EE. UU., sin convenio colectivo) [1]. Emisiones propias pequeñas (fabricación ligera); no hay calificaciones públicas leídas.</w:t>
      </w:r>
    </w:p>
    <w:p>
      <w:pPr>
        <w:pStyle w:val="Heading2"/>
      </w:pPr>
      <w:r>
        <w:t xml:space="preserve">Controversias</w:t>
      </w:r>
    </w:p>
    <w:p>
      <w:pPr>
        <w:spacing w:after="100"/>
      </w:pPr>
      <w:r>
        <w:t xml:space="preserve">Costes de litigios en 2024 (parte de 21 M con la reorganización) sin detalle publicado; ninguna sanción ni controversia relevante en tres años en el 10-K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pedidos (+28 % desde enero) son proyectos de acabado que se facturan en el 2S26 y qué parte es demanda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2027e puede crecer un 2-3 % orgánico, el supuesto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Valco Melton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EBITDA de Valco Melton y qué sinergias se esperan para justificar 14x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cara de la década; el ROIC del grupo baja si no cumple.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Corob no alcanzó el primer pago contingente y qué ventas tuvo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liberaron 14,1 M de la provisión: señal de que la compra va por debajo del plan.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ventas dependen de centros de datos (recubrimientos, espuma, polvo, materiales térmicos)?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cita como motor pero no lo cuantifica; si se frena, el crecimiento de 2026 se pierde.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cambios hará el comité tras el 31,5 % de voto en contra? ¿Incluirá métricas de ROIC o de crecimiento orgánico?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el variable a largo plazo son opciones sin condiciones de rentabilidad.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prioridad entre recompras y compras con la caja que queda tras Valco?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 2028e cambia un 3-4 % según el uso de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queda por cobrar de devoluciones IEEPA y se devolverá algo a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inflar el margen de 2026-2027 de forma no recurrente.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análisis en seis meses: «valoración que deja poco margen» (abr), «más compras no compensan el orgánico flojo» (jun), «mantener por falta de crecimiento orgánico» (jul), «demasiado cara para el optimismo» y «mejor precio, pero aún no es compra» (9-10 oct)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($GGG)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de fondo: opciones a corto plazo, avisos técnicos («ruptura desde una base baja» tras el 2T26) y alguna queja por la caída de mayo-junio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(noticias y movimientos institucionales)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«mantener»; RBC recorta el objetivo a 95 USD el 14-oct sin cambiar su recomendación; más ventas que compras de institucionales en septiembre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nulo tapado con 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0 % orgánico en 2025 y −3 % en el 1S26, con 4-5 puntos de compras; pero pedidos +5 % y cartera +28 % en el 2T26 [1, 2,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prima frente al mercado sin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ha bajado de ≈30x a ≈23x y cotiza bajo su mediana; la prima se justifica por un ROIC muy superior al coste de capital.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en EE. UU. y Contractor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Contractor vuelve a crecer en América en el 2T26, pero las viviendas iniciadas siguen en 1,28 millones y la hipoteca al 7,4 % [27,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(Valco Melton a 14x EBITDA)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cara que Corob (≈2,4x ventas), pero con margen bruto ≥50 % y más de la mitad de recambios [14, 34].</w:t>
            </w:r>
          </w:p>
        </w:tc>
      </w:tr>
    </w:tbl>
    <w:p>
      <w:pPr>
        <w:spacing w:after="160" w:before="0"/>
      </w:pPr>
    </w:p>
    <w:p>
      <w:pPr>
        <w:spacing w:after="100"/>
      </w:pPr>
      <w:r>
        <w:t xml:space="preserve">El sentimiento es tibio y coincide con los analistas (siete de diez en «mantener»): la queja dominante es pagar 23-25 veces el beneficio por un crecimiento orgánico nulo desde 2023, y nadie discute la calidad [38, 40]. No es extremo (ni euforia ni capitulación) y no anticipa un riesgo que el informe no tenga. Si el 3T26 confirma que los pedidos se convierten en ventas orgánicas, el tono podría girar, como ya hizo brevemente tras el 2T26; si no, la tesis de «cara para lo que crece» se reforzará.</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41 (25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27,8 % real: genera una variación de circulante de 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2023-2025 con la segmentación nueva); 2) 10-K 2024 (segmentación antigua: Industrial, Process, Contractor); 3) presentaciones a inversores (sin reexpresión)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3T24 a 2T25 y EBITDA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del 3T25, 4T25, 1T26 y 2T26 (solo el trimestre y su comparable); 2) 10-Q de 2025 (no descargados los de 2024); 3) XBRL trimestral (sin tiempo en este análisis)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Graco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publica cuotas); 2) informes de mercado de WiseGuy y Future Market Insights (solo listas de empresas); 3) cálculo con Contractor sobre el mercado airless (perímetros distintos: Contractor incluye espuma, marcado y tintes)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y 10-K (no las citan); 2) páginas públicas de MSCI y Sustainalytics (requieren registro); 3) búsqueda en prensa (sin resultado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composición de las comisiones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(texto extraído sin la matriz de comisiones legible); 2) 8-K de nombramientos (solo los nuevos); 3) web de gobierno (no consultada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 (sin descarga directa); 2) Stock Analysis (no consultado); 3) MarketBeat (no lo muestra en la página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2) artículos de Seeking Alpha (403: solo titulares del RSS); 3) Motley Fool (no consultado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sección se apoya en titulares, Stocktwits y MarketBeat, con confianza baja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on Form 10-K, ejercicio 2025 (cuentas, notas de segmentos, deuda, pensiones, adquisiciones,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https://www.sec.gov/Archives/edgar/data/42888/000004288826000081/ggg-20251226.htm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Quarterly Report on Form 10-Q, segundo trimestre de 2026 (balance a 26-jun-26, MD&amp;A, aranceles,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https://www.sec.gov/Archives/edgar/data/42888/000004288826000123/ggg-20260626.htm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Reports Record Second Quarter Sales and Operating Earnings (comunicado del 2T26,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https://www.sec.gov/Archives/edgar/data/42888/000004288826000123/ggg07222026exhibit991q2.htm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https://www.sec.gov/Archives/edgar/data/42888/000004288826000098/ggg04222026exhibit991q1.htm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del ejercicio 2025, guía 2026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https://www.sec.gov/Archives/edgar/data/42888/000004288826000019/ggg01262026exhibit991q4.htm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https://www.sec.gov/Archives/edgar/data/42888/000004288825000047/ggg10222025exhibit991q3.htm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on Form 10-Q,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https://www.sec.gov/Archives/edgar/data/42888/000004288826000098/ggg-20260327.htm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on Form 10-Q,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https://www.sec.gov/Archives/edgar/data/42888/000004288825000047/ggg-20250926.htm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Graco Inc. (companyfacts: cuentas 2016-2025, deuda a corto, depreciación y amortización)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https://data.sec.gov/api/xbrl/companyfacts/CIK0000042888.json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https://www.sec.gov/Archives/edgar/data/42888/000119312526101267/d93954ddef14a.htm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24-abr-2026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https://www.sec.gov/Archives/edgar/data/42888/000004288826000101/ggg-20260424.htm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25-abr-2025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https://www.sec.gov/Archives/edgar/data/42888/000004288825000018/ggg-20250425.htm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Sanjiv Gupta como director financiero (retiro de David Lowe)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https://www.sec.gov/Archives/edgar/data/42888/000119312526085816/d104194d8k.htm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Enters into Definitive Agreement to Acquire Valco Melton (447 M USD, ≈14x EBITDA 2025, ventas ≈145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https://www.sec.gov/Archives/edgar/data/42888/000004288826000110/exhibit991052120268-k.htm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cierra la compra de Valco Melton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https://www.sec.gov/Archives/edgar/data/42888/000119312526377613/d100947dex991.htm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to acquire Corob (230 M EUR; ventas de 110 M EUR en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https://www.sec.gov/Archives/edgar/data/42888/000119312524226949/d771161dex991.htm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Graco, oct-2025 a oct-2026 (compras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https://www.sec.gov/cgi-bin/browse-edgar?action=getcompany&amp;CIK=0000042888&amp;type=4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consejero Brett Carter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https://www.sec.gov/Archives/edgar/data/42888/000004288826000036/ggg-20260212.htm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Richard B. Lewis como consejero (desde el 3-dic-2026)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https://www.sec.gov/Archives/edgar/data/42888/000119312526389891/d127483d8k.htm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Steven B. Hedlund como consejero (desde el 10-sep-2026)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https://www.sec.gov/Archives/edgar/data/42888/000004288826000114/ggg-20260612.htm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Andrea H. Simon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https://www.sec.gov/Archives/edgar/data/42888/000004288825000055/ggg-20251030.htm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GGG, ^GSPC y XLI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https://finance.yahoo.com/quote/GGG/history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(GGG) stock forecast: estimaciones de ventas y BPA 2026-2027,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https://stockanalysis.com/stocks/ggg/forecast/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finanzas y estimaciones 2026-2028 (ventas, EBITDA, EBIT, BPA, DPA, caja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https://www.marketscreener.com/quote/stock/GRACO-INC-12752/finances/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Privately-Owned Housing Units Started (HOUST), 2021-ago-2026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https://fred.stlouisfed.org/series/HOUST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Existing Home Sales (EXHOSLUSM495S), 2021-sep-2026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National Association of Realtors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https://fred.stlouisfed.org/series/EXHOSLUSM495S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30-Year Fixed Rate Mortgage Average (MORTGAGE30US): 7,40 %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Freddie Mac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https://fred.stlouisfed.org/series/MORTGAGE30US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Airless Paint Sprayers Market (1.974,7 M USD en 2025; 3.500 M en 2035; 5,9 %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WiseGuy Reports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https://www.wiseguyreports.com/reports/airless-paint-sprayers-market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Spray Painting Machine Market (4.800 M USD en 2025; 7.700 M en 2035; 4,9 % anual; airless 41,2 %)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Future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https://www.futuremarketinsights.com/reports/spray-painting-machine-market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cotización, PER adelantado y fundamentales de los comparables (Parker-Hannifin, IDEX, Nordson, Dover, Atlas Copco, Alfa Laval)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https://finance.yahoo.com/quote/NDSN/key-statistics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 1,1195 por EUR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Q2 2026 earnings call transcript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https://earningswhispers.com/transcript/GGG/Q22026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Danfoss formally completes US$3.3 billion acquisition of Eaton’s Hydraulics business (1.800 M USD de ventas en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Danfoss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https://www.businesswire.com/news/home/20210802005512/en/Danfoss-Formally-Completes-US3.3-Billion-Acquisition-of-Eaton%e2%80%99s-Hydraulics-Business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Ingersoll Rand to acquire Seepex GmbH (431,5 M EUR; ventas de unos 160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Ingersoll Rand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https://www.businesswire.com/news/home/20210621005237/en/Ingersoll-Rand-to-Acquire-Seepex-GmbH-into-Precision-and-Science-Technologies-Segment/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 (13.600 M USD de valor empresa; ventas 2024 de 4.200 M y EBITDA ajustado de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Hydrocarbon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https://www.hydrocarbonengineering.com/gas-processing/29072025/baker-hughes-to-acquire-chart-industries/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análisis y noticias de GGG (RSS), abr-oct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https://seekingalpha.com/api/sa/combined/GGG.xml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$GGG, feb-oct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https://api.stocktwits.com/api/2/streams/symbol/GGG.json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noticias, cambios de recomendación y movimientos institucionales de GGG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https://www.marketbeat.com/stocks/NYSE/GGG/news/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Graco Inc. Announces Third Quarter 2026 Earnings Conference Call (resultados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https://finviz.com/news/397935/graco-inc-announces-third-quarter-2026-earnings-conference-call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NYSE (GGG), en USD, la divisa de las cuentas (US GAAP; el ejercicio cierra el último viernes de diciembre). Cuentas 2017-2025 del XBRL de la SEC (cuentas.mjs) comprobadas con el 10-K de 2025: la herramienta dejaba la deuda solo con la parte a largo (1,6 M en 2025) y faltaban los «notes payable to banks» (23,1 M en 2025; 6,6-43,5 M en años anteriores), que se suman a mano; el patrimonio de 2017-2021 es activo menos pasivo; la amortización del XBRL ya incluye la de intangibles (77 + 28 M en 2025). Los arrendamientos son operativos (US GAAP) y no van al puente. Segmentos solo 2023-2025 (segmentación nueva desde 2025). Comparables de Yahoo Finance del 14-oct-26 de la ficha sectorial, pasados de EUR a USD con el BCE (1,1195); las estadounidenses publican BPA ajustado. Precio de cierre del 14-oct-26 (Yahoo). Una acción vale 71,89 EUR (80,48 USD ÷ 1,1195), muy por debajo del 7 % de una cartera de 30.000 EUR (2.100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Graco Inc. (GGG)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80,48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(72,51 – 95,69)</c:v>
                </c:pt>
                <c:pt idx="1">
                  <c:v>Precio objetivo de los analistas (84,00 – 100,00)</c:v>
                </c:pt>
                <c:pt idx="2">
                  <c:v>Comparables: PER NTM (67,52 – 85,00)</c:v>
                </c:pt>
                <c:pt idx="3">
                  <c:v>DCF (WACC y g ± 0,5) (54,78 – 61,86)</c:v>
                </c:pt>
                <c:pt idx="4">
                  <c:v>Escenarios (bajista – alcista) (45,98 – 63,56)</c:v>
                </c:pt>
                <c:pt idx="5">
                  <c:v>DCF con la prima implícita del mercado (4,2 %)</c:v>
                </c:pt>
                <c:pt idx="6">
                  <c:v>Precio actual (80,48)</c:v>
                </c:pt>
              </c:strCache>
            </c:strRef>
          </c:cat>
          <c:val>
            <c:numRef>
              <c:f>Hoja1!$B$2:$B$8</c:f>
              <c:numCache>
                <c:formatCode>#,##0</c:formatCode>
                <c:ptCount val="7"/>
                <c:pt idx="0">
                  <c:v>72.51</c:v>
                </c:pt>
                <c:pt idx="1">
                  <c:v>84</c:v>
                </c:pt>
                <c:pt idx="2">
                  <c:v>67.52</c:v>
                </c:pt>
                <c:pt idx="3">
                  <c:v>54.78</c:v>
                </c:pt>
                <c:pt idx="4">
                  <c:v>45.98</c:v>
                </c:pt>
                <c:pt idx="5">
                  <c:v>61.84</c:v>
                </c:pt>
                <c:pt idx="6">
                  <c:v>80.08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(72,51 – 95,69)</c:v>
                </c:pt>
                <c:pt idx="1">
                  <c:v>Precio objetivo de los analistas (84,00 – 100,00)</c:v>
                </c:pt>
                <c:pt idx="2">
                  <c:v>Comparables: PER NTM (67,52 – 85,00)</c:v>
                </c:pt>
                <c:pt idx="3">
                  <c:v>DCF (WACC y g ± 0,5) (54,78 – 61,86)</c:v>
                </c:pt>
                <c:pt idx="4">
                  <c:v>Escenarios (bajista – alcista) (45,98 – 63,56)</c:v>
                </c:pt>
                <c:pt idx="5">
                  <c:v>DCF con la prima implícita del mercado (4,2 %)</c:v>
                </c:pt>
                <c:pt idx="6">
                  <c:v>Precio actual (80,48)</c:v>
                </c:pt>
              </c:strCache>
            </c:strRef>
          </c:cat>
          <c:val>
            <c:numRef>
              <c:f>Hoja1!$C$2:$C$8</c:f>
              <c:numCache>
                <c:formatCode>#,##0</c:formatCode>
                <c:ptCount val="7"/>
                <c:pt idx="0">
                  <c:v>23.179999999999993</c:v>
                </c:pt>
                <c:pt idx="1">
                  <c:v>16</c:v>
                </c:pt>
                <c:pt idx="2">
                  <c:v>17.480000000000004</c:v>
                </c:pt>
                <c:pt idx="3">
                  <c:v>7.079999999999998</c:v>
                </c:pt>
                <c:pt idx="4">
                  <c:v>17.580000000000005</c:v>
                </c:pt>
                <c:pt idx="5">
                  <c:v>6.539999999999992</c:v>
                </c:pt>
                <c:pt idx="6">
                  <c:v>0.7999999999999972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Contractor</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985.7</c:v>
                </c:pt>
                <c:pt idx="1">
                  <c:v>988.9</c:v>
                </c:pt>
                <c:pt idx="2">
                  <c:v>1071.9</c:v>
                </c:pt>
              </c:numCache>
            </c:numRef>
          </c:val>
        </c:ser>
        <c:ser>
          <c:idx val="1"/>
          <c:order val="1"/>
          <c:tx>
            <c:strRef>
              <c:f>Hoja1!$C$1</c:f>
              <c:strCache>
                <c:ptCount val="1"/>
                <c:pt idx="0">
                  <c:v>Industrial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1018.1</c:v>
                </c:pt>
                <c:pt idx="1">
                  <c:v>958</c:v>
                </c:pt>
                <c:pt idx="2">
                  <c:v>996.8</c:v>
                </c:pt>
              </c:numCache>
            </c:numRef>
          </c:val>
        </c:ser>
        <c:ser>
          <c:idx val="2"/>
          <c:order val="2"/>
          <c:tx>
            <c:strRef>
              <c:f>Hoja1!$D$1</c:f>
              <c:strCache>
                <c:ptCount val="1"/>
                <c:pt idx="0">
                  <c:v>Expansion Markets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191.8</c:v>
                </c:pt>
                <c:pt idx="1">
                  <c:v>166.4</c:v>
                </c:pt>
                <c:pt idx="2">
                  <c:v>167.9</c:v>
                </c:pt>
              </c:numCache>
            </c:numRef>
          </c:val>
        </c:ser>
        <c:ser>
          <c:idx val="3"/>
          <c:order val="3"/>
          <c:tx>
            <c:strRef>
              <c:f>Hoja1!$E$1</c:f>
              <c:strCache>
                <c:ptCount val="1"/>
                <c:pt idx="0">
                  <c:v>Corporativo no asignado y ajustes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Contractor</c:v>
                </c:pt>
                <c:pt idx="1">
                  <c:v>Industrial</c:v>
                </c:pt>
                <c:pt idx="2">
                  <c:v>Expansion Markets</c:v>
                </c:pt>
                <c:pt idx="3">
                  <c:v>Corporativo no asignado y ajustes</c:v>
                </c:pt>
              </c:strCache>
            </c:strRef>
          </c:cat>
          <c:val>
            <c:numRef>
              <c:f>Hoja1!$B$2:$B$5</c:f>
              <c:numCache>
                <c:formatCode>General</c:formatCode>
                <c:ptCount val="4"/>
                <c:pt idx="0">
                  <c:v>47.9</c:v>
                </c:pt>
                <c:pt idx="1">
                  <c:v>44.6</c:v>
                </c:pt>
                <c:pt idx="2">
                  <c:v>7.5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c:v>
                </c:pt>
                <c:pt idx="1">
                  <c:v>Resto de América</c:v>
                </c:pt>
                <c:pt idx="2">
                  <c:v>Europa, Oriente Medio y África</c:v>
                </c:pt>
                <c:pt idx="3">
                  <c:v>Asia-Pacífico</c:v>
                </c:pt>
              </c:strCache>
            </c:strRef>
          </c:cat>
          <c:val>
            <c:numRef>
              <c:f>Hoja1!$B$2:$B$5</c:f>
              <c:numCache>
                <c:formatCode>0"%"</c:formatCode>
                <c:ptCount val="4"/>
                <c:pt idx="0">
                  <c:v>52.3</c:v>
                </c:pt>
                <c:pt idx="1">
                  <c:v>8.2</c:v>
                </c:pt>
                <c:pt idx="2">
                  <c:v>23.6</c:v>
                </c:pt>
                <c:pt idx="3">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(máquinas de pintura por pulverización; 2030e interpolado al 4,9 % anual))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2030e</c:v>
                </c:pt>
                <c:pt idx="2">
                  <c:v>2035e</c:v>
                </c:pt>
              </c:strCache>
            </c:strRef>
          </c:cat>
          <c:val>
            <c:numRef>
              <c:f>Hoja1!$B$2:$B$4</c:f>
              <c:numCache>
                <c:formatCode>#,##0</c:formatCode>
                <c:ptCount val="3"/>
                <c:pt idx="0">
                  <c:v>4800</c:v>
                </c:pt>
                <c:pt idx="1">
                  <c:v>6100</c:v>
                </c:pt>
                <c:pt idx="2">
                  <c:v>7700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Graco</c:v>
                </c:pt>
                <c:pt idx="1">
                  <c:v>Nordson</c:v>
                </c:pt>
                <c:pt idx="2">
                  <c:v>IDEX</c:v>
                </c:pt>
                <c:pt idx="3">
                  <c:v>Wagner Group (con Titan)</c:v>
                </c:pt>
                <c:pt idx="4">
                  <c:v>Dover (bombas y equipos de proceso)</c:v>
                </c:pt>
                <c:pt idx="5">
                  <c:v>Interpump</c:v>
                </c:pt>
              </c:strCache>
            </c:strRef>
          </c:cat>
          <c:val>
            <c:numRef>
              <c:f>Hoja1!$B$2:$B$7</c:f>
              <c:numCache>
                <c:formatCode>0.0"%"</c:formatCode>
                <c:ptCount val="6"/>
                <c:pt idx="0">
                  <c:v>27.3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strCache>
            </c:strRef>
          </c:cat>
          <c:val>
            <c:numRef>
              <c:f>Hoja1!$B$2:$B$18</c:f>
              <c:numCache>
                <c:formatCode>#,##0</c:formatCode>
                <c:ptCount val="17"/>
                <c:pt idx="0">
                  <c:v>1474.7</c:v>
                </c:pt>
                <c:pt idx="1">
                  <c:v>1653.3</c:v>
                </c:pt>
                <c:pt idx="2">
                  <c:v>1646</c:v>
                </c:pt>
                <c:pt idx="3">
                  <c:v>1650.1</c:v>
                </c:pt>
                <c:pt idx="4">
                  <c:v>1987.6</c:v>
                </c:pt>
                <c:pt idx="5">
                  <c:v>2143.5</c:v>
                </c:pt>
                <c:pt idx="6">
                  <c:v>2195.6</c:v>
                </c:pt>
                <c:pt idx="7">
                  <c:v>2113.3</c:v>
                </c:pt>
                <c:pt idx="8">
                  <c:v>2236.6</c:v>
                </c:pt>
                <c:pt idx="9">
                  <c:v>2380</c:v>
                </c:pt>
                <c:pt idx="10">
                  <c:v>2534</c:v>
                </c:pt>
                <c:pt idx="11">
                  <c:v>2636</c:v>
                </c:pt>
                <c:pt idx="12">
                  <c:v>2741</c:v>
                </c:pt>
                <c:pt idx="13">
                  <c:v>2837</c:v>
                </c:pt>
                <c:pt idx="14">
                  <c:v>2936</c:v>
                </c:pt>
                <c:pt idx="15">
                  <c:v>3025</c:v>
                </c:pt>
                <c:pt idx="16">
                  <c:v>3115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strCache>
            </c:strRef>
          </c:cat>
          <c:val>
            <c:numRef>
              <c:f>Hoja1!$C$2:$C$18</c:f>
              <c:numCache>
                <c:formatCode>#,##0</c:formatCode>
                <c:ptCount val="17"/>
                <c:pt idx="0">
                  <c:v>424.3</c:v>
                </c:pt>
                <c:pt idx="1">
                  <c:v>484.2</c:v>
                </c:pt>
                <c:pt idx="2">
                  <c:v>473.4</c:v>
                </c:pt>
                <c:pt idx="3">
                  <c:v>447</c:v>
                </c:pt>
                <c:pt idx="4">
                  <c:v>590.6</c:v>
                </c:pt>
                <c:pt idx="5">
                  <c:v>638.7</c:v>
                </c:pt>
                <c:pt idx="6">
                  <c:v>720.3000000000001</c:v>
                </c:pt>
                <c:pt idx="7">
                  <c:v>664.5</c:v>
                </c:pt>
                <c:pt idx="8">
                  <c:v>718.1</c:v>
                </c:pt>
                <c:pt idx="9">
                  <c:v>762</c:v>
                </c:pt>
                <c:pt idx="10">
                  <c:v>819</c:v>
                </c:pt>
                <c:pt idx="11">
                  <c:v>857</c:v>
                </c:pt>
                <c:pt idx="12">
                  <c:v>891</c:v>
                </c:pt>
                <c:pt idx="13">
                  <c:v>922</c:v>
                </c:pt>
                <c:pt idx="14">
                  <c:v>954</c:v>
                </c:pt>
                <c:pt idx="15">
                  <c:v>983</c:v>
                </c:pt>
                <c:pt idx="16">
                  <c:v>1012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53.9</c:v>
                </c:pt>
                <c:pt idx="1">
                  <c:v>53.4</c:v>
                </c:pt>
                <c:pt idx="2">
                  <c:v>52.2</c:v>
                </c:pt>
                <c:pt idx="3">
                  <c:v>51.8</c:v>
                </c:pt>
                <c:pt idx="4">
                  <c:v>52</c:v>
                </c:pt>
                <c:pt idx="5">
                  <c:v>49.3</c:v>
                </c:pt>
                <c:pt idx="6">
                  <c:v>52.9</c:v>
                </c:pt>
                <c:pt idx="7">
                  <c:v>53.1</c:v>
                </c:pt>
                <c:pt idx="8">
                  <c:v>52.5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28.8</c:v>
                </c:pt>
                <c:pt idx="1">
                  <c:v>29.3</c:v>
                </c:pt>
                <c:pt idx="2">
                  <c:v>28.8</c:v>
                </c:pt>
                <c:pt idx="3">
                  <c:v>27.1</c:v>
                </c:pt>
                <c:pt idx="4">
                  <c:v>29.7</c:v>
                </c:pt>
                <c:pt idx="5">
                  <c:v>29.8</c:v>
                </c:pt>
                <c:pt idx="6">
                  <c:v>32.8</c:v>
                </c:pt>
                <c:pt idx="7">
                  <c:v>31.4</c:v>
                </c:pt>
                <c:pt idx="8">
                  <c:v>32.1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25.7</c:v>
                </c:pt>
                <c:pt idx="1">
                  <c:v>26.4</c:v>
                </c:pt>
                <c:pt idx="2">
                  <c:v>25.8</c:v>
                </c:pt>
                <c:pt idx="3">
                  <c:v>23.7</c:v>
                </c:pt>
                <c:pt idx="4">
                  <c:v>26.7</c:v>
                </c:pt>
                <c:pt idx="5">
                  <c:v>26.7</c:v>
                </c:pt>
                <c:pt idx="6">
                  <c:v>29.4</c:v>
                </c:pt>
                <c:pt idx="7">
                  <c:v>27.3</c:v>
                </c:pt>
                <c:pt idx="8">
                  <c:v>27.3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Hoja1!$E$2:$E$10</c:f>
              <c:numCache>
                <c:formatCode>0"%"</c:formatCode>
                <c:ptCount val="9"/>
                <c:pt idx="0">
                  <c:v>17.1</c:v>
                </c:pt>
                <c:pt idx="1">
                  <c:v>20.6</c:v>
                </c:pt>
                <c:pt idx="2">
                  <c:v>20.9</c:v>
                </c:pt>
                <c:pt idx="3">
                  <c:v>20</c:v>
                </c:pt>
                <c:pt idx="4">
                  <c:v>22.1</c:v>
                </c:pt>
                <c:pt idx="5">
                  <c:v>21.5</c:v>
                </c:pt>
                <c:pt idx="6">
                  <c:v>23.1</c:v>
                </c:pt>
                <c:pt idx="7">
                  <c:v>23</c:v>
                </c:pt>
                <c:pt idx="8">
                  <c:v>23.3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4.7</c:v>
                </c:pt>
                <c:pt idx="5">
                  <c:v>8.1</c:v>
                </c:pt>
                <c:pt idx="6">
                  <c:v>2.2</c:v>
                </c:pt>
                <c:pt idx="7">
                  <c:v>3.3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-2</c:v>
                </c:pt>
                <c:pt idx="6">
                  <c:v>-6</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66</c:v>
                </c:pt>
                <c:pt idx="1">
                  <c:v>61</c:v>
                </c:pt>
                <c:pt idx="2">
                  <c:v>59</c:v>
                </c:pt>
                <c:pt idx="3">
                  <c:v>70</c:v>
                </c:pt>
                <c:pt idx="4">
                  <c:v>60</c:v>
                </c:pt>
                <c:pt idx="5">
                  <c:v>59</c:v>
                </c:pt>
                <c:pt idx="6">
                  <c:v>59</c:v>
                </c:pt>
                <c:pt idx="7">
                  <c:v>63</c:v>
                </c:pt>
                <c:pt idx="8">
                  <c:v>64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129</c:v>
                </c:pt>
                <c:pt idx="1">
                  <c:v>134</c:v>
                </c:pt>
                <c:pt idx="2">
                  <c:v>127</c:v>
                </c:pt>
                <c:pt idx="3">
                  <c:v>131</c:v>
                </c:pt>
                <c:pt idx="4">
                  <c:v>146</c:v>
                </c:pt>
                <c:pt idx="5">
                  <c:v>160</c:v>
                </c:pt>
                <c:pt idx="6">
                  <c:v>155</c:v>
                </c:pt>
                <c:pt idx="7">
                  <c:v>149</c:v>
                </c:pt>
                <c:pt idx="8">
                  <c:v>138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26</c:v>
                </c:pt>
                <c:pt idx="1">
                  <c:v>27</c:v>
                </c:pt>
                <c:pt idx="2">
                  <c:v>25</c:v>
                </c:pt>
                <c:pt idx="3">
                  <c:v>27</c:v>
                </c:pt>
                <c:pt idx="4">
                  <c:v>30</c:v>
                </c:pt>
                <c:pt idx="5">
                  <c:v>28</c:v>
                </c:pt>
                <c:pt idx="6">
                  <c:v>25</c:v>
                </c:pt>
                <c:pt idx="7">
                  <c:v>22</c:v>
                </c:pt>
                <c:pt idx="8">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297.7</c:v>
                </c:pt>
                <c:pt idx="1">
                  <c:v>314.1</c:v>
                </c:pt>
                <c:pt idx="2">
                  <c:v>290.7</c:v>
                </c:pt>
                <c:pt idx="3">
                  <c:v>322.7</c:v>
                </c:pt>
                <c:pt idx="4">
                  <c:v>323.29999999999995</c:v>
                </c:pt>
                <c:pt idx="5">
                  <c:v>176.2</c:v>
                </c:pt>
                <c:pt idx="6">
                  <c:v>466.2</c:v>
                </c:pt>
                <c:pt idx="7">
                  <c:v>515</c:v>
                </c:pt>
                <c:pt idx="8">
                  <c:v>637.9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252.4</c:v>
                </c:pt>
                <c:pt idx="1">
                  <c:v>341.1</c:v>
                </c:pt>
                <c:pt idx="2">
                  <c:v>343.9</c:v>
                </c:pt>
                <c:pt idx="3">
                  <c:v>330.5</c:v>
                </c:pt>
                <c:pt idx="4">
                  <c:v>439.9</c:v>
                </c:pt>
                <c:pt idx="5">
                  <c:v>460.6</c:v>
                </c:pt>
                <c:pt idx="6">
                  <c:v>506.5</c:v>
                </c:pt>
                <c:pt idx="7">
                  <c:v>486.1</c:v>
                </c:pt>
                <c:pt idx="8">
                  <c:v>521.8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32.3</c:v>
                </c:pt>
                <c:pt idx="1">
                  <c:v>41.4</c:v>
                </c:pt>
                <c:pt idx="2">
                  <c:v>37.8</c:v>
                </c:pt>
                <c:pt idx="3">
                  <c:v>32.5</c:v>
                </c:pt>
                <c:pt idx="4">
                  <c:v>37.8</c:v>
                </c:pt>
                <c:pt idx="5">
                  <c:v>31.5</c:v>
                </c:pt>
                <c:pt idx="6">
                  <c:v>31.8</c:v>
                </c:pt>
                <c:pt idx="7">
                  <c:v>25.8</c:v>
                </c:pt>
                <c:pt idx="8">
                  <c:v>24.6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10.4</c:v>
                </c:pt>
                <c:pt idx="1">
                  <c:v>10.4</c:v>
                </c:pt>
                <c:pt idx="2">
                  <c:v>10.4</c:v>
                </c:pt>
                <c:pt idx="3">
                  <c:v>10.4</c:v>
                </c:pt>
                <c:pt idx="4">
                  <c:v>10.4</c:v>
                </c:pt>
                <c:pt idx="5">
                  <c:v>10.4</c:v>
                </c:pt>
                <c:pt idx="6">
                  <c:v>10.4</c:v>
                </c:pt>
                <c:pt idx="7">
                  <c:v>10.4</c:v>
                </c:pt>
                <c:pt idx="8">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34.9</c:v>
                </c:pt>
                <c:pt idx="1">
                  <c:v>46.3</c:v>
                </c:pt>
                <c:pt idx="2">
                  <c:v>38.7</c:v>
                </c:pt>
                <c:pt idx="3">
                  <c:v>28.6</c:v>
                </c:pt>
                <c:pt idx="4">
                  <c:v>29.4</c:v>
                </c:pt>
                <c:pt idx="5">
                  <c:v>25.8</c:v>
                </c:pt>
                <c:pt idx="6">
                  <c:v>24.8</c:v>
                </c:pt>
                <c:pt idx="7">
                  <c:v>20.2</c:v>
                </c:pt>
                <c:pt idx="8">
                  <c:v>19.9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0.3</c:v>
                </c:pt>
                <c:pt idx="1">
                  <c:v>0.3</c:v>
                </c:pt>
                <c:pt idx="2">
                  <c:v>-0.04</c:v>
                </c:pt>
                <c:pt idx="3">
                  <c:v>-0.37</c:v>
                </c:pt>
                <c:pt idx="4">
                  <c:v>-0.67</c:v>
                </c:pt>
                <c:pt idx="5">
                  <c:v>-0.33</c:v>
                </c:pt>
                <c:pt idx="6">
                  <c:v>-0.68</c:v>
                </c:pt>
                <c:pt idx="7">
                  <c:v>-0.94</c:v>
                </c:pt>
                <c:pt idx="8">
                  <c:v>-0.8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2029</c:v>
                </c:pt>
              </c:strCache>
            </c:strRef>
          </c:cat>
          <c:val>
            <c:numRef>
              <c:f>Hoja1!$B$2:$B$3</c:f>
              <c:numCache>
                <c:formatCode>#,##0</c:formatCode>
                <c:ptCount val="2"/>
                <c:pt idx="0">
                  <c:v>24.7</c:v>
                </c:pt>
                <c:pt idx="1">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27.9</c:v>
                </c:pt>
                <c:pt idx="1">
                  <c:v>10.8</c:v>
                </c:pt>
                <c:pt idx="2">
                  <c:v>26.6</c:v>
                </c:pt>
                <c:pt idx="3">
                  <c:v>27.6</c:v>
                </c:pt>
                <c:pt idx="4">
                  <c:v>19.4</c:v>
                </c:pt>
                <c:pt idx="5">
                  <c:v>25.3</c:v>
                </c:pt>
                <c:pt idx="6">
                  <c:v>0</c:v>
                </c:pt>
                <c:pt idx="7">
                  <c:v>241.8</c:v>
                </c:pt>
                <c:pt idx="8">
                  <c:v>135.3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80.5</c:v>
                </c:pt>
                <c:pt idx="1">
                  <c:v>88.8</c:v>
                </c:pt>
                <c:pt idx="2">
                  <c:v>106.4</c:v>
                </c:pt>
                <c:pt idx="3">
                  <c:v>117</c:v>
                </c:pt>
                <c:pt idx="4">
                  <c:v>127.1</c:v>
                </c:pt>
                <c:pt idx="5">
                  <c:v>142.1</c:v>
                </c:pt>
                <c:pt idx="6">
                  <c:v>158.3</c:v>
                </c:pt>
                <c:pt idx="7">
                  <c:v>172.1</c:v>
                </c:pt>
                <c:pt idx="8">
                  <c:v>183.4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90.2</c:v>
                </c:pt>
                <c:pt idx="1">
                  <c:v>244.8</c:v>
                </c:pt>
                <c:pt idx="2">
                  <c:v>9.5</c:v>
                </c:pt>
                <c:pt idx="3">
                  <c:v>102.1</c:v>
                </c:pt>
                <c:pt idx="4">
                  <c:v>0</c:v>
                </c:pt>
                <c:pt idx="5">
                  <c:v>233.4</c:v>
                </c:pt>
                <c:pt idx="6">
                  <c:v>102.3</c:v>
                </c:pt>
                <c:pt idx="7">
                  <c:v>31.4</c:v>
                </c:pt>
                <c:pt idx="8">
                  <c:v>423.1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(21 personas)</c:v>
                </c:pt>
              </c:strCache>
            </c:strRef>
          </c:cat>
          <c:val>
            <c:numRef>
              <c:f>Hoja1!$B$2:$B$4</c:f>
              <c:numCache>
                <c:formatCode>0.0"%"</c:formatCode>
                <c:ptCount val="3"/>
                <c:pt idx="0">
                  <c:v>10.2</c:v>
                </c:pt>
                <c:pt idx="1">
                  <c:v>10.2</c:v>
                </c:pt>
                <c:pt idx="2">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15.3</c:v>
                </c:pt>
                <c:pt idx="1">
                  <c:v>63.3</c:v>
                </c:pt>
                <c:pt idx="2">
                  <c:v>-7.5</c:v>
                </c:pt>
                <c:pt idx="3">
                  <c:v>24.3</c:v>
                </c:pt>
                <c:pt idx="4">
                  <c:v>39.1</c:v>
                </c:pt>
                <c:pt idx="5">
                  <c:v>11.4</c:v>
                </c:pt>
                <c:pt idx="6">
                  <c:v>-16.6</c:v>
                </c:pt>
                <c:pt idx="7">
                  <c:v>29</c:v>
                </c:pt>
                <c:pt idx="8">
                  <c:v>-2.8</c:v>
                </c:pt>
                <c:pt idx="9">
                  <c:v>-2.8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18.9</c:v>
                </c:pt>
                <c:pt idx="1">
                  <c:v>15.3</c:v>
                </c:pt>
                <c:pt idx="2">
                  <c:v>18.8</c:v>
                </c:pt>
                <c:pt idx="3">
                  <c:v>27.5</c:v>
                </c:pt>
                <c:pt idx="4">
                  <c:v>23.1</c:v>
                </c:pt>
                <c:pt idx="5">
                  <c:v>17.9</c:v>
                </c:pt>
                <c:pt idx="6">
                  <c:v>20.1</c:v>
                </c:pt>
                <c:pt idx="7">
                  <c:v>20.9</c:v>
                </c:pt>
                <c:pt idx="8">
                  <c:v>18.5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18.9</c:v>
                </c:pt>
                <c:pt idx="1">
                  <c:v>18.9</c:v>
                </c:pt>
                <c:pt idx="2">
                  <c:v>18.9</c:v>
                </c:pt>
                <c:pt idx="3">
                  <c:v>18.9</c:v>
                </c:pt>
                <c:pt idx="4">
                  <c:v>18.9</c:v>
                </c:pt>
                <c:pt idx="5">
                  <c:v>18.9</c:v>
                </c:pt>
                <c:pt idx="6">
                  <c:v>18.9</c:v>
                </c:pt>
                <c:pt idx="7">
                  <c:v>18.9</c:v>
                </c:pt>
                <c:pt idx="8">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Graco</c:v>
                </c:pt>
                <c:pt idx="1">
                  <c:v>Parker-Hannifin</c:v>
                </c:pt>
                <c:pt idx="2">
                  <c:v>IDEX</c:v>
                </c:pt>
                <c:pt idx="3">
                  <c:v>Nordson</c:v>
                </c:pt>
                <c:pt idx="4">
                  <c:v>Dover</c:v>
                </c:pt>
                <c:pt idx="5">
                  <c:v>Atlas Copco</c:v>
                </c:pt>
                <c:pt idx="6">
                  <c:v>Alfa Laval</c:v>
                </c:pt>
                <c:pt idx="7">
                  <c:v>Interpump</c:v>
                </c:pt>
              </c:strCache>
            </c:strRef>
          </c:cat>
          <c:val>
            <c:numRef>
              <c:f>Hoja1!$B$2:$B$9</c:f>
              <c:numCache>
                <c:formatCode>0.0"x"</c:formatCode>
                <c:ptCount val="8"/>
                <c:pt idx="0">
                  <c:v>16.5</c:v>
                </c:pt>
                <c:pt idx="7">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Graco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16.5</c:v>
                </c:pt>
              </c:numCache>
            </c:numRef>
          </c:yVal>
          <c:smooth val="0"/>
        </c:ser>
        <c:ser>
          <c:idx val="1"/>
          <c:order val="1"/>
          <c:tx>
            <c:strRef>
              <c:f>Hoja1!$A$3</c:f>
              <c:strCache>
                <c:ptCount val="1"/>
                <c:pt idx="0">
                  <c:v>Interpump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7.5</c:v>
                </c:pt>
              </c:numCache>
            </c:numRef>
          </c:xVal>
          <c:yVal>
            <c:numRef>
              <c:f>Hoja1!$C$3</c:f>
              <c:numCache>
                <c:formatCode>0.0"x"</c:formatCode>
                <c:ptCount val="1"/>
                <c:pt idx="0">
                  <c:v>8.4</c:v>
                </c:pt>
              </c:numCache>
            </c:numRef>
          </c:yVal>
          <c:smooth val="0"/>
        </c:ser>
        <c:axId val="10"/>
        <c:axId val="20"/>
      </c:scatterChart>
      <c:valAx>
        <c:axId val="10"/>
        <c:scaling>
          <c:orientation val="minMax"/>
          <c:max val="7.7"/>
          <c:min val="6.600000000000000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Valco Melton (adhesivos y control de calidad)</c:v>
                </c:pt>
                <c:pt idx="1">
                  <c:v>Corob (dosificación de tintes)</c:v>
                </c:pt>
                <c:pt idx="2">
                  <c:v>Chart Industries (equipos criogénicos y de proceso)</c:v>
                </c:pt>
                <c:pt idx="3">
                  <c:v>Seepex (bombas de cavidad progresiva)</c:v>
                </c:pt>
                <c:pt idx="4">
                  <c:v>Eaton Hydraulics</c:v>
                </c:pt>
              </c:strCache>
            </c:strRef>
          </c:cat>
          <c:val>
            <c:numRef>
              <c:f>Hoja1!$B$2:$B$6</c:f>
              <c:numCache>
                <c:formatCode>0.0"x"</c:formatCode>
                <c:ptCount val="5"/>
                <c:pt idx="0">
                  <c:v>14</c:v>
                </c:pt>
                <c:pt idx="2">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484</c:v>
                </c:pt>
                <c:pt idx="1">
                  <c:v>529</c:v>
                </c:pt>
                <c:pt idx="2">
                  <c:v>550</c:v>
                </c:pt>
                <c:pt idx="3">
                  <c:v>571</c:v>
                </c:pt>
                <c:pt idx="4">
                  <c:v>594</c:v>
                </c:pt>
                <c:pt idx="5">
                  <c:v>615</c:v>
                </c:pt>
                <c:pt idx="6">
                  <c:v>636</c:v>
                </c:pt>
                <c:pt idx="7">
                  <c:v>656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2994</c:v>
                </c:pt>
                <c:pt idx="1">
                  <c:v>6468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80,48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45.98</c:v>
                </c:pt>
                <c:pt idx="1">
                  <c:v>57.96</c:v>
                </c:pt>
                <c:pt idx="2">
                  <c:v>63.56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80,48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(72,51 – 95,69)</c:v>
                </c:pt>
                <c:pt idx="1">
                  <c:v>Precio objetivo de los analistas (84,00 – 100,00)</c:v>
                </c:pt>
                <c:pt idx="2">
                  <c:v>Comparables: PER NTM (67,52 – 85,00)</c:v>
                </c:pt>
                <c:pt idx="3">
                  <c:v>DCF (WACC y g ± 0,5) (54,78 – 61,86)</c:v>
                </c:pt>
                <c:pt idx="4">
                  <c:v>Escenarios (bajista – alcista) (45,98 – 63,56)</c:v>
                </c:pt>
                <c:pt idx="5">
                  <c:v>DCF con la prima implícita del mercado (4,2 %)</c:v>
                </c:pt>
                <c:pt idx="6">
                  <c:v>Precio actual (80,48)</c:v>
                </c:pt>
              </c:strCache>
            </c:strRef>
          </c:cat>
          <c:val>
            <c:numRef>
              <c:f>Hoja1!$B$2:$B$8</c:f>
              <c:numCache>
                <c:formatCode>#,##0</c:formatCode>
                <c:ptCount val="7"/>
                <c:pt idx="0">
                  <c:v>72.51</c:v>
                </c:pt>
                <c:pt idx="1">
                  <c:v>84</c:v>
                </c:pt>
                <c:pt idx="2">
                  <c:v>67.52</c:v>
                </c:pt>
                <c:pt idx="3">
                  <c:v>54.78</c:v>
                </c:pt>
                <c:pt idx="4">
                  <c:v>45.98</c:v>
                </c:pt>
                <c:pt idx="5">
                  <c:v>61.84</c:v>
                </c:pt>
                <c:pt idx="6">
                  <c:v>80.08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(72,51 – 95,69)</c:v>
                </c:pt>
                <c:pt idx="1">
                  <c:v>Precio objetivo de los analistas (84,00 – 100,00)</c:v>
                </c:pt>
                <c:pt idx="2">
                  <c:v>Comparables: PER NTM (67,52 – 85,00)</c:v>
                </c:pt>
                <c:pt idx="3">
                  <c:v>DCF (WACC y g ± 0,5) (54,78 – 61,86)</c:v>
                </c:pt>
                <c:pt idx="4">
                  <c:v>Escenarios (bajista – alcista) (45,98 – 63,56)</c:v>
                </c:pt>
                <c:pt idx="5">
                  <c:v>DCF con la prima implícita del mercado (4,2 %)</c:v>
                </c:pt>
                <c:pt idx="6">
                  <c:v>Precio actual (80,48)</c:v>
                </c:pt>
              </c:strCache>
            </c:strRef>
          </c:cat>
          <c:val>
            <c:numRef>
              <c:f>Hoja1!$C$2:$C$8</c:f>
              <c:numCache>
                <c:formatCode>#,##0</c:formatCode>
                <c:ptCount val="7"/>
                <c:pt idx="0">
                  <c:v>23.179999999999993</c:v>
                </c:pt>
                <c:pt idx="1">
                  <c:v>16</c:v>
                </c:pt>
                <c:pt idx="2">
                  <c:v>17.480000000000004</c:v>
                </c:pt>
                <c:pt idx="3">
                  <c:v>7.079999999999998</c:v>
                </c:pt>
                <c:pt idx="4">
                  <c:v>17.580000000000005</c:v>
                </c:pt>
                <c:pt idx="5">
                  <c:v>6.539999999999992</c:v>
                </c:pt>
                <c:pt idx="6">
                  <c:v>0.7999999999999972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