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d'Alba Global Co., Ltd.</w:t>
      </w:r>
    </w:p>
    <w:p>
      <w:pPr>
        <w:spacing w:after="60"/>
        <w:rPr>
          <w:color w:val="52514E"/>
          <w:sz w:val="22"/>
          <w:szCs w:val="22"/>
        </w:rPr>
      </w:pPr>
      <w:r>
        <w:rPr>
          <w:color w:val="52514E"/>
          <w:sz w:val="22"/>
          <w:szCs w:val="22"/>
        </w:rPr>
        <w:t xml:space="preserve">483650 · KOSPI (Korea Exchange) · ISIN KR7483650008 · Consumer Staples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KRW</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169.600,00 KRW</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193.810,64 KRW</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+15,8 % (base +21,6 %)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177.949,74 KRW · mercado 200.272,83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2.170.880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d'Alba Global Co., Ltd.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483650 / KR7483650008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KOSPI (Korea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KOSPI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Consumer Staples / Personal Care Products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Seúl (Mapo-daero 78, Mapo-gu) · 2016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https://www.dalbaglobal.com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169.600,00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116.200,00 – 283.000,00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2.170.880 M KRW</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1.959.128 M KRW</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34.770 M KRW/día (3 meses; 164.402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193.810,64 KRW</w:t>
      </w:r>
      <w:r>
        <w:t xml:space="preserve"> frente a 169.600,00 · Rentabilidad a 12 meses </w:t>
      </w:r>
      <w:r>
        <w:rPr>
          <w:b/>
          <w:bCs/>
        </w:rPr>
        <w:t xml:space="preserve">+15,8 % (base +21,6 %)</w:t>
      </w:r>
      <w:r>
        <w:t xml:space="preserve"> · Valor intrínseco 177.949,74 KRW · con la prima implícita del mercado: 200.272,83 (+18,1 %) · Alcista / bajista +25,3 % / -46,6 %</w:t>
      </w:r>
    </w:p>
    <w:p>
      <w:pPr>
        <w:spacing w:after="100"/>
      </w:pPr>
      <w:r>
        <w:rPr>
          <w:b/>
        </w:rPr>
        <w:t xml:space="preserve">La recomendación y por qué.</w:t>
      </w:r>
      <w:r>
        <w:t xml:space="preserve"> Comprar, con convicción baja. La regla a 12 meses da Comprar por la mínima: objetivo de 193.811 KRW, +15,8 % con dividendo (+21,6 % en el caso base), frente a un precio de 169.600 KRW (cierre del 19-oct-2026 en el KOSPI) [29]. Pero la compra no es robusta: con un BPA un 10 % menor la ponderada baja del 15 % exigido, el valor intrínseco (177.950 KRW) apenas supera el precio (+4,9 %) y el bajista pierde más de lo que gana el alcista. La convicción es baja por eso: es una buena empresa a un precio justo, no barato. La subiría un 3T26 que confirme las ventas de 725.000 M en 2026 con margen del 21 %, o un precio más bajo; la bajaría que la bruma pierda los rankings o que el marketing vuelva al 22 % de las ventas.</w:t>
      </w:r>
    </w:p>
    <w:p>
      <w:pPr>
        <w:spacing w:after="100"/>
      </w:pPr>
      <w:r>
        <w:rPr>
          <w:b/>
        </w:rPr>
        <w:t xml:space="preserve">Por qué ha caído un 36 %.</w:t>
      </w:r>
      <w:r>
        <w:t xml:space="preserve"> Del máximo de 283.000 KRW (12-ago-2026) a 169.600 [29]. El 2T26 fue récord, pero la empresa dio una guía prudente para el 3T26 (170.000 M de ventas, menos que en el 2T) y la acción cayó un 9,9 % al día siguiente [14]; después, el won fuerte (el 76 % de las ventas es fuera de Corea), los recortes de objetivo de octubre, las ventas forzosas de compras a crédito y la rotación de la bolsa coreana hacia Samsung y SK Hynix [23, 36]. Aun así sube un 156 % desde la salida a bolsa (66.300 KRW, mayo de 2025).</w:t>
      </w:r>
    </w:p>
    <w:p>
      <w:pPr>
        <w:spacing w:after="100"/>
      </w:pPr>
      <w:r>
        <w:rPr>
          <w:b/>
        </w:rPr>
        <w:t xml:space="preserve">El negocio.</w:t>
      </w:r>
      <w:r>
        <w:t xml:space="preserve"> d'Alba vende cosmética coreana con su marca: una bruma facial con trufa blanca (First Spray Serum, el 46 % de las ventas de 2025), protección solar (22 %) y cremas, fabricadas por encargo por Kolmar Korea, Cosmax y otros [1]. El 63 % de las ventas de 2025 fue fuera de Corea (Japón, EE. UU., Sudeste Asiático, Rusia, Europa), sobre todo por Amazon, Qoo10, Shopee y TikTok Shop (el 40,6 %), y en Corea por teletienda, online y Olive Young [1]. </w:t>
      </w:r>
      <w:r>
        <w:rPr>
          <w:b/>
        </w:rPr>
        <w:t xml:space="preserve">Calidad: Sí</w:t>
      </w:r>
      <w:r>
        <w:t xml:space="preserve">: ROIC del 123,8 % en 2025 frente a un WACC del 11,45 % (112 puntos), porque casi no necesita capital. La sostenibilidad del crecimiento es </w:t>
      </w:r>
      <w:r>
        <w:rPr>
          <w:b/>
        </w:rPr>
        <w:t xml:space="preserve">sí</w:t>
      </w:r>
      <w:r>
        <w:t xml:space="preserve">: proyectamos un 14,4 % anual frente al 53 % de 2022-2025. Lo que no tiene es foso: cambiar de bruma no cuesta nada.</w:t>
      </w:r>
    </w:p>
    <w:p>
      <w:pPr>
        <w:spacing w:after="100"/>
      </w:pPr>
      <w:r>
        <w:rPr>
          <w:b/>
        </w:rPr>
        <w:t xml:space="preserve">Finanzas.</w:t>
      </w:r>
      <w:r>
        <w:t xml:space="preserve"> Ventas de 519.735 M en 2025 (+68,2 %), margen operativo del 19,5 % y beneficio de 79.054 M (BPA 6.315 KRW) [1, 8]; el 3T25 fue el tropiezo (margen del 14,6 %) [10]. En el 1S26, ventas +47,9 % y margen operativo del 25,8 % [3]. Caja de 201.724 M y sin deuda a 30-jun-2026; reparte el 41 % del beneficio y recompra acciones [3, 27].</w:t>
      </w:r>
    </w:p>
    <w:p>
      <w:pPr>
        <w:spacing w:after="100"/>
      </w:pPr>
      <w:r>
        <w:rPr>
          <w:b/>
        </w:rPr>
        <w:t xml:space="preserve">Equipo y gobierno.</w:t>
      </w:r>
      <w:r>
        <w:t xml:space="preserve"> El fundador, Ban Sung-yeon, es presidente y primer ejecutivo y controla el 21 % con sus relacionados; vendió en julio 76.616 acciones para pagar impuestos y tiene el resto bloqueado hasta 2028 [20, 24]. Todos los bloqueos de la salida a bolsa han vencido; en septiembre vendieron también dos directivos [25].</w:t>
      </w:r>
    </w:p>
    <w:p>
      <w:pPr>
        <w:spacing w:after="100"/>
      </w:pPr>
      <w:r>
        <w:rPr>
          <w:b/>
        </w:rPr>
        <w:t xml:space="preserve">Valoración.</w:t>
      </w:r>
      <w:r>
        <w:t xml:space="preserve"> El DCF da 172.463 KRW (WACC del 11,45 % con el bono coreano al 4,45 % [30]); el precio descuenta casi exactamente nuestro caso base (crecimiento implícito del 10,1 % frente al 10,6 %). A 12 meses: PER de 14,4x sobre un BPA de 2028e de 14.145 KRW, un 19 % por debajo del consenso.</w:t>
      </w:r>
    </w:p>
    <w:p>
      <w:pPr>
        <w:spacing w:after="100"/>
      </w:pPr>
      <w:r>
        <w:rPr>
          <w:b/>
        </w:rPr>
        <w:t xml:space="preserve">Riesgos y catalizadores.</w:t>
      </w:r>
      <w:r>
        <w:t xml:space="preserve"> El riesgo principal es la moda: que la cosmética coreana se enfríe o la bruma pierda los rankings de Amazon y Qoo10 (bajista a 12 meses: −36,9 %); le siguen la competencia de otras marcas coreanas, la dependencia de las plataformas (Amazon, Olive Young) y el won. </w:t>
      </w:r>
      <w:r>
        <w:rPr>
          <w:b/>
        </w:rPr>
        <w:t xml:space="preserve">Riesgo de IA: medio</w:t>
      </w:r>
      <w:r>
        <w:t xml:space="preserve">, neutral. Catalizador: resultados del 3T26 el 12-nov. Veredicto de precio y noticias: no cambia.</w:t>
      </w:r>
    </w:p>
    <w:p>
      <w:pPr>
        <w:spacing w:after="100"/>
      </w:pPr>
      <w:r>
        <w:rPr>
          <w:b/>
        </w:rPr>
        <w:t xml:space="preserve">Qué cambiaría la decisión.</w:t>
      </w:r>
      <w:r>
        <w:t xml:space="preserve"> La regla compra por debajo de 170.817 KRW; la compra robusta (que aguanta un BPA un 10 % menor, con v3 y v2) exige un precio por debajo de 154.105 KRW, un 9 % menos que hoy. Un 3T26 con margen operativo del 20-21 % y ventas fuera de Corea creciendo más del 40 % nos haría subir el base; una caída de la bruma en los rankings, bajarlo.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193.810,64 KRW</w:t>
      </w:r>
      <w:r>
        <w:t xml:space="preserve"> (rentabilidad +15,8 % (base +21,6 %)) · Valor intrínseco: 177.949,74 KRW (+4,9 % sobre 169.600,00) · con la prima implícita del mercado: 200.272,83 (+18,1 %)</w:t>
      </w:r>
    </w:p>
    <w:p>
      <w:pPr>
        <w:spacing w:after="100"/>
      </w:pPr>
      <w:r>
        <w:t xml:space="preserve">d'Alba es una marca coreana que gana mucho dinero con muy poco capital (ROIC por encima del 100 %) y crece un 46-50 % al año con la expansión fuera de Corea: el 76 % de las ventas en el 2T26 [6].</w:t>
      </w:r>
    </w:p>
    <w:p>
      <w:pPr>
        <w:spacing w:after="100"/>
      </w:pPr>
      <w:r>
        <w:t xml:space="preserve">El problema es el precio de la incertidumbre: el negocio depende de un producto (la bruma), de la moda de la cosmética coreana y de plataformas que no controla, y no tiene foso. A 169.600 KRW el mercado ya paga nuestro caso base (DCF de 172.463 KRW).</w:t>
      </w:r>
    </w:p>
    <w:p>
      <w:pPr>
        <w:spacing w:after="100"/>
      </w:pPr>
      <w:r>
        <w:t xml:space="preserve">Con un crecimiento del 24 % en 2027 y del 16 % en 2028, el BPA de 2028e es de 14.145 KRW y la rentabilidad a 12 meses del 21,6 % en el base, pero el bajista (−36,9 %) pesa demasiado para comprar sin margen. La compra solo es sólida a un precio más bajo o con más pruebas de que la marca dura.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193.810,64 KRW</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 × 9.074,99 = 104.362,39 · 14,4x × 14.144,57 = 203.681,81 · 16,3x × 16.166,66 = 263.516,56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 / 21,6 %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historia adelantada de 1 años: decide la más baja de v3 y v2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289.167,00 (nuestro base -29,6 %)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177.949,74 KRW</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 / -46,6 %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 frente a 11,4 % y 10,2 %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200.272,83 KRW</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 frente a 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(14,4 %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170.817,08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170.817,08 y 218.266,27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218.266,27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Comprar por poco (ponderada del 15,8 % frente al 15 % exigido), pero la compra no aguanta las pruebas de robustez: con un BPA un 10 % menor la ponderada cae por debajo del umbral, el valor intrínseco solo supera el precio en un 4,9 % y la asimetría del DCF es desfavorable (bajista −46,6 %, alcista +25,3 %). La recomendación de la regla es Comprar, con convicción baja; la acción robusta la da herramientas/robustez.mjs.</w:t>
      </w:r>
    </w:p>
    <w:p>
      <w:pPr>
        <w:pStyle w:val="Heading2"/>
      </w:pPr>
      <w:r>
        <w:t xml:space="preserve">Qué cambiaría la recomendación</w:t>
      </w:r>
    </w:p>
    <w:p>
      <w:pPr>
        <w:pStyle w:val="ListParagraph"/>
        <w:numPr>
          <w:ilvl w:val="0"/>
          <w:numId w:val="2"/>
        </w:numPr>
        <w:spacing w:after="60"/>
      </w:pPr>
      <w:r>
        <w:t xml:space="preserve">Precio por debajo de 154.105 KRW (límite robusto): la compra aguantaría un BPA un 10 % peor.</w:t>
      </w:r>
    </w:p>
    <w:p>
      <w:pPr>
        <w:pStyle w:val="ListParagraph"/>
        <w:numPr>
          <w:ilvl w:val="0"/>
          <w:numId w:val="2"/>
        </w:numPr>
        <w:spacing w:after="60"/>
      </w:pPr>
      <w:r>
        <w:t xml:space="preserve">Un 3T26 y 4T26 que confirmen 725.000 M de ventas en 2026 con margen operativo del 21 % o más: subiríamos el base.</w:t>
      </w:r>
    </w:p>
    <w:p>
      <w:pPr>
        <w:pStyle w:val="ListParagraph"/>
        <w:numPr>
          <w:ilvl w:val="0"/>
          <w:numId w:val="2"/>
        </w:numPr>
        <w:spacing w:after="60"/>
      </w:pPr>
      <w:r>
        <w:t xml:space="preserve">Ventas fuera de Corea creciendo menos del 20 % o margen operativo por debajo del 17 %: bajaríamos el base al bajista.</w:t>
      </w:r>
    </w:p>
    <w:p>
      <w:pPr>
        <w:pStyle w:val="ListParagraph"/>
        <w:numPr>
          <w:ilvl w:val="0"/>
          <w:numId w:val="2"/>
        </w:numPr>
        <w:spacing w:after="60"/>
      </w:pPr>
      <w:r>
        <w:t xml:space="preserve">Precio por encima de 218.266 KRW: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10 % anual desde 2027 con un margen EBITDA del 20 %: casi exactamente nuestro caso base. Los analistas (18 compras, objetivo medio de 289.167 KRW) esperan bastante más.</w:t>
      </w:r>
    </w:p>
    <w:p>
      <w:pPr>
        <w:keepNext/>
        <w:spacing w:after="100"/>
      </w:pPr>
      <w:r>
        <w:rPr>
          <w:b/>
          <w:bCs/>
        </w:rPr>
        <w:t xml:space="preserve">Lo que creemos nosotros.</w:t>
      </w:r>
    </w:p>
    <w:p>
      <w:pPr>
        <w:spacing w:after="100"/>
      </w:pPr>
      <w:r>
        <w:t xml:space="preserve">La empresa seguirá creciendo con fuerza dos años más, pero menos que el consenso (+24 % y +16 % frente a +30 % y +22 %) y sin llegar al 25 % de margen operativo prometido: nuestro BPA de 2028e es un 19 % menor. A este precio la rentabilidad esperada cumple la regla por poco, pero no deja margen para el riesgo de moda.</w:t>
      </w:r>
    </w:p>
    <w:p>
      <w:pPr>
        <w:keepNext/>
        <w:spacing w:after="100"/>
      </w:pPr>
      <w:r>
        <w:rPr>
          <w:b/>
          <w:bCs/>
        </w:rPr>
        <w:t xml:space="preserve">Por qué podemos tener razón.</w:t>
      </w:r>
    </w:p>
    <w:p>
      <w:pPr>
        <w:spacing w:after="100"/>
      </w:pPr>
      <w:r>
        <w:t xml:space="preserve">La competencia entre marcas coreanas en Amazon y Olive Young se gana con marketing y la bruma ya pesa menos (41 % en el 2T26); Dr.Jart muestra cómo una marca de moda deja de ganar dinero [6, 18].</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KRW) · precio actual 169.6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172.463,39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215.558,54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162.021,13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Calidad</w:t>
      </w:r>
      <w:r>
        <w:t xml:space="preserve">: ROIC del 123,8 % en 2025 y caja neta de ≈ 200.000 M [1, 3].</w:t>
      </w:r>
    </w:p>
    <w:p>
      <w:pPr>
        <w:pStyle w:val="ListParagraph"/>
        <w:numPr>
          <w:ilvl w:val="0"/>
          <w:numId w:val="2"/>
        </w:numPr>
        <w:spacing w:after="60"/>
      </w:pPr>
      <w:r>
        <w:rPr>
          <w:b/>
        </w:rPr>
        <w:t xml:space="preserve">Crecimiento</w:t>
      </w:r>
      <w:r>
        <w:t xml:space="preserve">: ventas +47,9 % en el 1S26 y margen operativo del 25,8 % [3].</w:t>
      </w:r>
    </w:p>
    <w:p>
      <w:pPr>
        <w:pStyle w:val="ListParagraph"/>
        <w:numPr>
          <w:ilvl w:val="0"/>
          <w:numId w:val="2"/>
        </w:numPr>
        <w:spacing w:after="60"/>
      </w:pPr>
      <w:r>
        <w:rPr>
          <w:b/>
        </w:rPr>
        <w:t xml:space="preserve">Diversificación</w:t>
      </w:r>
      <w:r>
        <w:t xml:space="preserve">: 76 % fuera de Corea, ≈ 9.700 tiendas físicas fuera y protección solar al 26 % [6].</w:t>
      </w:r>
    </w:p>
    <w:p>
      <w:pPr>
        <w:pStyle w:val="ListParagraph"/>
        <w:numPr>
          <w:ilvl w:val="0"/>
          <w:numId w:val="2"/>
        </w:numPr>
        <w:spacing w:after="60"/>
      </w:pPr>
      <w:r>
        <w:rPr>
          <w:b/>
        </w:rPr>
        <w:t xml:space="preserve">Reparto</w:t>
      </w:r>
      <w:r>
        <w:t xml:space="preserve">: 41 % del beneficio de 2025 y dos recompras en 2026 [1, 27].</w:t>
      </w:r>
    </w:p>
    <w:p>
      <w:pPr>
        <w:pStyle w:val="Heading2"/>
      </w:pPr>
      <w:r>
        <w:t xml:space="preserve">En contra</w:t>
      </w:r>
    </w:p>
    <w:p>
      <w:pPr>
        <w:pStyle w:val="ListParagraph"/>
        <w:numPr>
          <w:ilvl w:val="0"/>
          <w:numId w:val="2"/>
        </w:numPr>
        <w:spacing w:after="60"/>
      </w:pPr>
      <w:r>
        <w:rPr>
          <w:b/>
        </w:rPr>
        <w:t xml:space="preserve">Moda y producto estrella</w:t>
      </w:r>
      <w:r>
        <w:t xml:space="preserve">: la bruma es el 41-46 % de las ventas [1, 6].</w:t>
      </w:r>
    </w:p>
    <w:p>
      <w:pPr>
        <w:pStyle w:val="ListParagraph"/>
        <w:numPr>
          <w:ilvl w:val="0"/>
          <w:numId w:val="2"/>
        </w:numPr>
        <w:spacing w:after="60"/>
      </w:pPr>
      <w:r>
        <w:rPr>
          <w:b/>
        </w:rPr>
        <w:t xml:space="preserve">Sin foso</w:t>
      </w:r>
      <w:r>
        <w:t xml:space="preserve">: entrar en cosmética coreana cuesta poco; VT y Dr.Jart muestran el riesgo [18].</w:t>
      </w:r>
    </w:p>
    <w:p>
      <w:pPr>
        <w:pStyle w:val="ListParagraph"/>
        <w:numPr>
          <w:ilvl w:val="0"/>
          <w:numId w:val="2"/>
        </w:numPr>
        <w:spacing w:after="60"/>
      </w:pPr>
      <w:r>
        <w:rPr>
          <w:b/>
        </w:rPr>
        <w:t xml:space="preserve">Plataformas</w:t>
      </w:r>
      <w:r>
        <w:t xml:space="preserve">: el 40,6 % de las ventas por plataformas online de terceros [1].</w:t>
      </w:r>
    </w:p>
    <w:p>
      <w:pPr>
        <w:pStyle w:val="ListParagraph"/>
        <w:numPr>
          <w:ilvl w:val="0"/>
          <w:numId w:val="2"/>
        </w:numPr>
        <w:spacing w:after="60"/>
      </w:pPr>
      <w:r>
        <w:rPr>
          <w:b/>
        </w:rPr>
        <w:t xml:space="preserve">Precio justo</w:t>
      </w:r>
      <w:r>
        <w:t xml:space="preserve">: el DCF solo da un 1,7 % más que el precio [29].</w:t>
      </w:r>
    </w:p>
    <w:p>
      <w:pPr>
        <w:pStyle w:val="Heading2"/>
      </w:pPr>
      <w:r>
        <w:t xml:space="preserve">Qué tiene que pasar para que la tesis funcione</w:t>
      </w:r>
    </w:p>
    <w:p>
      <w:pPr>
        <w:spacing w:after="100"/>
      </w:pPr>
      <w:r>
        <w:t xml:space="preserve">La velocidad de las ventas fuera de Corea y el margen. La señal de que la tesis aguanta: en el 3T26 (12-nov) ventas de 170.000 M o más con margen operativo del 20 % y Norteamérica y Europa creciendo más del 100 %; la de que falla: ventas por debajo de la guía, marketing por encima del 22 % de las ventas o la bruma fuera de los primeros puestos de Amazon y Qoo10.</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fuera de Corea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 aprox. (2T26; exterior 75,7 % de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 toda la tesis.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marketing se come la escala.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bruma en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de ventas de la bruma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Dependencia del producto estrella.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de marketing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entre marcas coreanas.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en Corea (Olive Young, teletienda)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Otra caída en el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Dependencia de Olive Young.</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20,2x / 12,8x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(2022-2025)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 · -1,5x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d'Alba Global nació en marzo de 2016 en Seúl como Bmonument (비모뉴먼트), fundada por Ban Sung-yeon, y en agosto de 2016 lanzó la marca d'Alba, con la trufa blanca de Alba (Italia) como ingrediente y un posicionamiento de cosmética vegana «premium accesible» [1]. Su producto estrella, la bruma First Spray Serum, se hizo popular con la teletienda coreana y después en Olive Young y en plataformas online de Japón y el Sudeste Asiático [1, 5]. Se financió con fondos de capital riesgo (rondas de 2019 y 2022) [1]. En 2023 lanzó Veganery (suplementos veganos) y abrió filial en Rusia; en 2024 cambió el nombre a d'Alba Global, abrió filiales en Japón y EE. UU., lanzó los aparatos d'Alba Signature y superó los 300.000 M de ventas [1]. Salió a bolsa en el KOSPI el 22-may-2025 a 66.300 KRW y cerró 2025 con 519.735 M de ventas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Bmonument (marzo) y lanzamiento de la marca d'Alba (agosto)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Rondas de financiación A y B; premio presidencial al exportador de 1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Ronda C; premio al exportador de 5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Veganery y filial en Rusia; premio al exportador de 10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nombre a d'Alba Global; filiales en Japón y EE. UU.; aparatos d'Alba Signature; ventas de más de 300.000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KOSPI (22-may); entrada en Ulta y Costco en EE. UU.; ventas de más de 500.000 M y premio al exportador de 70 M USD [1,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Exterior al 75,7 % de las ventas en el 2T26; ≈ 9.700 tiendas físicas fuera de Corea; 33,61 % de Kuoca Skin [6].</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d'Alba Global diseña y comercializa cosmética coreana de cuidado de la piel con su marca d'Alba: brumas faciales (First Spray Serum, el 46 % de las ventas de 2025), protección solar (22 %), cremas (10 %), mascarillas (5 %) y otros (limpiadoras, tónicos, aparatos de belleza d'Alba Signature, suplementos Veganery y cuidado del pelo d'Alba Professional) [1]. No fabrica: encarga la producción a fabricantes coreanos (Kolmar Korea, Cosmax, B&amp;B Korea y otros) y se queda con la marca, la formulación, el marketing y la distribución [1, 5]. Vende en Corea (37 % en 2025: online propio y de terceros, teletienda, Olive Young y tiendas libres de impuestos) y fuera (63 %: Japón, Norteamérica, ASEAN, Rusia, Europa y China), con la venta online en plataformas (Amazon, Qoo10, Shopee, TikTok Shop, Ozon) como canal principal y una red física que crece (Ulta, Costco, Matsumoto Kiyoshi, Watsons) [1, 6].</w:t>
      </w:r>
    </w:p>
    <w:p>
      <w:pPr>
        <w:pStyle w:val="Heading2"/>
      </w:pPr>
      <w:r>
        <w:t xml:space="preserve">Cómo gana dinero</w:t>
      </w:r>
    </w:p>
    <w:p>
      <w:pPr>
        <w:spacing w:after="100"/>
      </w:pPr>
      <w:r>
        <w:t xml:space="preserve">Vende un producto barato de fabricar (coste de ventas del 24 % de las ventas en 2025) a un precio de marca, y gasta mucho en darlo a conocer: el marketing (influencers, anuncios en plataformas, teletienda) es la partida que decide el margen, entre el 17 % y el 22 % de las ventas por trimestre [1, 6]. El margen operativo pasó del 10 % (2022) al 19,5 % (2025) y al 25,8 % (1S26) a medida que la marca ganó escala. Capital mínimo: no tiene fábricas y el circulante es del 13-18 % de las ventas. La venta online directa al consumidor fuera de Corea (40,6 % de las ventas de 2025) deja más margen que la venta a distribuidores (22,1 %) [1]. Estacionalidad: el 4T es el más fuerte en ventas (Black Friday, Navidad, Qoo10 Megawari) pero con más marketing; el 3T, el más flojo.</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98"/>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Brumas (First Spray Serum)</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239.103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Protección solar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Cremas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51.191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Mascarillas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86.706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Brumas (First Spray Serum)</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239.103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Protección solar</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Cremas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51.191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Mascarillas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86.706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Consumidoras de 25-45 años que buscan cosmética vegana premium a precio razonable [9]. Canales en 2025: exportación online directa al consumidor 40,6 % (Amazon, Qoo10, Shopee, TikTok Shop, Ozon), exportación a distribuidores 22,1 %, online en Corea 11,9 %, Olive Young y otras cadenas de salud y belleza 10,2 %, teletienda 9,8 % y online B2B en Corea 4,5 % [1]. La empresa no publica cuánto pesa Amazon ni Olive Young por separado; Amazon EE. UU. creció un 96 % en el 2T26 y un hueco de mes y medio en Olive Young bastó para que Corea cayera un 3,8 % en el trimestre [6]. Poder de precios: limitado y apoyado en la marca; el margen bruto ha subido del 72,6 % al 75,9 % en tres años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las ventas fuera de Corea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trimestral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físicas fuera de Corea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6.070 (2S25)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9.700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 5.040, Norteamérica 1.889 (Ulta 1.450, Costco 225 en EE. UU.), China 883, ASEAN 726, Europa 635, Rusia 434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de marketing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escala explica la subida del margen operativo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bruma (First Spray Serum)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hacia protección solar (26,3 % en el 2T26)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en Corea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45.300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Olive Young, teletienda y falta de tubos de protección solar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mundial de belleza (cuidado de la piel, pelo, maquillaje, perfume e higiene) a precio neto de fabricante, que L'Oréal cifra en ≈ 300.000 M EUR en 2025, con crecimiento previsto de ≈ 4 % anual (ficha sectorial del repositorio) [16]. Dentro, la cosmética coreana («K-beauty») es el segmento que más crece: las exportaciones coreanas de cosmética fueron 11.400 M USD en 2025 (+12,3 %, récord), con EE. UU. como primer destino (2.200 M USD) por delante de China (2.000 M) y Japón (1.100 M) [15]. Usamos el mercado mundial de belleza como mercado final (prudente y amplio) y vigilamos el de la cosmética coreana como indicador de la moda.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300.000 M EUR en 2025 (≈ 446 billones de KRW a 1.488 KRW/EUR) [16]; exportaciones coreanas de cosmética 11.400 M USD en 2025 [15]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 arriba y muy fragmentada por debajo de los diez primeros; las marcas coreanas independientes ganan cuota en online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Moda de la cosmética coreana en EE. UU., Europa y Japón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Exportaciones de cosmética coreana +12,3 % en 2025, con EE. UU. primer destino [15]; Norteamérica +174 % y Europa +242 % para d'Alba en el 2T26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en plataformas y redes (Amazon, TikTok Shop)</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Permite a marcas pequeñas llegar a todo el mundo sin red física; 40,6 % de las ventas de d'Alba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Fabricantes por encargo coreanos (Kolmar, Cosmax)</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Bajan la barrera de entrada: cualquier marca nueva puede lanzar productos de calidad en meses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tipo de cambio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a las importaciones coreanas desde 2025; el won fuerte reduce las ventas en KRW (Kyobo, oct-2026)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Sustitución de marcas: la moda pasa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Dr.Jart (Estée Lauder) pierde dinero seis años después de su compra y Dr.G se estanca [18].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Cientos de marcas coreanas compiten en Amazon y Olive Young con productos parecidos (APR/Medicube, Beauty of Joseon, Torriden, Anua, Skin1004, COSRX) [17,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plataformas (Amazon, Olive Young, Qoo10) y las cadenas (Ulta, Costco) controlan el acceso al cliente y cobran por visibilidad [1, 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Varios fabricantes por encargo compiten por los pedidos; el margen bruto ha subido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fabricantes por encargo y redes sociales, lanzar una marca cuesta poco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marcas globales (L'Oréal, Estée Lauder) y la dermocosmética compiten por el mismo gasto.</w:t>
            </w:r>
          </w:p>
        </w:tc>
      </w:tr>
    </w:tbl>
    <w:p>
      <w:pPr>
        <w:spacing w:after="160" w:before="0"/>
      </w:pPr>
    </w:p>
    <w:p>
      <w:pPr>
        <w:pStyle w:val="Heading2"/>
      </w:pPr>
      <w:r>
        <w:t xml:space="preserve">Ciclo</w:t>
      </w:r>
    </w:p>
    <w:p>
      <w:pPr>
        <w:spacing w:after="100"/>
      </w:pPr>
      <w:r>
        <w:t xml:space="preserve">La cosmética es defensiva en volumen (en 2009 y 2020 cayó poco) [16], pero la cosmética coreana fuera de Corea vive una fase de moda con crecimientos del 50-100 % en algunos mercados. d'Alba no ha vivido un ciclo bajista como cotizada: el más cercano fue la caída de China en 2017-2022 (veto por el THAAD y confinamientos), que hundió a Amorepacific y LG H&amp;H. Indicadores: exportaciones mensuales de cosmética coreana (aduanas), rankings de Amazon y ventas de Olive Young.</w:t>
      </w:r>
    </w:p>
    <w:p>
      <w:pPr>
        <w:pStyle w:val="Heading2"/>
      </w:pPr>
      <w:r>
        <w:t xml:space="preserve">Regulación</w:t>
      </w:r>
    </w:p>
    <w:p>
      <w:pPr>
        <w:spacing w:after="100"/>
      </w:pPr>
      <w:r>
        <w:t xml:space="preserve">Cosmética: MFDS en Corea; en EE. UU., la ley MoCRA (registro y farmacovigilancia) y la FDA para los protectores solares, que allí son medicamentos sin receta y exigen filtros aprobados; en la UE, el reglamento 1223/2009 [16]. Aranceles de EE. UU. a las importaciones coreanas desde 2025. En Rusia, sanciones y pagos: canal expuesto a cambios bruscos (−34 % en el 2T26) [6].</w:t>
      </w:r>
    </w:p>
    <w:p>
      <w:pPr>
        <w:pStyle w:val="Heading2"/>
      </w:pPr>
      <w:r>
        <w:t xml:space="preserve">Tendencias y disrupción</w:t>
      </w:r>
    </w:p>
    <w:p>
      <w:pPr>
        <w:spacing w:after="100"/>
      </w:pPr>
      <w:r>
        <w:t xml:space="preserve">Tres tendencias. (1) La cosmética coreana pasa de moda a categoría: entra en cadenas físicas (Ulta, Costco, Sephora Canadá) y deja de depender solo de Amazon [6]. (2) Las ventas se deciden en redes y plataformas: TikTok Shop y Amazon premian a la marca que más invierte en contenido y anuncios, lo que hace subir el gasto de marketing de todas. (3) Los grandes compran marcas coreanas (Estée Lauder-Dr.Jart en 2019, Amorepacific-COSRX en 2021-2024, L'Oréal-Dr.G en 2024), pero algunas compras han salido mal cuando pasó la moda [18]. La IA entra en el marketing y la recomendación de productos (agentes de compra), un riesgo para las marcas sin un atributo claro.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Marca mediana de la cosmética coreana: 519.735 M KRW de ventas en 2025 (≈ 0,1 % del mercado mundial de belleza y ≈ 2 % de las exportaciones coreanas de cosmética) [1, 15]. Líder en su nicho de brumas faciales (First Spray Serum, más de 100 millones de unidades como objetivo) y número uno en rankings de Qoo10 Japón y Shopee Vietnam en su categoría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foso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APR (Medicube)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278470.KS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2.294.000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marca coreana que más crece fuera (aparatos y cosmética); cotiza a más del doble del múltiplo de d'Alba en EV/EBITDA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Silicon2 (Stylekorean)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257720.KQ</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Distribuidor de cosmética coreana en el mundo; vende marcas de terceros (incluida d'Alba en algunos mercados)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Amorepacific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090430.KS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4.492.000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grande (Sulwhasoo, Laneige, COSRX); se recupera fuera de China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LG H&amp;H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051900.KS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6.287.000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Cosmética de lujo dependiente de China; ventas planas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VT Cosmetics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018290.KQ</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coreana de tamaño parecido; margen hundido tras el pico de su producto estrella (Reedle Shot)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Clio Cosmetics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237880.KQ</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Maquillaje y cuidado (Goodal); crece poco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Goodai Global (Beauty of Joseon, Tirtir, Skin1004)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agrupa varias de las marcas coreanas más vendidas en Amazon.</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e.l.f. Beauty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ELF</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2.342.068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Cosmética de masas «premium accesible» en EE. UU., el mismo cliente que d'Alba busca en Ulta y Amazon [17].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Reseñas y rankings en plataformas ayudan, pero no impiden que otra marca escale.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bruma o de protector solar no cuesta nada al consumidor.</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d'Alba con producto icónico (First Spray Serum) y posicionamiento vegano premium; número uno de su categoría en Qoo10 y Shopee [B3].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marketing frente a marcas pequeñas: el marketing bajó del 22 % al 18 % de las ventas [B3].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enorme y fragmentado.</w:t>
            </w:r>
          </w:p>
        </w:tc>
      </w:tr>
    </w:tbl>
    <w:p>
      <w:pPr>
        <w:spacing w:after="160" w:before="0"/>
      </w:pPr>
    </w:p>
    <w:p>
      <w:pPr>
        <w:pStyle w:val="Heading2"/>
      </w:pPr>
      <w:r>
        <w:t xml:space="preserve">Amenazas</w:t>
      </w:r>
    </w:p>
    <w:p>
      <w:pPr>
        <w:spacing w:after="100"/>
      </w:pPr>
      <w:r>
        <w:t xml:space="preserve">Lo más probable es la competencia de otras marcas coreanas por el mismo cliente y el mismo espacio en Amazon y Olive Young: la entrada cuesta poco con fabricantes por encargo y el marketing es lo que decide (probabilidad alta, impacto en margen). Segunda: que la moda de la cosmética coreana se enfríe en EE. UU. o Japón, como le pasó a Dr.Jart (probabilidad media en 3-5 años, impacto alto) [18]. Tercera: depender de un producto (la bruma, 41-46 % de las ventas): si sale de los rankings, la empresa pierde la mitad del motor (media). Cuarta: aranceles y won fuerte.</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309.063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519.735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102.841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101.469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6.315,00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2.629,00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2022-2025: ingresos </w:t>
      </w:r>
      <w:r>
        <w:rPr>
          <w:b/>
          <w:bCs/>
        </w:rPr>
        <w:t xml:space="preserve">53,0 %</w:t>
      </w:r>
      <w:r>
        <w:t xml:space="preserve">, EBITDA </w:t>
      </w:r>
      <w:r>
        <w:rPr>
          <w:b/>
          <w:bCs/>
        </w:rPr>
        <w:t xml:space="preserve">90,7 %</w:t>
      </w:r>
      <w:r>
        <w:t xml:space="preserve">, BPA </w:t>
      </w:r>
      <w:r>
        <w:rPr>
          <w:b/>
          <w:bCs/>
        </w:rPr>
        <w:t xml:space="preserve">294,3 %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KRW,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145.205 M KRW en 2022 a 519.735 M en 2025: un crecimiento anual del 52,8 %, todo orgánico [1, 4]. El motor es una sola línea, la bruma con trufa blanca «First Spray Serum» (el 46 % de las ventas de 2025), más la protección solar (22 %) [1]. El salto de 2025 (+68,2 %) vino de fuera de Corea: el exterior pasó al 62,7 % de las ventas (75,7 % en el 2T26), con la venta online en Amazon, Qoo10, Shopee, TikTok Shop y Ozon como canal principal (40,6 % de las ventas) [1, 6]. El margen bruto subió del 72,6 % (2022) al 75,9 % (2025) y el operativo del 10,1 % al 19,5 %, con el marketing como gran partida variable (22 % de las ventas en el 2T25, 18 % en el 2T26) [6]. En 2026 el margen dio otro salto: 25,8 % en el 1S26 (ventas +47,9 %, beneficio operativo +55,7 %) por la escala del marketing [3]. Los últimos doce meses suman 635.705 M de ventas y 134.519 M de beneficio operativo (21,2 %).</w:t>
      </w:r>
    </w:p>
    <w:p>
      <w:pPr>
        <w:pStyle w:val="Heading2"/>
      </w:pPr>
      <w:r>
        <w:t xml:space="preserve">Ajustes y partidas no recurrentes</w:t>
      </w:r>
    </w:p>
    <w:p>
      <w:pPr>
        <w:spacing w:after="100"/>
      </w:pPr>
      <w:r>
        <w:t xml:space="preserve">Cifras publicadas K-IFRS, sin ajustes. Partida no recurrente principal: el gasto financiero de 2022-2024 (11.032 M, 18.357 M y 36.660 M) es casi todo la valoración a mercado de las RCPS (acciones preferentes rescatables y convertibles de los fondos de capital riesgo), que el folleto excluye del beneficio de 2024 al valorar la salida a bolsa (beneficio ajustado de 48.382 M frente a 15.409 M publicados) [2, 5]. En 2025 el resultado financiero es positivo (+1.459 M: 8.147 M de ingresos y 6.293 M de gastos, sobre todo diferencias de cambio) [2]. El 3T25 se reexpresó (ventas de 117.340 a 114.200 M) al reclasificar como menos ingreso los incentivos de las ventas online en Rusia [6]. Pagos en acciones: opciones y acciones a empleados y al primer ejecutivo (bonus en acciones de 7.970 títulos en junio de 2026) [3].</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2.932,00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186.861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3.054,00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Ventas y beneficio operativo de cada trimestre de las presentaciones y del IR Book [6, 9]; EBITDA = beneficio operativo + la amortización anual prorrateada (182 M por trimestre en 2024, 343 M en 2025 y ≈ 400 M en 2026: estimación); BPA básico de FnGuide [12]. En el 3T25 el beneficio operativo (16.652 M) quedó muy por debajo de lo esperado (≈ 31.300 M tres meses antes) por el marketing de la entrada en EE. UU. y Europa [13]. El 1T26 (45.100 M) y el 2T26 (47.241 M, frente a 42.300 M de Hana y 41.000 M de Yuanta) superaron [7, 14]. La presentación del 13-ago-2026 tuvo dos mensajes: (1) récord de ventas (+46 %) con el exterior al 75,7 % (Norteamérica +174 %, Europa +242 %, ASEAN +99 %, Japón +39 %, Rusia −34 %) y el marketing al 18 % de las ventas (22 % un año antes) [6]; (2) Corea cayó un 3,8 % por tres motivos temporales: menos emisiones de teletienda, falta de tubos de protección solar y un hueco de mes y medio en Olive Young por la renovación del First Spray Serum [6]. Dio una guía prudente para el 3T26 (170.000 M de ventas y 21 % de margen operativo) y subió la anual a 725.000 M [14]; la acción cayó un 9,9 % al día siguiente. Lo que se explicó a medias: por qué la guía del 3T implica ventas por debajo del 2T con tantas tiendas nuevas, y cuánto pesa Amazon (no se publica).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255.335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91.313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126.453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-123.509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198.555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(2023-2024: Filiales comerciales de nueva creación en Rusia (2023), Japón (2024) y EE. UU. (2024): crecimiento orgánico, sin compras [1].; 2026: Compra del 33,61 % de Kuoca Skin (perfumes y jabones) por 9.600 M el 31-jul-2026: participada por puesta en equivalencia, sin efecto en ventas [3].; 2023: el activo total crece un 98 % y los ingresos un 38 %).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de caja neta desde la salida a bolsa (39.557 M captados en mayo de 2025) y crece con el beneficio: el patrimonio pasó de 1.692 M (2022) a 251.813 M (jun-2026) [1, 3]. Antes de la salida a bolsa las RCPS de los fondos figuraban como deuda financiera (38.878 M en 2023) y comprimían el patrimonio. El circulante comercial (existencias + clientes − proveedores) fue de 91.313 M en 2025, el 17,6 % de las ventas, y de 93.469 M a jun-2026 (≈ 13 % de las ventas anualizadas del 2T26) [1, 3]. Las existencias de 2024 (47.900 M, 15,5 % de las ventas) fueron altas por la preparación de la expansión; bajaron a 57.564 M en jun-2026 pese a crecer un 46 % [3].</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1.565,78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2.689,24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1.338,74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5.370,61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2022-2025: FCF </w:t>
      </w:r>
      <w:r>
        <w:rPr>
          <w:b/>
          <w:bCs/>
        </w:rPr>
        <w:t xml:space="preserve">119.043</w:t>
      </w:r>
      <w:r>
        <w:t xml:space="preserve">, conversión </w:t>
      </w:r>
      <w:r>
        <w:rPr>
          <w:b/>
          <w:bCs/>
        </w:rPr>
        <w:t xml:space="preserve">109 %</w:t>
      </w:r>
      <w:r>
        <w:t xml:space="preserve"> del beneficio neto; adquisiciones 0, dividendos 35.719, recompras 0.</w:t>
      </w:r>
    </w:p>
    <w:p>
      <w:pPr>
        <w:spacing w:after="100"/>
      </w:pPr>
      <w:r>
        <w:t xml:space="preserve">El flujo operativo pasó de 14.168 M en 2022 a 68.482 M en 2025 [1, 4]; en 2024 fue bajo (15.809 M frente a un beneficio operativo de 59.845 M) porque las existencias se triplicaron (de 16.966 a 47.900 M). En el 1S26 fue de 81.305 M (53.296 M en el 1S25), más que el beneficio del semestre [3]. El capex es mínimo (0,1-0,4 % de las ventas): la empresa no fabrica, encarga la producción a Kolmar Korea, Cosmax y otros fabricantes por encargo, y no tiene fábricas ni tiendas propias [1]. Usos de la caja en 2025: dividendos de 30.975 M (el final de 2024 y el de 2.226 KRW a cuenta de 2025) y caja acumulada; entradas por la salida a bolsa (39.557 M) [1]. En 2026: recompra de 20.000 M (abril-julio), complementario de 403 KRW, Kuoca Skin (9.600 M) y nueva recompra de 15.000 M en curso [3].</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EY Hanyoung (desde 2025); antes Samil PwC (designado por el regulador para 2024) y Taesung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encima de −1,78: perfil compatible con manipulación de beneficios; revisar a fondo.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EY Hanyoung auditó 2025 con opinión favorable; la cuestión clave de auditoría fue el corte de las ventas de exportación (que la venta se registre en el periodo en que pasa el riesgo al cliente) [1]. 2023 y 2024 los auditó el auditor designado por el regulador antes de la salida a bolsa, con opinión favorable, y el informe de 2023 se reemitió en diciembre de 2024 al pasar a K-IFRS [4, 5]. Criterios a vigilar: (1) el reconocimiento de ventas a distribuidores y plataformas de exportación, con incentivos y devoluciones (el 3T25 se reexpresó por los incentivos de Rusia) [6]; (2) los clientes subieron de 20.123 M a 53.091 M en dieciocho meses, algo más rápido que las ventas, por el peso de la venta B2B a distribuidores y a Costco [3]; (3) la empresa no fabrica: la calidad depende de los fabricantes por encargo. El flujo operativo de los últimos doce meses (≈ 96.500 M) cubre el 89 % del beneficio, una conversión buena.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Reexpresión de ventas del 3T25 por incentivos de Rusia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117.340 a 114.200 M; cambio de criterio contable comunicado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nuevo en 2025 (tercero en tres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por la designación obligatoria del regulador antes de cotizar; opinión favorable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Clientes que crecen más que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20.123 M (2024) a 53.091 M (jun-2026) por la venta B2B fuera de Corea [3].</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5.255</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32.697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3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119,8 % · </w:t>
      </w:r>
      <w:r>
        <w:rPr>
          <w:b/>
          <w:bCs/>
        </w:rPr>
        <w:t xml:space="preserve">WACC</w:t>
      </w:r>
      <w:r>
        <w:t xml:space="preserve">: 11,4 %.</w:t>
      </w:r>
    </w:p>
    <w:p>
      <w:pPr>
        <w:spacing w:after="100"/>
      </w:pPr>
      <w:r>
        <w:t xml:space="preserve">d'Alba crea mucho valor: ROIC del 123,8 % en 2025 frente a un WACC del 11,45 % (112 puntos) y por encima del 100 % en todos los años desde 2022 [1]. Viene de un margen operativo del 19,5 % con un capital invertido mínimo (62.966 M para 519.735 M de ventas, rotación de 8 veces): no tiene fábricas ni tiendas, solo circulante. El ROIC incremental de 2022-2025 es del 119,8 %. La cifra exagera un poco por la caja excluida del capital, pero aunque se sumara la caja (≈ 126.000 M en 2025) el rendimiento sobre todo el patrimonio sería del 40 % (ROE del 52,6 % en 2025). Con nuestro 2028e (EBIT de 228.363 M) el ROIC seguiría por encima del 100 %. El riesgo no es de rentabilidad del capital sino de duración: un ROIC tan alto atrae competidores, y en cosmética entrar cuesta poco.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-197.390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-4.762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-202.152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92.703 M y otros activos financieros a corto de 109.021 M a 30-jun-2026 (201.724 M en total) y 3.648 M a largo; sin deuda financiera; 4.334 M de arrendamientos [3]. Después del cierre del semestre pagó 9.600 M por Kuoca Skin y tiene en marcha una recompra de 15.000 M (29-sep-2026 a 28-mar-2027)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Pasivo neto por pensiones de prestación definida de 1.564 M a 30-jun-2026 e impuesto a pagar de 22.040 M [3]. La compra de Kuoca Skin lleva opciones de compra y de venta sobre más acciones, sin importe publicado. Sin garantías ni litigios relevantes [3].</w:t>
      </w:r>
    </w:p>
    <w:p>
      <w:pPr>
        <w:pStyle w:val="Heading1"/>
      </w:pPr>
      <w:r>
        <w:t xml:space="preserve">12. Asignación de capital</w:t>
      </w:r>
    </w:p>
    <w:p>
      <w:pPr>
        <w:pStyle w:val="Confianza"/>
        <w:spacing w:after="100"/>
      </w:pPr>
      <w:r>
        <w:t xml:space="preserve">Confianza: Alta</w:t>
      </w:r>
    </w:p>
    <w:p>
      <w:pPr>
        <w:spacing w:after="100"/>
      </w:pPr>
      <w:r>
        <w:t xml:space="preserve">Desde la salida a bolsa reparte mucho: 2.629 KRW por acción de 2025 (2.226 a cuenta en diciembre y 403 complementarios en abril), un 41,1 % del beneficio, frente a 305 KRW (22,7 %) de 2024 y 267 KRW (22,0 %) de 2023 [1, 11]. El plan de valor del 31-mar-2026 promete repartir al menos el 25 % del beneficio en 2026-2028 (dividendos y recompras amortizadas) y un ROE de al menos el 20 % [3]. La junta extraordinaria del 2-jun-2026 aprobó pasar 20.000 M de reserva de capital a reservas libres para pagar dividendos exentos del impuesto al accionista [3]. Recompras: 20.000 M por fideicomiso entre abril y julio de 2026 (para planes de acciones de empleados) y 15.000 M con NH Investment desde el 29-sep-2026 para amortizar (≈ 81.922 acciones a 183.100 KRW)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Kuoca Skin (33,61 %; perfumes y jabones)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Participada por puesta en equivalencia, con opciones de compra y de venta sobre más acciones; diversificación hacia perfume [3].</w:t>
            </w:r>
          </w:p>
        </w:tc>
      </w:tr>
    </w:tbl>
    <w:p>
      <w:pPr>
        <w:spacing w:after="160" w:before="0"/>
      </w:pPr>
    </w:p>
    <w:p>
      <w:pPr>
        <w:spacing w:after="100"/>
      </w:pPr>
      <w:r>
        <w:t xml:space="preserve">Asignación de capital sencilla y sin compras grandes: el negocio apenas necesita capital (capex del 0,1-0,4 % de las ventas) y la caja se acumula. Con ROE del 52,6 % en 2025 (FnGuide) y caja de 201.724 M a jun-2026 sin deuda, el reto es devolver el exceso: el 41 % de reparto de 2025 y las dos recompras de 2026 van en esa línea [1, 3]. La única inversión fuera del negocio es Kuoca Skin (9.600 M), pequeña.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 Sung-yeon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primer ejecutivo (representative director)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la empresa en 2016 tras trabajar en consultoría estratégica; la dirige desde entonces. Tiene 2.201.134 acciones a título personal tras vender 76.616 en julio de 2026 (17,74 %) y un 20,56 % con sus relacionados y opciones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Yoo Myung-han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(COO), consejero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la junta de marzo de 2024; parte del grupo de control del fundador [1,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Yang Se-hoon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(CFO), consejero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 las cuentas y de la relación con inversores; tenía 75.150 acciones en agosto de 2026 tras ejercer 32.000 opciones [20].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más de 700.000 M y 70 % fuera de Corea (febrero); subida a 725.000 M el 13-ago-2026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358.103 M (49 % de la guía) con el exterior al 75,7 % en el 2T26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3T26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170.000 M y 21 % de margen operativo (13-ago-2026)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(12-nov-2026)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2027-2028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billón de ventas «en 2028» (IR Book 2Q25), adelantado a «2027» desde el IR Book 4Q25; 25 % de margen operativo en 2028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635.705 M en los últimos doce meses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empresa la dirige su fundador desde 2016, con un equipo pequeño (248 empleados en jun-2026) que ha llevado las ventas de 145.205 M a 635.705 M en cuatro años [1, 3]. Como cotizada solo tiene año y medio de historia: el único tropiezo fue el 3T25, con un margen operativo del 14,6 % por el marketing de entrada en EE. UU. y Europa, que la acción castigó (−20,5 % el 6-nov-2025). Desde entonces ha cumplido: 1T26 y 2T26 por encima del consenso y guía anual subida [nota A]. La ambición es alta: adelantó un año el objetivo de 1 billón de ventas [26]. El riesgo es de persona clave: la marca, la estrategia y el control dependen del fundador, de 44 años. No hay plan de sucesión publicado.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 Sung-yeon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Yoo Myung-han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(COO)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Yang Se-hoon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(CFO)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Jang Sung-yeop</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Lee Min-hee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Retribución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Lee Hoon-seok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Transparencia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Yook Hyun-jin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externa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19.186,00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 Sung-yeon (fundador) y 6 relacionados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accionista de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21,03 % a 30-jun-2026; 17,74 % a título personal tras la venta de julio [3, 20,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 Nacional de Pensiones (NPS)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(Corea)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9,43 % (jun-2026) al 8,48 % (oct-2026) [3,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M&amp;G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(Reino Unido)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Declaración de más del 5 % [3]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FIL (Fidelity International)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5,09 % al 4,98 % el 18-sep-2026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114.076 acciones (oct-2026); recompra de 15.000 M en curso para amortizar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 restante (extranjeros 44,2 % del total)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56,82 %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 total del 73 % según FnGuide [23]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 Sung-yeon (fundador y primer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76.616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19.186,00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 Sung-yeon (bonus en acciones)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Otra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directivos no consejeros (Ahn Hyeon-ho y Myeong Jae-hoon)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primer ejecutivo cobró 1.398 M KRW en 2025: 392 M fijos y un bonus de 1.000 M (el tope), ligado al crecimiento de las ventas y del beneficio operativo, no a la rentabilidad sobre el capital [1]. Además declaró 39.976 M de ingresos por ejercer opciones sobre acciones concedidas antes de la salida a bolsa [1]; para pagar el impuesto vendió 76.616 acciones en bloque en julio de 2026 (≈ 19.186 M) [20, 21]. En junio de 2026 recibió 7.970 acciones como bonus [20]. En Corea la junta vota un límite global para los consejeros, no la política individual. La junta extraordinaria de junio de 2026 aprobó 2.000 opciones nuevas para empleados [28].</w:t>
      </w:r>
    </w:p>
    <w:p>
      <w:pPr>
        <w:pStyle w:val="Heading2"/>
      </w:pPr>
      <w:r>
        <w:t xml:space="preserve">Operaciones vinculadas, estructura de control y defensas</w:t>
      </w:r>
    </w:p>
    <w:p>
      <w:pPr>
        <w:spacing w:after="100"/>
      </w:pPr>
      <w:r>
        <w:t xml:space="preserve">El fundador controla con el 21 % junto a sus relacionados, y 1.944.780 de sus acciones están bloqueadas voluntariamente hasta mayo de 2028 (tres años desde la salida a bolsa) [3, 24]. Los demás bloqueos de la salida a bolsa ya vencieron: 1.955.709 acciones el 22-ago-2025, 1.293.136 (fondos de capital riesgo, KTBN y otros) el 22-nov-2025 y 637.758 (Kolmar Holdings y directivos) el 22-may-2026 [24]. Los fondos de capital riesgo ya no aparecen entre los accionistas de más del 5 %. Una acción, un voto; sin blindajes. Tres de los siete consejeros son independientes y forman la comisión de auditoría.</w:t>
      </w:r>
    </w:p>
    <w:p>
      <w:pPr>
        <w:pStyle w:val="Heading2"/>
      </w:pPr>
      <w:r>
        <w:t xml:space="preserve">Señales de alerta</w:t>
      </w:r>
    </w:p>
    <w:p>
      <w:pPr>
        <w:pStyle w:val="ListParagraph"/>
        <w:numPr>
          <w:ilvl w:val="0"/>
          <w:numId w:val="2"/>
        </w:numPr>
        <w:spacing w:after="60"/>
      </w:pPr>
      <w:r>
        <w:t xml:space="preserve">Venta en bloque del fundador de 76.616 acciones en julio de 2026, para pagar impuestos de opciones [20, 21].</w:t>
      </w:r>
    </w:p>
    <w:p>
      <w:pPr>
        <w:pStyle w:val="ListParagraph"/>
        <w:numPr>
          <w:ilvl w:val="0"/>
          <w:numId w:val="2"/>
        </w:numPr>
        <w:spacing w:after="60"/>
      </w:pPr>
      <w:r>
        <w:t xml:space="preserve">Presidente y primer ejecutivo en la misma persona, que es además el accionista de control [1].</w:t>
      </w:r>
    </w:p>
    <w:p>
      <w:pPr>
        <w:pStyle w:val="ListParagraph"/>
        <w:numPr>
          <w:ilvl w:val="0"/>
          <w:numId w:val="2"/>
        </w:numPr>
        <w:spacing w:after="60"/>
      </w:pPr>
      <w:r>
        <w:t xml:space="preserve">Bonus del primer ejecutivo ligado a crecimiento, no a rentabilidad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ventas de más de 700.000 M con el 70 % fuera de Corea (febrero), subida a 725.000 M el 13-ago-2026; para el 3T26, 170.000 M de ventas y un margen operativo del 21 % [nota A: 14]. A medio plazo: 1 billón de ventas en 2027, el 70 % fuera de Corea y un margen operativo del 25 % en 2028 [nota C: 9]. Plan de valor: reparto de al menos el 25 % y ROE de al menos el 20 % en 2026-2028 [nota C: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756.030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10.592,00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2.835,00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FnGuide, media de 3 meses a 16-oct-2026 [12]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983.110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222.280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13.882,00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FnGuide [12]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1.203.660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279.220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17.428,00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FnGuide [12]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735.009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756.030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161.702</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911.411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983.110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200.511</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1.057.237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1.203.660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232.592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289.167,00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220.000,00 – 350.000,00</w:t>
            </w:r>
          </w:p>
        </w:tc>
      </w:tr>
    </w:tbl>
    <w:p>
      <w:pPr>
        <w:spacing w:after="160" w:before="0"/>
      </w:pPr>
    </w:p>
    <w:p>
      <w:pPr>
        <w:pStyle w:val="Heading2"/>
      </w:pPr>
      <w:r>
        <w:t xml:space="preserve">Revisiones de estimaciones</w:t>
      </w:r>
    </w:p>
    <w:p>
      <w:pPr>
        <w:spacing w:after="100"/>
      </w:pPr>
      <w:r>
        <w:t xml:space="preserve">Mixtas a la baja en octubre. Tras el 3T25 los objetivos bajaron con fuerza (DB a 180.000, NH a 200.000, Kiwoom a 210.000) [35]. Tras el 1T26 y el 2T26 subieron a 260.000-350.000 KRW. En octubre de 2026, antes del 3T26, cuatro casas recortan (Daol 340.000→310.000, Hana 260.000→220.000, DB 300.000→260.000, Yuanta/Eugene 320.000→280.000) por el won fuerte, que reduce las ventas en KRW, y una sube (Meritz 236.000→280.000) [23]. El consenso del 3T26 es de 174.120 M de ventas y 32.750 M de beneficio operativo (18,8 %), por debajo de la guía de margen de la empresa (21 %) [12]. El BPA de 2027e (13.882 KRW) supone un 31 % de crecimiento; todas las recomendaciones son de compra.</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salió a bolsa a 66.300 KRW el 22-may-2025, cerró ese día por encima de 100.000 y llegó a 283.000 KRW el 12-ago-2026; hoy cotiza a 169.600, un 36 % por debajo del máximo y un 156 % por encima del precio de salida [29]. En el año sube un 15,0 % frente al +36,9 % del KOSPI (empujado por Samsung y SK Hynix) y el +23,1 % del ETF de cosmética coreana [29]. Es muy volátil (68 % anual): cayó un 49 % entre agosto y noviembre de 2025 (3T25 flojo y fin de bloqueos) y subió un 68 % en un mes en abril-mayo de 2026 (1T26). Desde agosto de 2026 cae por la guía prudente del 3T26 y el won fuerte. A 169.600 KRW cotiza a 20,2 veces el BPA de los últimos doce meses y a 16,0 veces el BPA de 2026e del consenso.</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 -14,3 % / -5,3 % / +3,7 %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-36,0 % / +39,9 %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6-nov-2025 cayó un 20,5 % tras un 3T25 con un beneficio operativo de 16.652 M, muy por debajo de lo esperado, por el marketing de entrada en EE. UU. y Europa; siguieron recortes de objetivo (DB, NH, Kiwoom, KB) [13, 35]. Dos semanas después vencía el bloqueo de 1.293.136 acciones de los fondos (22-nov)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4-mar-2026 cayó un 10,8 %, el día de la caída general de la bolsa coreana; sin hecho de la empresa identificado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un mes del 68 % hasta el 29-abr y +13 % el 12-may con el 1T26 récord (171.242 M de ventas y 45.100 M de beneficio operativo, por encima de lo esperado) [7,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30-jul cayó un 11,9 %, dos días después de la venta en bloque de 76.616 acciones del fundador a 250.417 KRW (anunciada como plan el 26-jun) para pagar impuestos de sus opciones [20,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máximo de 283.000 KRW del 12-ago, el 13-ago cayó un 9,9 % por la guía prudente del 3T26 (170.000 M de ventas, por debajo del 2T) aunque el 2T26 fue récord [14]; la caída de un mes llegó al −36 % el 11-sep, con la rotación de la bolsa coreana hacia Samsung y SK Hynix [29,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13-oct cayó un 8,4 % con la bolsa coreana y la de EE. UU., las ventas forzosas de compras a crédito que comenta el foro y los recortes de objetivo por el won (Hana, DB, Daol) [23, 36]; el 16-oct rebotó un 8,3 %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anunciados para el 12-nov (conferencia a las 10:30 KST) [3]. Guía de 170.000 M y 21 % de margen; consenso de 32.750 M de beneficio operativo [12]. Puede mover el precio más de un 5 %, pero unos resultados cercanos no aplazan una compra (reglas 11 y 13 del método); un 3T flojo ya está en nuestro 2S26 (margen operativo del 17,6 %).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Recortes de objetivo en octubre por el won: Daol 340.000→310.000, Hana 260.000→220.000, DB 300.000→260.000; Meritz sube a 280.000. Las 18 casas siguen en comprar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15.000 M por fideicomiso con NH Investment, del 29-sep-2026 al 28-mar-2027, para amortizar (≈ 81.922 acciones)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 (Fidelity International) baja del 5,09 % al 4,98 % [22]; el NPS del 9,43 % al 8,48 % entre junio y octubre [23]. Ventas pequeñas de institucionales, sin colocación anunciada.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en bloque del fundador de 76.616 acciones a 250.417 KRW (≈ 19.186 M) para pagar el impuesto de las opciones ejercidas; conserva el 17,7 % a título personal y 1.944.780 acciones bloqueadas voluntariamente hasta mayo de 2028 [20,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bloqueos de la salida a bolsa: vencieron todos (1.955.709 acciones el 22-ago-2025, 1.293.136 el 22-nov-2025 y 637.758 de Kolmar Holdings y directivos el 22-may-2026) [24]. Solo queda el bloqueo voluntario del fundador hasta mayo de 2028, fuera del horizonte de 12 meses. No hay hecho pendiente con fecha.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del 33,61 % de Kuoca Skin por 9.600 M, pagada con caja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ha caído un 36 % desde el máximo de agosto con causas conocidas: la guía prudente del 3T26, el won fuerte, la rotación de la bolsa coreana hacia los fabricantes de chips y ventas forzosas de compras a crédito. No hay ningún hecho pendiente con fecha que pueda mover el precio contra la tesis: todos los bloqueos de la salida a bolsa vencieron (el último, el 22-may-2026), el del fundador dura hasta 2028, no hay colocaciones ni convertibles anunciados y la venta del fundador de julio ya se hizo y fue por impuestos. La recompra de 15.000 M está en marcha. Los resultados del 12-nov no aplazan la compra según el método. Veredicto: no cambia.</w:t>
      </w:r>
    </w:p>
    <w:p>
      <w:pPr>
        <w:pStyle w:val="Heading1"/>
      </w:pPr>
      <w:r>
        <w:t xml:space="preserve">17. Múltiplos frente a su historia</w:t>
      </w:r>
    </w:p>
    <w:p>
      <w:pPr>
        <w:pStyle w:val="Confianza"/>
        <w:spacing w:after="100"/>
      </w:pPr>
      <w:r>
        <w:t xml:space="preserve">Confianza: Media</w:t>
      </w:r>
    </w:p>
    <w:p>
      <w:pPr>
        <w:spacing w:after="160" w:before="0"/>
      </w:pPr>
    </w:p>
    <w:p>
      <w:pPr>
        <w:spacing w:after="100"/>
      </w:pPr>
      <w:r>
        <w:t xml:space="preserve">Solo hay un cierre de ejercicio como cotizada (2025: 147.500 KRW, 23,4 veces el BPA diluido de 2025 y ≈ 15 veces el de 2026). En la salida a bolsa se valoró a 20,99 veces el beneficio ajustado de 2024 con un descuento del 17-32 %: el precio final, 66.300 KRW, fue 17,4 veces ese beneficio [5]. Con un año de historia no hay mediana útil: el método aplica la regla de historia corta.</w:t>
      </w:r>
    </w:p>
    <w:p>
      <w:pPr>
        <w:pStyle w:val="Heading1"/>
      </w:pPr>
      <w:r>
        <w:t xml:space="preserve">18. Comparables cotizados</w:t>
      </w:r>
    </w:p>
    <w:p>
      <w:pPr>
        <w:pStyle w:val="Confianza"/>
        <w:spacing w:after="100"/>
      </w:pPr>
      <w:r>
        <w:t xml:space="preserve">Confianza: Media</w:t>
      </w:r>
    </w:p>
    <w:p>
      <w:pPr>
        <w:spacing w:after="100"/>
      </w:pPr>
      <w:r>
        <w:t xml:space="preserve">Marcas y grupos de cosmética coreanos cotizados (APR, VT, Clio, Amorepacific, LG H&amp;H), el distribuidor Silicon2, los fabricantes por encargo de d'Alba (Kolmar Korea, Cosmax, Cosmecca) y dos referencias fuera de Corea con el mismo cliente o canal (e.l.f. Beauty en EE. UU. y Shiseido en Japón). PER de los próximos 12 meses = precio ÷ (0,2 × BPA 2026e + 0,8 × BPA 2027e); en e.l.f., ejercicios a marzo de 2027 y 2028. EV/EBITDA de los próximos 12 meses en blanco: Yahoo no da un EBITDA futuro homogéneo.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d'Alba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2.170.880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12.410.748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437.804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Silicon2</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2.241.767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Amorepacific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9.546.358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LG H&amp;H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4.607.912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Clio Cosmetics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200.306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Kolmar Korea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3.028.531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Cosmax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3.227.841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Cosmecca Korea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1.187.616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e.l.f. Beauty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8.904.862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Shiseido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11.815.805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136.200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 / 12,0x / 15,3x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108.584,53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144.230,63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178.812,66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 / 16,3x / 18,9x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149.436,29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215.558,54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249.280,89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635.705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 / 1,7x / 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74.402,21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98.986,12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109.912,30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-41,6 %</w:t>
            </w:r>
          </w:p>
        </w:tc>
      </w:tr>
    </w:tbl>
    <w:p>
      <w:pPr>
        <w:spacing w:after="160" w:before="0"/>
      </w:pPr>
    </w:p>
    <w:p>
      <w:pPr>
        <w:spacing w:after="100"/>
      </w:pPr>
      <w:r>
        <w:t xml:space="preserve">La cosmética coreana cotiza en dos grupos: las marcas que crecen mucho fuera (APR a ≈ 16-17 veces el BPA de los próximos doce meses) y los grupos maduros, los fabricantes por encargo y las marcas cuyo producto estrella ya pasó (VT, Clio y Silicon2 a 8-10 veces). Amorepacific y LG H&amp;H cotizan a 17-21 veces por la recuperación esperada de China. d'Alba, a 169.600 KRW, cotiza a ≈ 13 veces el BPA de 2027e del consenso y a ≈ 14 veces el nuestro: por debajo de APR y en la mitad del grupo, con crecimiento parecido a APR y margen algo menor. El riesgo de la moda se ve en VT: su margen operativo cayó al 8 % cuando su producto estrella perdió tirón y cotiza a 9 veces.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d'Alba Global (salida a bolsa)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(oferta pública)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66.300 KRW por 12,07 M de acciones (≈ 800.000 M de capitalización) menos ≈ 94.000 M de caja tras la ampliación; ventas de 2024 de 309.063 M y EBITDA de 60.574 M. PER sobre el beneficio ajustado de 2024: 17,4x. No es una compra de control [5].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COSRX (54,8 %, hasta el 93,2 %)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Amorepacific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755.100 M por el 54,8 % = ≈ 1,38 billones por el 100 % (capital, aproximación al valor empresa). Múltiplos sobre el 1S23 anualizado (ventas ≈ 380.400 M, beneficio operativo ≈ 143.400 M, usado como EBITDA) [33, 34].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2019-12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Have &amp; Be (Dr.Jart)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1.100 M USD (≈ 1,3 billones KRW) por la marca; sin múltiplo publicado en las fuentes leídas. En 2025 perdió 23.200 M: ejemplo de moda que pasa [18].</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Las marcas coreanas de éxito se han comprado a 3-4 veces las ventas y unas 10 veces el beneficio operativo (COSRX, 2023) [33, 34]. d'Alba vale hoy en bolsa ≈ 1,9 billones de valor empresa, 3,0 veces las ventas y 14 veces el EBITDA de los últimos doce meses: algo por encima de COSRX. El fundador controla y tiene bloqueadas sus acciones hasta 2028: una compra no es probable a corto plazo.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52,8 % anual entre 2022 y 2025 (145.205 M a 519.735 M) [1, 4], todo orgánico, y un 47,9 % en el 1S26 (358.103 M) [3]. La empresa espera 725.000 M en 2026 y 1 billón en 2027 [9, 14]. Proyectamos 735.000 M en 2026e (+41,4 %: el 1S publicado y un 2S de 377.000 M con la guía del 3T26 de 170.000 M [14]), un 24 % en 2027e (más tiendas de Costco, Ulta, Sephora Canadá y Watsons, y Europa en Amazon), un 16 % en 2028e y bajando al 4 % en 2033e. Es menos que el consenso (+30 % y +22 %) [12] porque la moda de la cosmética coreana no durará siempre al ritmo de 2025 y la empresa depende de una bruma que ya pesa el 41-46 % de las ventas. El mercado mundial de belleza crece un ≈ 4 % anual [16] y las exportaciones coreanas de cosmética un 12 % [15].</w:t>
      </w:r>
    </w:p>
    <w:p>
      <w:pPr>
        <w:keepNext/>
        <w:spacing w:after="100"/>
      </w:pPr>
      <w:r>
        <w:rPr>
          <w:b/>
          <w:bCs/>
        </w:rPr>
        <w:t xml:space="preserve">Márgenes.</w:t>
      </w:r>
    </w:p>
    <w:p>
      <w:pPr>
        <w:spacing w:after="100"/>
      </w:pPr>
      <w:r>
        <w:t xml:space="preserve">El margen EBITDA pasó del 10,2 % (2022) al 19,8 % (2025) y el operativo al 25,8 % en el 1S26, porque el marketing bajó del 22 % al 18 % de las ventas con la escala [1, 3, 6]. ¿Se mantiene? Proyectamos un margen EBITDA del 22 % en 2026e-2028e (el 2S26 con un margen operativo del 17,6 %: el 4T es el trimestre de más marketing y el won fuerte resta), bajando al 20 % en 2032e. No llegamos al 25 % de margen operativo que promete la empresa para 2028 [9]: la rivalidad entre marcas coreanas en Amazon, TikTok Shop y Olive Young se gana gastando en marketing, y las plataformas cobran cada vez más por la visibilidad [17].</w:t>
      </w:r>
    </w:p>
    <w:p>
      <w:pPr>
        <w:keepNext/>
        <w:spacing w:after="100"/>
      </w:pPr>
      <w:r>
        <w:rPr>
          <w:b/>
          <w:bCs/>
        </w:rPr>
        <w:t xml:space="preserve">Inversión y circulante.</w:t>
      </w:r>
    </w:p>
    <w:p>
      <w:pPr>
        <w:spacing w:after="100"/>
      </w:pPr>
      <w:r>
        <w:t xml:space="preserve">Capex del 0,5 % de las ventas (0,1-0,4 % en 2022-2025: la empresa no tiene fábricas, encarga la producción) y amortización del 0,4 % [1]. Circulante del 15 % de las ventas (17,6 % en 2025 y ≈ 13 % de las ventas anualizadas del 2T26) [3].</w:t>
      </w:r>
    </w:p>
    <w:p>
      <w:pPr>
        <w:keepNext/>
        <w:spacing w:after="100"/>
      </w:pPr>
      <w:r>
        <w:rPr>
          <w:b/>
          <w:bCs/>
        </w:rPr>
        <w:t xml:space="preserve">Coste del capital.</w:t>
      </w:r>
    </w:p>
    <w:p>
      <w:pPr>
        <w:spacing w:after="100"/>
      </w:pPr>
      <w:r>
        <w:t xml:space="preserve">Todo en KRW: bono coreano a 10 años del 4,45 % (septiembre de 2026, FRED/OCDE) [30]. Beta de 1,0: la medida frente al KOSPI es de 0,32 semanal (0,54 ajustada) con solo un año y medio de historia y una volatilidad del 68 % [29]; no es fiable y usamos la de una marca de consumo discrecional. Prima de mercado del 5,5 % y prima adicional de 1,5 puntos: historia corta como cotizada, dependencia de un producto y de la moda coreana, y exposición a Rusia. Sin deuda: WACC del 11,45 %. Tipos de cambio de referencia del 19-oct-2026 [31].</w:t>
      </w:r>
    </w:p>
    <w:p>
      <w:pPr>
        <w:keepNext/>
        <w:spacing w:after="100"/>
      </w:pPr>
      <w:r>
        <w:rPr>
          <w:b/>
          <w:bCs/>
        </w:rPr>
        <w:t xml:space="preserve">Valor terminal.</w:t>
      </w:r>
    </w:p>
    <w:p>
      <w:pPr>
        <w:spacing w:after="100"/>
      </w:pPr>
      <w:r>
        <w:t xml:space="preserve">Crecimiento a perpetuidad del 3,0 %, por debajo del bono coreano (4,45 %) y del mercado de belleza (≈ 4 %): supone que en 2033 la marca es madura. El valor terminal pesa el 58 % del valor; el múltiplo de salida implícito es de 8,7 veces el EBITDA, por debajo de los 12-15 veces de la cosmética mundial [16].</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735.009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1.057.237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1.173.533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252.310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1.267.416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1.343.461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275.410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1.410.634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282.127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198.641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1.467.059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293.412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69.010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208.602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100.819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Flujo de caja libre para la empresa proyectado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2.542.726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3.520.943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830.856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1.164.923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1.995.779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2.207.531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172.463,39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De dónde sale el valor empresa del DCF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179.721,51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186.270,95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193.699,51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202.196,93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212.011,78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170.380,78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176.037,77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182.406,33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189.629,73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197.892,47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162.042,65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166.961,94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172.463,39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178.656,84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185.681,64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154.555,33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158.859,09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163.643,72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168.994,58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175.018,49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147.796,11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151.581,96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155.768,43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160.422,66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165.627,68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145.041,38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150.381,98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155.939,04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161.719,73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167.731,34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152.494,02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158.229,38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164.201,22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170.417,55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176.886,62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159.946,65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166.076,78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172.463,39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179.115,38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186.041,90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167.399,28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173.924,18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180.725,56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187.813,20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195.197,17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174.851,92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181.771,58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188.987,73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196.511,03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204.352,45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138.109 M (9 %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 (reinvierte el 12 %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80,1 % (histórico: 119,8 %)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 frente al 14,4 %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 (hoy: 0,1 %)</w:t>
            </w:r>
          </w:p>
        </w:tc>
      </w:tr>
    </w:tbl>
    <w:p>
      <w:pPr>
        <w:spacing w:after="160" w:before="0"/>
      </w:pPr>
    </w:p>
    <w:p>
      <w:pPr>
        <w:spacing w:after="100"/>
      </w:pPr>
      <w:r>
        <w:t xml:space="preserve">La proyección apenas necesita inversión neta de la amortización (reinversión acumulada de 138.109 M, el 9 % del NOPAT, con un capex bruto medio del 0,5 % de las ventas). En un negocio de activos ligeros, el crecimiento medio del 14,4 % tiene que salir de subir precios y de ganar volumen sin capital nuevo, y la prueba es el poder de precios y la cuota (0,2 % del mercado en 2030e, frente al 0,1 %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+37,4 %: más tiendas fuera de Corea (de ≈ 6.070 a ≈ 9.700 entre el 2S25 y el 2T26) y más ventas en Amazon, TikTok Shop y Shopee [6]; precio y mezcla del +2 % (más protección solar y gama premium en tiendas libres de impuestos); 2 puntos de categorías nuevas (aparatos d'Alba Signature, d'Alba Professional).</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+21 % (año completo de Costco en EE. UU. con 625 tiendas, Sephora Canadá, Watsons Malasia y Europa), precio del +2 % y un punto de categorías nuevas.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+14 % y precio del +1,5 %.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+9,5 % y precio del +1,5 %.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+6,5 % y precio del +1,5 %. Ventas de 1,27 billones de KRW: el 0,2 % del mercado mundial de belleza en 2030e (≈ 543 billones de KRW [16]) frente al 0,1 % de hoy.</w:t>
            </w:r>
          </w:p>
        </w:tc>
      </w:tr>
    </w:tbl>
    <w:p>
      <w:pPr>
        <w:spacing w:after="160" w:before="0"/>
      </w:pPr>
    </w:p>
    <w:p>
      <w:pPr>
        <w:spacing w:after="100"/>
      </w:pPr>
      <w:r>
        <w:t xml:space="preserve">Sí. Las tres pruebas pasan: el crecimiento proyectado (14,4 % de media en 2026e-2033e, 10,6 % sin 2026e) es una cuarta parte del histórico (53 % en 2022-2025); crecer no consume capital (reinversión del 9 % del NOPAT, con un ROIC del 123,8 % en 2025 y un incremental del 119,8 %); y la cuota implícita en 2030 (0,2 % del mercado mundial de belleza) sigue siendo pequeña. El riesgo no es de capital sino de demanda: la marca no tiene foso (cambiar de bruma no cuesta nada) y depende de la moda coreana y de un producto [17, 18]. Por eso el crecimiento proyectado está por debajo del consenso y del objetivo de la empresa.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 (base: 10,6 %)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19,7 % (base: 20,0 %)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 (WACC: 11,4 %)</w:t>
            </w:r>
          </w:p>
        </w:tc>
      </w:tr>
    </w:tbl>
    <w:p>
      <w:pPr>
        <w:spacing w:after="160" w:before="0"/>
      </w:pPr>
    </w:p>
    <w:p>
      <w:pPr>
        <w:spacing w:after="100"/>
      </w:pPr>
      <w:r>
        <w:t xml:space="preserve">El DCF da 172.463 KRW por acción, un 1,7 % por encima del precio, con el valor terminal en el 58 % del valor. El precio de 169.600 KRW equivale a que las ventas crezcan un 10,1 % al año desde 2027 (base 10,6 %) o a un margen EBITDA del 19,7 % para siempre (base 20 %): el mercado descuenta casi exactamente nuestro caso base, y la rentabilidad implícita es del 11,6 % anual frente a un WACC del 11,45 %. Con medio punto más de WACC el valor baja a 163.644 KRW; con dos puntos menos de margen en toda la proyección, a 155.939 KRW; la tabla de sensibilidad va de 147.796 a 212.012 KRW. El DCF no da margen de seguridad: la tesis depende de que el crecimiento de 2026-2027 se parezca al de la empresa y no al bajista.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90.634,48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moda de la cosmética coreana se enfría en EE. UU. y Japón, la bruma pierde los rankings y hay que gastar más en marketing: 8 puntos menos de crecimiento desde 2027 y margen EBITDA 6 puntos más bajo (≈ 14-16 %), crecimiento terminal del 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172.463,39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al 24 % en 2027 y al 16 % en 2028 con más tiendas fuera de Corea y la protección solar; margen EBITDA del 22 % bajando al 20 %; reparto de un 25-40 % del beneficio.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212.523,27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llega a su objetivo de 1 billón de ventas en 2027-2028 y el margen sube con la escala: 3 puntos más de crecimiento y 2 puntos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Valor por acción por escenario (KRW) · precio actual 169.6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bCs/>
        </w:rPr>
        <w:t xml:space="preserve">Valor ponderado por probabilidad:</w:t>
      </w:r>
      <w:r>
        <w:t xml:space="preserve"> 162.021,13 KRW (-4,5 %).</w:t>
      </w:r>
    </w:p>
    <w:p>
      <w:pPr>
        <w:spacing w:after="100"/>
      </w:pPr>
      <w:r>
        <w:t xml:space="preserve">En el DCF el bajista (90.634 KRW) pierde un 46,6 % y el alcista (212.523 KRW) gana un 25,3 %: asimetría desfavorable de 0,5 veces. A 12 meses, con el PER propio, el bajista pierde un 36,9 % y el alcista gana un 56,9 %. La tesis no necesita que la empresa cumpla su objetivo de 1 billón en 2027: necesita que el BPA pase de 8.397 KRW (últimos doce meses) a 14.145 KRW en 2028e. El bajista, con un BPA de 2028e de 9.075 KRW, supone que el negocio se estanca en el nivel de hoy.</w:t>
      </w:r>
    </w:p>
    <w:p>
      <w:pPr>
        <w:pStyle w:val="Heading1"/>
      </w:pPr>
      <w:r>
        <w:t xml:space="preserve">22. Suma de partes</w:t>
      </w:r>
    </w:p>
    <w:p>
      <w:pPr>
        <w:pStyle w:val="Confianza"/>
        <w:spacing w:after="100"/>
      </w:pPr>
      <w:r>
        <w:t xml:space="preserve">Confianza: Media</w:t>
      </w:r>
    </w:p>
    <w:p>
      <w:pPr>
        <w:spacing w:after="100"/>
      </w:pPr>
      <w:r>
        <w:t xml:space="preserve">No la hacemos: d'Alba es una sola marca con varias líneas de producto (bruma, protección solar, cremas) que no publican resultado por separado.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3" name="Gráfico 23" descr="Valor por acción según cada método (KRW) · precio actual 169.6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169.600,00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289.167,00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149.436,29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215.558,54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249.280,89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158.859,09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172.463,39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189.629,73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90.634,48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162.021,13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212.523,27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189.003,21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201.241,75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215.339,74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168.752,00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169.600,00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170.448,00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172.463,39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215.558,54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162.021,13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177.949,74 KRW (+4,9 % sobre 169.600,00).</w:t>
      </w:r>
    </w:p>
    <w:p>
      <w:pPr>
        <w:spacing w:after="100"/>
      </w:pPr>
      <w:r>
        <w:t xml:space="preserve">Pesamos el DCF un 50 %, los escenarios un 30 % y los comparables un 20 %. El DCF da 172.463 KRW (+1,7 %) con un WACC del 11,45 % y el valor terminal en el 58 % del valor; los escenarios van de 90.634 (bajista) a 212.523 KRW (alcista); los comparables por PER de los próximos doce meses dan 215.559 KRW (mediana de 16,3 veces, con APR, Cosmax y LG H&amp;H). El valor intrínseco ponderado es de 177.950 KRW, un 4,9 % por encima del precio: el margen de seguridad es pequeño. Con la prima implícita del mercado (4,2 %) el DCF sale 201.242 KRW. Las transacciones no se usan para el valor: la de COSRX (≈ 3,6 veces las ventas, 2023) es de control y en otro momento de la moda [33].</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9.074,99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104.362,39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14.144,57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(13.9x) a mitad de camino hacia la mediana de 5 años (14.9x)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203.681,81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16.166,66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263.516,56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+56,9 %</w:t>
            </w:r>
          </w:p>
        </w:tc>
      </w:tr>
    </w:tbl>
    <w:p>
      <w:pPr>
        <w:spacing w:after="160" w:before="0"/>
      </w:pPr>
    </w:p>
    <w:p>
      <w:pPr>
        <w:spacing w:after="100"/>
      </w:pPr>
      <w:r>
        <w:rPr>
          <w:b/>
          <w:bCs/>
        </w:rPr>
        <w:t xml:space="preserve">Objetivo a 12 meses (ponderado):</w:t>
      </w:r>
      <w:r>
        <w:t xml:space="preserve"> 193.810,64 KRW · rentabilidad +15,8 % (base +21,6 %) · señal Comprar.</w:t>
      </w:r>
    </w:p>
    <w:p>
      <w:pPr>
        <w:spacing w:after="100"/>
      </w:pPr>
      <w:r>
        <w:t xml:space="preserve">Para comparar, con la regla v2 (historia al cierre, mismo precio): 11,8x / 13,9x / 18,1x, 18,4 % Comprar. Decide la v3 con tope ×1,1, elegida por el selector de método (historia adelantada de 1 años: decide la más baja de v3 y v2 (v3); METODO-VIGENTE.md).</w:t>
      </w:r>
    </w:p>
    <w:p>
      <w:pPr>
        <w:keepNext/>
        <w:spacing w:after="100"/>
      </w:pPr>
      <w:r>
        <w:rPr>
          <w:b/>
          <w:bCs/>
        </w:rPr>
        <w:t xml:space="preserve">Frente al consenso (solo contraste).</w:t>
      </w:r>
    </w:p>
    <w:p>
      <w:pPr>
        <w:spacing w:after="100"/>
      </w:pPr>
      <w:r>
        <w:t xml:space="preserve">Nuestro BPA de 2027e (12.212 KRW) está un 12 % por debajo del consenso de FnGuide (13.882 KRW) y el de 2028e (14.145 KRW) un 19 % por debajo (17.428 KRW) [12]. Las diferencias: el consenso supone ventas de 983.110 M en 2027e (+30 %, cerca del objetivo de 1 billón de la empresa) y 1,20 billones en 2028e con un margen operativo del 23 %; nosotros, 911.411 M (+24 %) y 1,06 billones con un margen operativo del 21,6 %, porque la competencia de otras marcas coreanas en Amazon y Olive Young obliga a seguir gastando en marketing y porque el won fuerte reduce las ventas en KRW. Nuestro precio base a 12 meses (203.682 KRW) queda un 30 % por debajo del objetivo medio de los 18 analistas (289.167 KRW, rango 220.000-350.000) [23].</w:t>
      </w:r>
    </w:p>
    <w:p>
      <w:pPr>
        <w:keepNext/>
        <w:spacing w:after="100"/>
      </w:pPr>
      <w:r>
        <w:rPr>
          <w:b/>
          <w:bCs/>
        </w:rPr>
        <w:t xml:space="preserve">Del valor intrínseco al objetivo a 12 meses.</w:t>
      </w:r>
    </w:p>
    <w:p>
      <w:pPr>
        <w:spacing w:after="100"/>
      </w:pPr>
      <w:r>
        <w:t xml:space="preserve">El objetivo a 12 meses (193.811 KRW, ponderado 25/50/25) da un 15,8 % con dividendo (21,6 % el base), justo por encima del 15 % que pide la regla. El base es un PER de 14,4x (a mitad de camino entre el actual, 13,9x, y el único cierre adelantado, 14,9x) sobre un BPA de 2028e de 14.145 KRW, más un 1,6 % de dividendo (2.629 KRW de 2025). Con un año de historia, el selector compara v3 y v2 y se queda con la más baja (v3). El BPA de 2028e supone un 30,8 % anual desde 2025, pero un 23 % desde los últimos doce meses (8.397 KRW): 2025 lleva un 3T con un margen del 14,6 %. El bajista (11,5x sobre 9.075) pierde un 36,9 %; el alcista (16,3x, la mediana de los comparables, sobre 16.167) gana un 56,9 %. La compra es frágil: con un BPA un 10 % menor la ponderada bajaría por debajo del 15 %. El riesgo inmediato son los resultados del 3T26 (12-nov) con el won fuerte.</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conferencia a las 10:30 KST (anunciados el 16-oct) [3]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es de 170.000 M de ventas y 21 % de margen; el consenso espera 174.120 M y 32.750 M de beneficio operativo (18,8 %) [12]: un margen del 20-21 % mejoraría el ánimo; uno por debajo del 17 % lo empeoraría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Costco EE. UU. pasa de 225 a 625 tiendas y Canadá de 50 a 120 [6]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físicas en Norteamérica; refuerza el 4T26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 a 2027-03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15.000 M para amortizar (NH Investment) [3]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0,7 % del capital; soporte en caídas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dividendo y guía de 2027 (objetivo de 1 billón)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 o no el objetivo de 1 billón marcará el múltiplo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Entrada en más cadenas (Sephora, Watsons, Shilla y Shinsegae en libres de impuestos) [7]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dependencia de Amazon y Olive Young</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moda de la cosmética coreana pasa o la bruma pierde tirón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 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−36,9 % a 12 meses en el bajista (11,5x × 9.075); DCF de 90.634 KRW con 8 puntos menos de crecimiento y 6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hacia protección solar (26 % de las ventas en el 2T26), nuevos mercados y tiendas físicas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la bruma en los rankings de Amazon y Qoo10 o ventas de Japón y EE. UU. planas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plataformas (Amazon, Qoo10, TikTok Shop, Olive Young)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 40,6 % de las ventas es exportación online y un 10,2 % cadenas de salud y belleza en Corea [1]; un hueco de mes y medio en Olive Young bastó para que Corea cayera un 3,8 % en el 2T26 [6]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Unas 9.700 tiendas físicas fuera de Corea y venta en varias plataformas a la vez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las comisiones o cambios de algoritmo; pérdida de espacio en Olive Young</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otras marcas coreanas (APR, Beauty of Joseon, Torriden, Anua)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de margen EBITDA ≈ 8.300 M de DCF por punto y año; −2 puntos en toda la proyección ≈ 155.939 KRW (−9,6 %)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marketing (18 % de las ventas frente al 22 % de hace un año) y marca con producto icónico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Marketing por encima del 22 % de las ventas sin más crecimiento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Won fuerte y aranceles de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75,7 % de las ventas es fuera de Corea: un won un 10 % más fuerte resta ≈ 7,5 % a las ventas en KRW</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también en divisa (marketing en plataformas); precios ajustables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USD/KRW por debajo de 1.250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Rusia: sanciones, pagos y caída de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10,3 % de las ventas de 2025; −34 % en el 2T26 [1, 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peso baja con el crecimiento de otras regiones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sanciones o problemas de cobro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Persona clave y control del fundador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cuantificado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del fundador bloqueadas hasta mayo de 2028 [24]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ventas del fundador o salida de directivos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medio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Neutral a 3-5 años; no se recoge en ningún escenario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producto es físico; la IA abarata el contenido de marketing</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Agentes de compra que recomienden por precio y reseñas, no por marca</w:t>
            </w:r>
          </w:p>
        </w:tc>
      </w:tr>
    </w:tbl>
    <w:p>
      <w:pPr>
        <w:spacing w:after="160" w:before="0"/>
      </w:pPr>
    </w:p>
    <w:p>
      <w:pPr>
        <w:pStyle w:val="Heading2"/>
      </w:pPr>
      <w:r>
        <w:t xml:space="preserve">Pre-mortem</w:t>
      </w:r>
    </w:p>
    <w:p>
      <w:pPr>
        <w:spacing w:after="100"/>
      </w:pPr>
      <w:r>
        <w:t xml:space="preserve">Octubre de 2027: la acción ha perdido un 40 %. El 3T26 y el 4T26 quedaron por debajo de lo previsto por el won y el marketing, la bruma salió de los primeros puestos de Amazon y Qoo10 frente a una marca nueva y Olive Young le quitó espacio. Las ventas de 2027 crecieron un 10 % y no el 30 % que esperaban los analistas; el margen operativo volvió al 15 % para defender cuota, como le pasó a VT. El mercado pasó a pagar 9-10 veces el beneficio, como a las marcas coreanas cuyo producto estrella ya pasó. Las señales: ventas fuera de Corea creciendo menos del 20 %, marketing por encima del 22 % de las ventas y caída en los rankings de las plataformas.</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Neutral · </w:t>
      </w:r>
      <w:r>
        <w:rPr>
          <w:b/>
          <w:bCs/>
        </w:rPr>
        <w:t xml:space="preserve">Efecto en valor (3-5 años):</w:t>
      </w:r>
      <w:r>
        <w:t xml:space="preserve"> ≈ 0 % a 3-5 años; no se recoge en ningún escenario</w:t>
      </w:r>
    </w:p>
    <w:p>
      <w:pPr>
        <w:spacing w:after="100"/>
      </w:pPr>
      <w:r>
        <w:t xml:space="preserve">La IA no sustituye una crema ni una bruma, pero cambia cómo se descubren y se compran: los agentes de compra y los buscadores conversacionales pueden recomendar por ingredientes, reseñas y precio, y quitar valor a la marca que vive del marketing en redes (es la advertencia de la ficha sectorial) [16]. A favor, la IA abarata el contenido de marketing y las campañas por país, que son el gran gasto de d'Alba. La señal: que el tráfico de Amazon y TikTok Shop pase a venir de recomendaciones automáticas y la bruma pierda posiciones frente a marcas más baratas.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que toca las cifras: (1) la seguridad de producto (protectores solares, regulados como medicamento en EE. UU.; una retirada o un problema con un fabricante por encargo dañaría la marca) [1]; (2) el posicionamiento vegano y sin crueldad animal es parte de la marca: una controversia sobre ingredientes o certificaciones la dañaría; (3) gobierno: el fundador controla el 21 % y los fondos de capital riesgo ya han salido. Impacto ambiental bajo: envases (la falta de tubos de protección solar del 2T26 muestra la dependencia de proveedores) [6].</w:t>
      </w:r>
    </w:p>
    <w:p>
      <w:pPr>
        <w:pStyle w:val="Heading2"/>
      </w:pPr>
      <w:r>
        <w:t xml:space="preserve">Controversias</w:t>
      </w:r>
    </w:p>
    <w:p>
      <w:pPr>
        <w:spacing w:after="100"/>
      </w:pPr>
      <w:r>
        <w:t xml:space="preserve">No hemos encontrado sanciones, retiradas ni litigios relevantes en los últimos tres años en DART ni en la prensa revisada.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viene de Amazon (EE. UU., Japón y Europa) y qué comisión y gasto en anuncios paga?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canal que más crece y no se publica.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Producto estrella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tendrá la bruma en 2027 y qué productos la sustituyen si pierde tirón?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41-46 % de las ventas depende de un producto.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llegan al 25 % de margen operativo en 2028 si el marketing tiene que seguir creciendo para entrar en tiendas físicas?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se queda en el 21,6 %.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efecto tiene el won fuerte en el 3T26 y cubren el dólar y el yen?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analistas recortan por el cambio.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Rusia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cobran en Rusia y qué pasa si se endurecen las sanciones?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10 % de las ventas de 2025, cayendo.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Reparto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harán con la caja (≈ 200.000 M sin deuda) más allá del 25 % mínimo de reparto?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recompras o dividendos mejoran la rentabilidad.</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Naver (종목토론실), octubre de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Quejas por las ventas forzosas de compras a crédito («mientras no se limpien las 200.000 acciones a crédito no sube»), «150.000 es el suelo», miedo a un 3T26 flojo con el won fuerte y comparaciones con APR; una minoría compra por la recompra y la gira con inversores en Europa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Naver, finales de septiembre de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sobre si la bolsa coreana solo sube con Samsung y SK Hynix, sobre la venta del fundador en julio («si el dueño vende, por qué comprar») y sobre la recompra de 15.000 M para amortizar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y blogs coreanos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el 2T26: récord de ventas y margen, pero la guía del 3T se ve conservadora y la acción cae en el mercado fuera de hora [37]; antes, en 2025, comparaciones con APR («la segunda APR que retrocede») [19].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a crédito y ventas forzosas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Plausible: la acción cayó un 8,4 % el 13-oct con el mercado y se habla de liquidaciones; es flujo, no negocio. No hay dato oficial de saldo de crédito en las fuentes leídas.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fundador vende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76.616 acciones (≈ 3 % de las suyas) para pagar el impuesto de unas opciones y sigue con el 17,7 %, con 1,94 M de acciones bloqueadas hasta 2028 (nota C). No es una salida.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won fuerte y el 3T26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parte: Kyobo y Hana recortan por el cambio; el 75 % de las ventas es fuera de Corea (nota D).</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 y amortización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15.000 M (≈ 0,7 % del capital) hasta marzo de 2027 (nota 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 la «segunda APR»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 es cuatro veces mayor y con aparatos; las dos dependen de la moda coreana fuera (nota B).</w:t>
            </w:r>
          </w:p>
        </w:tc>
      </w:tr>
    </w:tbl>
    <w:p>
      <w:pPr>
        <w:spacing w:after="160" w:before="0"/>
      </w:pPr>
    </w:p>
    <w:p>
      <w:pPr>
        <w:spacing w:after="100"/>
      </w:pPr>
      <w:r>
        <w:t xml:space="preserve">Los particulares coreanos están cansados tras la caída desde 283.000 KRW: hablan de flujos (crédito, ventas forzosas, la rotación hacia Samsung y SK Hynix) más que del negocio, que sigue batiendo previsiones. Coincide con los analistas en el miedo a un 3T26 flojo por el won, pero no en el fondo: los 18 analistas recomiendan comprar con objetivos de 220.000-350.000 KRW. No hay euforia; el riesgo de compra masiva de particulares que después vende parece ya descontado en la caída de agosto-octubre.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25 controles correctos y 6 explicados. Fuentes: 37 (19 primarias); citas distintas en el texto: 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11,2 %: explica la causa (créditos fiscales, regularizaciones, mezcla de países) y no lo proyectes en el DCF. Explicación: El 11,2 % de 2023 viene de la conciliación del informe de auditoría: ingresos no tributables (−6.427 M), créditos fiscales (−4.495 M) y ajustes de años anteriores (−1.600 M), compensados en parte por diferencias temporarias sin impuesto diferido (+8.049 M) [4]. No se proyecta: el DCF usa el 24 %, el tipo del 1S26 (24,3 %)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47,0 %: explica la causa (créditos fiscales, regularizaciones, mezcla de países) y no lo proyectes en el DCF. Explicación: El 47,0 % de 2024 se debe a gastos no deducibles de 7.420 M, casi todos la valoración a mercado de las RCPS (acciones preferentes rescatables de los fondos, 36.660 M de gasto financiero), que desaparecieron con la salida a bolsa [5]. En 2025 el tipo fue del 23,2 % y en el 1S26 del 24,3 %; el DCF usa el 24 %.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perímetro declarado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activo total crece un 98 % y los ingresos un 38 %: si hubo una compra cerca del cierre, decláralo en financieros.cambios_perimetro y explícalo. Explicación: No hubo compras: el activo creció un 98 % en 2023 porque la caja pasó de 19.701 a 41.317 M y las existencias de 7.162 a 16.966 M, financiadas con el beneficio y con más RCPS de los fondos (de 21.983 a 38.878 M) [4]. Las filiales nuevas (Rusia en 2023, Japón y EE. UU. en 2024) son de creación propia.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0,2 % en 2030e frente al 0,1 %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15,0 % frente a 17,6 % real: genera una variación de circulante de 18.938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124.619 M de flujo libre medio en sus tres primeros años, frente a 35.166 M de media real en los tres últimos: justifica el salto (circulante, inversión, márgenes) o ajusta los supuestos. Explicación: La media real de 2023-2025 (35.166 M) es la de una empresa mucho más pequeña: las ventas pasaron de 200.802 M (2023) a 519.735 M (2025) y el flujo libre de 2024 se lo comió la acumulación de existencias (+30.934 M) antes de la expansión. El flujo libre real de 2025 fue de 67.240 M y el de los últimos doce meses ≈ 95.000 M (flujo operativo de ≈ 96.500 M y capex mínimo) [1, 3]. Los 124.619 M de media de 2026e-2028e salen de un beneficio operativo de 158.762-228.363 M con capex del 0,5 % y circulante del 15 % de las ventas: es coherente con la conversión de caja del 1S26 (flujo operativo de 81.305 M en seis meses).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(14.144,57) supone un 30,8 % anual desde 6.315,00 (2025): explícalo en valoracion.objetivo_12m.comentario o la confianza es baja. Explicación: El BPA de 2025 (6.315 KRW) es bajo por el 3T25, con un margen operativo del 14,6 % por el marketing de entrada en EE. UU. y Europa. Desde el BPA de los últimos doce meses (8.397 KRW a jun-2026) hasta nuestro 2028e (14.145 KRW) el crecimiento es del 23 % anual, y el BPA del 1S26 ya es de 5.806 KRW (+56 %) [3]. Nuestro 2028e queda un 19 % por debajo del consenso (17.428 KRW) [12]. Va explicado en el comentario del objetivo a 12 meses.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Calculada 2.170.880, publicada 2.101.000: revisa acciones y precio. Explicación: La capitalización calculada usa 12,8 M de acciones diluidas (las del BPA diluido del 1S26, con las opciones sobre acciones de directivos y empleados) para ser prudentes en el valor por acción; la publicada (2.101.000 M) usa las 12,41 M en circulación (12.527.165 emitidas menos 114.076 de autocartera) [3, 23]. Con las acciones en circulación el DCF daría ≈ 177.900 KRW.</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 fuentes (19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de 2021 completas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Folleto de la salida a bolsa (solo 2022-2024 en K-IFRS; 2021 en K-GAAP sin desglose); 2) informe de auditoría de 2023 (2022-2023); 3) DART, informes de auditoría anteriores (empresa no obligada a auditoría externa completa)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serie desde 2022</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4T24-2T25 y consenso previo de 4T25 y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FnGuide (solo desde 3T25); 2) presentaciones de la empresa (no dan BPA trimestral); 3) prensa (solo 3T25 y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y FCF del 1S26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semestral de DART (estado de flujos leído sin el desglose de inversión); 2) presentaciones (sin flujos); 3) FnGuide (sin flujos trimestrales)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KCGS (sin calificación publicada para 2025 encontrada); 2) MSCI (sin ficha pública); 3) informe anual 2025 (no menciona calificaciones)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margen de Goodai Global, Torriden y Anua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 cotizan; 2) DART, informes de auditoría (no leídos por tiempo); 3) prensa (cifras dispersas)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la junta de marzo de 2026 (remuneración y consejeros)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DART, resultados de la junta ordinaria (no localizados en la búsqueda por empresa); 2) web de inversores (no publica votos); 3) prensa (sin datos)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KRX (data.krx.co.kr sin acceso desde este entorno); 2) FnGuide (no la publica); 3) foro de Naver (solo comentarios sobre compras a crédito)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 de múltiplos de más de un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Salida a bolsa en mayo de 2025: no existe; 2) FnGuide (solo 2025); 3) folleto (valoración de 2024 por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regla de historia corta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y múltiplos de L'Oréal-Dr.G (2024) y Goodai-Tirtir/Skin1004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L'Oréal (no publica el precio); 2) prensa coreana («miles de millones» sin cifra); 3) DART (no son cotizadas)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사업보고서 2025 (informe anual, corregido): estados consolidados K-IFRS de 2025, 2024 y 2023 auditados por EY Hanyoung, notas, ventas por producto y canal, dividendos, consejo y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d'Alba Global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https://dart.fss.or.kr/dsaf001/main.do?rcpNo=20260407001978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사업보고서 2025 (versión original): cuenta de resultados consolidada de tres ejercicios y nota de ingresos y gastos financieros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d'Alba Global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https://dart.fss.or.kr/dsaf001/main.do?rcpNo=20260323000282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반기보고서 2026 (informe semestral, revisión limitada): estados consolidados a 30-jun-2026, 2T26 y 1S26, ventas por canal y producto, accionistas y autocartera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d'Alba Global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https://dart.fss.or.kr/dsaf001/main.do?rcpNo=20260814001262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auditoría consolidado de 2023 (reemitido): estados de 2023 y 2022 (comparativo) con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d'Alba Global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https://dart.fss.or.kr/dsaf001/main.do?rcpNo=20241210000517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증권신고서 (folleto de la salida a bolsa): cuentas 2022-2024, riesgos, accionistas, bloqueos y valoración por PER de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d'Alba Global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https://dart.fss.or.kr/dsaf001/main.do?rcpNo=20250508000654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2Q26 (inglés): cuenta del trimestre, gastos de marketing, ventas por región y canal, tiendas físicas fuera de Corea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d'Alba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https://www.dalbaglobal.com/_upload_files/20260813102909_85.pdf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1Q26 (inglés): resultados del 1T26 y canales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d'Alba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https://www.dalbaglobal.com/_upload_files/20260512100625_QM.pdf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2025년 4분기 실적발표 (resultados del 4T25 y de 2025, coreano)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d'Alba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https://www.dalbaglobal.com/_upload_files/20260220122012_Ap.pdf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IR Book 2Q26 (inglés): visión 2027-2028 (1 billón de ventas en 2027, 70 % fuera, margen operativo del 25 % en 2028), trimestres desde 1T24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d'Alba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https://www.dalbaglobal.com/_upload_files/20260818150934_0x.pdf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Report 3Q25 (informe trimestral de negocio): 3T25 y 9M25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d'Alba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https://www.dalbaglobal.com/_upload_files/20251120165645_qR.pdf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현금ㆍ현물 배당 결정 (dividendo a cuenta de 2.226 KRW, 18-nov-2025; complementario de 403 KRW, 26-feb-2026)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d'Alba Global / DART (KRX)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https://dart.fss.or.kr/dsaf001/main.do?rcpNo=20260226800556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trimestral y anual (3T25-2T26 reales con BPA básico por trimestre)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FnGuide (Naver WiseReport)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https://navercomp.wisereport.co.kr/v2/company/c1050001.aspx?cmp_cd=483650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잘나가던 달바글로벌 '삐끗'…결국 미스트에 발목 잡히나 (3T25 por debajo de lo esperado)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Fact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https://news.tf.co.kr/read/economy/2254663.htm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d'Alba Global (483650) Q2 2026 earnings summary (guía del 3T26 de 170.000 M y 21 % de margen; guía anual de 725.000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https://quartr.com/events/d-alba-global-co-ltd-483650-q2-2026_F1i5PCnm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식약처가 분석한 2025년 대한민국 화장품 수출 실적 (exportaciones de cosmética coreana de 2025: 11.400 M USD, +12,3 %)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Cosmorning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https://www.cosmorning.com/mobile/article.html?no=51971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«Higiene personal y cosmética de gran consumo» (este repositorio): mercado mundial de belleza de ≈ 300.000 M EUR en 2025 según L'Oréal (2025 Universal Registration Document, 1.2 Beauty market), ≈ 4 % anual, CR5 ≈ 40 %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 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sectores/higiene-cosmetica-2026-10-14.md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APR, VT, Silicon2, Amorepacific, LG H&amp;H, Clio, Kolmar Korea, Cosmax, Cosmecca, e.l.f. y Shiseido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https://finance.yahoo.com/quote/278470.KS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닥터자르트 지난해 232억 적자 (Dr.Jart, comprada por Estée Lauder en 2019 por ≈ 1,3 billones, pierde dinero; Dr.G estancada tras la compra de L'Oréal)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Hankyung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https://www.hankyung.com/article/2026062336511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에이피알 버티는데… 왜 '제2의 에이피알' 달바글로벌은 뒷걸음질치나</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Daum (agencia)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https://v.daum.net/v/20250928060146018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주식등의 대량보유상황보고서 de Ban Sung-yeon (bonus en acciones de 7.970 títulos el 5-jun y venta en bloque de 76.616 a 250.417 KRW el 28-jul-2026; 20,56 % con relacionados)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d'Alba Global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https://dart.fss.or.kr/dsaf001/main.do?rcpNo=20260826000317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임원ㆍ주요주주 특정증권등 거래계획보고서 (plan de venta del fundador presentado el 26-jun-2026)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d'Alba Global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https://dart.fss.or.kr/dsaf001/main.do?rcpNo=20260626000114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주식등의 대량보유상황보고서 de FIL Limited (baja al 4,98 %)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https://dart.fss.or.kr/dsaf001/main.do?rcpNo=20261012000090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principales a 16-oct-2026 (Ban Sung-yeon y 6 relacionados 21,14 %, NPS 8,48 %, autocartera 0,91 %), capital flotante y extranjeros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FnGuide (Naver WiseReport)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https://navercomp.wisereport.co.kr/v2/company/c1010001.aspx?cmp_cd=483650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Avisos de fin de bloqueo de la salida a bolsa (1.955.709 acciones el 22-ago-2025, 1.293.136 el 22-nov-2025 y 637.758 el 22-may-2026)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d'Alba Global / KRX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https://dart.fss.or.kr/dsaf001/main.do?rcpNo=20260519800212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임원ㆍ주요주주 특정증권등 소유상황보고서 (ventas de dos directivos no consejeros,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https://dart.fss.or.kr/dsaf001/main.do?rcpNo=20260909000365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IR Books 2Q25 y 2Q26: objetivo de 1 billón de ventas «en 2028» (2Q25) adelantado a «2027» (4Q25 y siguientes)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d'Alba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https://www.dalbaglobal.com/_upload_files/20251030144526_ql.pdf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기업가치 제고 계획 (plan de valor: reparto ≥ 25 % en 2026-2028 y ROE ≥ 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d'Alba Global / KRX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https://dart.fss.or.kr/dsaf001/main.do?rcpNo=20260331803324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임시주주총회 결과 (junta extraordinaria del 2-jun-2026)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d'Alba Global / KRX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https://dart.fss.or.kr/dsaf001/main.do?rcpNo=20260602800860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483650.KS, del KOSPI (^KS11) y del ETF TIGER 화장품 (228790.KS); cierres, betas y volatilidad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https://finance.yahoo.com/quote/483650.KS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Government Bond Yields: 10-year for Korea (IRLTLT01KRM156N), septiembre de 2026: 4,454 %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OECD vía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https://fred.stlouisfed.org/series/IRLTLT01KRM156N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KRW=X (1.329,13) y JPYKRW=X (8,376),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https://finance.yahoo.com/quote/KRW=X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‘신성장 동력 확보’ 아모레퍼시픽, 7551억원에 코스알엑스 인수 (54,8 % de COSRX)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https://www.etoday.co.kr/news/view/2297611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[IB토마토] 아모레퍼시픽, 현금 부족에도 코스알엑스 인수 (ventas de COSRX: 204.400 M en 2022; 190.200 M y 71.700 M de beneficio operativo en el 1S23)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 Tomato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https://newstomato.com/ReadNews.aspx?no=1208885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Bizwatch: recortes de objetivo tras el 3T25 (DB a 180.000, NH 240.000→200.000, Kiwoom 250.000→210.000, KB 200.000)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Bizwatch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https://news.bizwatch.co.kr/article/market/2025/11/07/0029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Naver (종목토론실) de 483650: 400 mensajes del 18-sep al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Naver Pay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https://m.stock.naver.com/domestic/stock/483650/discussion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달바글로벌, 2분기 실적 발표, 매출 영업이익 시간외 주가 급락이유 (blog)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thecheck.co.kr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https://thecheck.co.kr/?p=746</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87,1 %</w:t>
      </w:r>
      <w:r>
        <w:t xml:space="preserve"> · Secciones con menos del 60 % de campos cubiertos: </w:t>
      </w:r>
      <w:r>
        <w:rPr>
          <w:b/>
          <w:bCs/>
        </w:rPr>
        <w:t xml:space="preserve">gobierno</w:t>
      </w:r>
      <w:r>
        <w:t xml:space="preserve"> · Generado el 19 oct 2026.</w:t>
      </w:r>
    </w:p>
    <w:p>
      <w:pPr>
        <w:pStyle w:val="Nota"/>
        <w:spacing w:after="100"/>
      </w:pPr>
      <w:r>
        <w:t xml:space="preserve">Cuentas consolidadas K-IFRS en millones de KRW. Fuente primaria: DART (dart.fss.or.kr), que esta vez sí respondió desde este entorno por su visor de secciones: informe anual de 2025 [1, 2], informe semestral de 2026 [3], informe de auditoría de 2023 con 2022 comparativo [4] y folleto de la salida a bolsa [5]. Corea no tiene XBRL en herramientas/cuentas.mjs. La empresa cotiza desde el 22-may-2025: solo hay un cierre de ejercicio y la historia de múltiplos es de un año (el objetivo a 12 meses aplica la regla de historia corta). Los trimestres de 2024-2025 salen de las presentaciones de la empresa y el BPA trimestral de FnGuide [6, 12]. El EBITDA trimestral lleva una amortización prorrateada (estimación, &lt; 1 % de las ventas). La empresa no publica el peso de Amazon ni de Olive Young por separado. La valoración por acción usa 12,8 M de acciones diluidas (BPA diluido del 1S26), no los 12,41 M en circulación. Precio: cierre del 19-oct-2026 en el KOSPI (169.600 KRW) [29].</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d'Alba Global Co., Ltd. (483650)</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(KRW) · precio actual 169.600,00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(116.200,00 – 283.000,00)</c:v>
                </c:pt>
                <c:pt idx="1">
                  <c:v>Precio objetivo de los analistas (220.000,00 – 350.000,00)</c:v>
                </c:pt>
                <c:pt idx="2">
                  <c:v>Comparables: PER NTM (149.436,29 – 249.280,89)</c:v>
                </c:pt>
                <c:pt idx="3">
                  <c:v>DCF (WACC y g ± 0,5) (158.859,09 – 189.629,73)</c:v>
                </c:pt>
                <c:pt idx="4">
                  <c:v>Escenarios (bajista – alcista) (90.634,48 – 212.523,27)</c:v>
                </c:pt>
                <c:pt idx="5">
                  <c:v>DCF con la prima implícita del mercado (4,2 %)</c:v>
                </c:pt>
                <c:pt idx="6">
                  <c:v>Precio actual (169.600,00)</c:v>
                </c:pt>
              </c:strCache>
            </c:strRef>
          </c:cat>
          <c:val>
            <c:numRef>
              <c:f>Hoja1!$B$2:$B$8</c:f>
              <c:numCache>
                <c:formatCode>#,##0</c:formatCode>
                <c:ptCount val="7"/>
                <c:pt idx="0">
                  <c:v>116200</c:v>
                </c:pt>
                <c:pt idx="1">
                  <c:v>220000</c:v>
                </c:pt>
                <c:pt idx="2">
                  <c:v>149436.29</c:v>
                </c:pt>
                <c:pt idx="3">
                  <c:v>158859.09</c:v>
                </c:pt>
                <c:pt idx="4">
                  <c:v>90634.48</c:v>
                </c:pt>
                <c:pt idx="5">
                  <c:v>189003.21</c:v>
                </c:pt>
                <c:pt idx="6">
                  <c:v>168752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(116.200,00 – 283.000,00)</c:v>
                </c:pt>
                <c:pt idx="1">
                  <c:v>Precio objetivo de los analistas (220.000,00 – 350.000,00)</c:v>
                </c:pt>
                <c:pt idx="2">
                  <c:v>Comparables: PER NTM (149.436,29 – 249.280,89)</c:v>
                </c:pt>
                <c:pt idx="3">
                  <c:v>DCF (WACC y g ± 0,5) (158.859,09 – 189.629,73)</c:v>
                </c:pt>
                <c:pt idx="4">
                  <c:v>Escenarios (bajista – alcista) (90.634,48 – 212.523,27)</c:v>
                </c:pt>
                <c:pt idx="5">
                  <c:v>DCF con la prima implícita del mercado (4,2 %)</c:v>
                </c:pt>
                <c:pt idx="6">
                  <c:v>Precio actual (169.600,00)</c:v>
                </c:pt>
              </c:strCache>
            </c:strRef>
          </c:cat>
          <c:val>
            <c:numRef>
              <c:f>Hoja1!$C$2:$C$8</c:f>
              <c:numCache>
                <c:formatCode>#,##0</c:formatCode>
                <c:ptCount val="7"/>
                <c:pt idx="0">
                  <c:v>166800</c:v>
                </c:pt>
                <c:pt idx="1">
                  <c:v>130000</c:v>
                </c:pt>
                <c:pt idx="2">
                  <c:v>99844.6</c:v>
                </c:pt>
                <c:pt idx="3">
                  <c:v>30770.640000000014</c:v>
                </c:pt>
                <c:pt idx="4">
                  <c:v>121888.79</c:v>
                </c:pt>
                <c:pt idx="5">
                  <c:v>26336.53</c:v>
                </c:pt>
                <c:pt idx="6">
                  <c:v>1696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(KRW, millones)</a:t>
            </a:r>
          </a:p>
        </c:rich>
      </c:tx>
      <c:overlay val="0"/>
    </c:title>
    <c:autoTitleDeleted val="0"/>
    <c:plotArea>
      <c:layout/>
      <c:barChart>
        <c:barDir val="col"/>
        <c:grouping val="stacked"/>
        <c:varyColors val="0"/>
        <c:ser>
          <c:idx val="0"/>
          <c:order val="0"/>
          <c:tx>
            <c:strRef>
              <c:f>Hoja1!$B$1</c:f>
              <c:strCache>
                <c:ptCount val="1"/>
                <c:pt idx="0">
                  <c:v>Brumas (First Spray Serum)</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239103</c:v>
                </c:pt>
              </c:numCache>
            </c:numRef>
          </c:val>
        </c:ser>
        <c:ser>
          <c:idx val="1"/>
          <c:order val="1"/>
          <c:tx>
            <c:strRef>
              <c:f>Hoja1!$C$1</c:f>
              <c:strCache>
                <c:ptCount val="1"/>
                <c:pt idx="0">
                  <c:v>Protección solar</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115697</c:v>
                </c:pt>
              </c:numCache>
            </c:numRef>
          </c:val>
        </c:ser>
        <c:ser>
          <c:idx val="2"/>
          <c:order val="2"/>
          <c:tx>
            <c:strRef>
              <c:f>Hoja1!$D$1</c:f>
              <c:strCache>
                <c:ptCount val="1"/>
                <c:pt idx="0">
                  <c:v>Cremas</c:v>
                </c:pt>
              </c:strCache>
            </c:strRef>
          </c:tx>
          <c:spPr>
            <a:solidFill>
              <a:srgbClr val="1BAF7A"/>
            </a:solidFill>
            <a:ln w="12700">
              <a:solidFill>
                <a:srgbClr val="FFFFFF"/>
              </a:solidFill>
            </a:ln>
          </c:spPr>
          <c:invertIfNegative val="0"/>
          <c:cat>
            <c:strRef>
              <c:f>Hoja1!$A$2</c:f>
              <c:strCache>
                <c:ptCount val="1"/>
                <c:pt idx="0">
                  <c:v>2025</c:v>
                </c:pt>
              </c:strCache>
            </c:strRef>
          </c:cat>
          <c:val>
            <c:numRef>
              <c:f>Hoja1!$D$2</c:f>
              <c:numCache>
                <c:formatCode>#,##0</c:formatCode>
                <c:ptCount val="1"/>
                <c:pt idx="0">
                  <c:v>51191</c:v>
                </c:pt>
              </c:numCache>
            </c:numRef>
          </c:val>
        </c:ser>
        <c:ser>
          <c:idx val="3"/>
          <c:order val="3"/>
          <c:tx>
            <c:strRef>
              <c:f>Hoja1!$E$1</c:f>
              <c:strCache>
                <c:ptCount val="1"/>
                <c:pt idx="0">
                  <c:v>Mascarillas</c:v>
                </c:pt>
              </c:strCache>
            </c:strRef>
          </c:tx>
          <c:spPr>
            <a:solidFill>
              <a:srgbClr val="EDA100"/>
            </a:solidFill>
            <a:ln w="12700">
              <a:solidFill>
                <a:srgbClr val="FFFFFF"/>
              </a:solidFill>
            </a:ln>
          </c:spPr>
          <c:invertIfNegative val="0"/>
          <c:cat>
            <c:strRef>
              <c:f>Hoja1!$A$2</c:f>
              <c:strCache>
                <c:ptCount val="1"/>
                <c:pt idx="0">
                  <c:v>2025</c:v>
                </c:pt>
              </c:strCache>
            </c:strRef>
          </c:cat>
          <c:val>
            <c:numRef>
              <c:f>Hoja1!$E$2</c:f>
              <c:numCache>
                <c:formatCode>#,##0</c:formatCode>
                <c:ptCount val="1"/>
                <c:pt idx="0">
                  <c:v>27038</c:v>
                </c:pt>
              </c:numCache>
            </c:numRef>
          </c:val>
        </c:ser>
        <c:ser>
          <c:idx val="4"/>
          <c:order val="4"/>
          <c:tx>
            <c:strRef>
              <c:f>Hoja1!$F$1</c:f>
              <c:strCache>
                <c:ptCount val="1"/>
                <c:pt idx="0">
                  <c:v>Otros</c:v>
                </c:pt>
              </c:strCache>
            </c:strRef>
          </c:tx>
          <c:spPr>
            <a:solidFill>
              <a:srgbClr val="E87BA4"/>
            </a:solidFill>
            <a:ln w="12700">
              <a:solidFill>
                <a:srgbClr val="FFFFFF"/>
              </a:solidFill>
            </a:ln>
          </c:spPr>
          <c:invertIfNegative val="0"/>
          <c:cat>
            <c:strRef>
              <c:f>Hoja1!$A$2</c:f>
              <c:strCache>
                <c:ptCount val="1"/>
                <c:pt idx="0">
                  <c:v>2025</c:v>
                </c:pt>
              </c:strCache>
            </c:strRef>
          </c:cat>
          <c:val>
            <c:numRef>
              <c:f>Hoja1!$F$2</c:f>
              <c:numCache>
                <c:formatCode>#,##0</c:formatCode>
                <c:ptCount val="1"/>
                <c:pt idx="0">
                  <c:v>86706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Brumas (First Spray Serum)</c:v>
                </c:pt>
                <c:pt idx="1">
                  <c:v>Protección solar</c:v>
                </c:pt>
                <c:pt idx="2">
                  <c:v>Cremas</c:v>
                </c:pt>
                <c:pt idx="3">
                  <c:v>Mascarillas</c:v>
                </c:pt>
                <c:pt idx="4">
                  <c:v>Otros</c:v>
                </c:pt>
              </c:strCache>
            </c:strRef>
          </c:cat>
          <c:val>
            <c:numRef>
              <c:f>Hoja1!$B$2:$B$6</c:f>
              <c:numCache>
                <c:formatCode>General</c:formatCode>
                <c:ptCount val="5"/>
                <c:pt idx="0">
                  <c:v>46</c:v>
                </c:pt>
                <c:pt idx="1">
                  <c:v>22.3</c:v>
                </c:pt>
                <c:pt idx="2">
                  <c:v>9.8</c:v>
                </c:pt>
                <c:pt idx="3">
                  <c:v>5.2</c:v>
                </c:pt>
                <c:pt idx="4">
                  <c:v>16.7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Corea</c:v>
                </c:pt>
                <c:pt idx="1">
                  <c:v>Japón</c:v>
                </c:pt>
                <c:pt idx="2">
                  <c:v>Norteamérica</c:v>
                </c:pt>
                <c:pt idx="3">
                  <c:v>ASEAN</c:v>
                </c:pt>
                <c:pt idx="4">
                  <c:v>Rusia</c:v>
                </c:pt>
                <c:pt idx="5">
                  <c:v>Europa</c:v>
                </c:pt>
                <c:pt idx="6">
                  <c:v>Gran China</c:v>
                </c:pt>
                <c:pt idx="7">
                  <c:v>Otros</c:v>
                </c:pt>
              </c:strCache>
            </c:strRef>
          </c:cat>
          <c:val>
            <c:numRef>
              <c:f>Hoja1!$B$2:$B$9</c:f>
              <c:numCache>
                <c:formatCode>0"%"</c:formatCode>
                <c:ptCount val="8"/>
                <c:pt idx="0">
                  <c:v>37.3</c:v>
                </c:pt>
                <c:pt idx="1">
                  <c:v>18.8</c:v>
                </c:pt>
                <c:pt idx="2">
                  <c:v>12.5</c:v>
                </c:pt>
                <c:pt idx="3">
                  <c:v>10.7</c:v>
                </c:pt>
                <c:pt idx="4">
                  <c:v>10.3</c:v>
                </c:pt>
                <c:pt idx="5">
                  <c:v>5.1</c:v>
                </c:pt>
                <c:pt idx="6">
                  <c:v>3.8</c:v>
                </c:pt>
                <c:pt idx="7">
                  <c:v>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2021</c:v>
                </c:pt>
                <c:pt idx="1">
                  <c:v>2025</c:v>
                </c:pt>
                <c:pt idx="2">
                  <c:v>2026e</c:v>
                </c:pt>
                <c:pt idx="3">
                  <c:v>2027e</c:v>
                </c:pt>
                <c:pt idx="4">
                  <c:v>2028e</c:v>
                </c:pt>
                <c:pt idx="5">
                  <c:v>2030e</c:v>
                </c:pt>
              </c:strCache>
            </c:strRef>
          </c:cat>
          <c:val>
            <c:numRef>
              <c:f>Hoja1!$B$2:$B$7</c:f>
              <c:numCache>
                <c:formatCode>#,##0</c:formatCode>
                <c:ptCount val="6"/>
                <c:pt idx="0">
                  <c:v>244000</c:v>
                </c:pt>
                <c:pt idx="1">
                  <c:v>300000</c:v>
                </c:pt>
                <c:pt idx="2">
                  <c:v>312000</c:v>
                </c:pt>
                <c:pt idx="3">
                  <c:v>324500</c:v>
                </c:pt>
                <c:pt idx="4">
                  <c:v>337500</c:v>
                </c:pt>
                <c:pt idx="5">
                  <c:v>365000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5</c:v>
                </c:pt>
                <c:pt idx="1">
                  <c:v>4</c:v>
                </c:pt>
                <c:pt idx="2">
                  <c:v>2</c:v>
                </c:pt>
                <c:pt idx="3">
                  <c:v>5</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d'Alba Global</c:v>
                </c:pt>
                <c:pt idx="1">
                  <c:v>APR (Medicube)</c:v>
                </c:pt>
                <c:pt idx="2">
                  <c:v>Silicon2 (Stylekorean)</c:v>
                </c:pt>
                <c:pt idx="3">
                  <c:v>Amorepacific</c:v>
                </c:pt>
                <c:pt idx="4">
                  <c:v>LG H&amp;H</c:v>
                </c:pt>
                <c:pt idx="5">
                  <c:v>VT Cosmetics</c:v>
                </c:pt>
                <c:pt idx="6">
                  <c:v>Clio Cosmetics</c:v>
                </c:pt>
                <c:pt idx="7">
                  <c:v>Goodai Global (Beauty of Joseon, Tirtir, Skin1004)</c:v>
                </c:pt>
                <c:pt idx="8">
                  <c:v>e.l.f. Beauty</c:v>
                </c:pt>
              </c:strCache>
            </c:strRef>
          </c:cat>
          <c:val>
            <c:numRef>
              <c:f>Hoja1!$B$2:$B$10</c:f>
              <c:numCache>
                <c:formatCode>0.0"%"</c:formatCode>
                <c:ptCount val="9"/>
                <c:pt idx="0">
                  <c:v>19.5</c:v>
                </c:pt>
                <c:pt idx="1">
                  <c:v>24.2</c:v>
                </c:pt>
                <c:pt idx="2">
                  <c:v>20.6</c:v>
                </c:pt>
                <c:pt idx="3">
                  <c:v>10</c:v>
                </c:pt>
                <c:pt idx="4">
                  <c:v>6.2</c:v>
                </c:pt>
                <c:pt idx="5">
                  <c:v>8.1</c:v>
                </c:pt>
                <c:pt idx="6">
                  <c:v>13.4</c:v>
                </c:pt>
                <c:pt idx="8">
                  <c:v>14.3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3</c:v>
                </c:pt>
                <c:pt idx="3">
                  <c:v>2</c:v>
                </c:pt>
                <c:pt idx="4">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(KRW,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2022</c:v>
                </c:pt>
                <c:pt idx="1">
                  <c:v>2023</c:v>
                </c:pt>
                <c:pt idx="2">
                  <c:v>2024</c:v>
                </c:pt>
                <c:pt idx="3">
                  <c:v>2025</c:v>
                </c:pt>
                <c:pt idx="4">
                  <c:v>2026e</c:v>
                </c:pt>
                <c:pt idx="5">
                  <c:v>2027e</c:v>
                </c:pt>
                <c:pt idx="6">
                  <c:v>2028e</c:v>
                </c:pt>
                <c:pt idx="7">
                  <c:v>2029e</c:v>
                </c:pt>
                <c:pt idx="8">
                  <c:v>2030e</c:v>
                </c:pt>
                <c:pt idx="9">
                  <c:v>2031e</c:v>
                </c:pt>
                <c:pt idx="10">
                  <c:v>2032e</c:v>
                </c:pt>
                <c:pt idx="11">
                  <c:v>2033e</c:v>
                </c:pt>
              </c:strCache>
            </c:strRef>
          </c:cat>
          <c:val>
            <c:numRef>
              <c:f>Hoja1!$B$2:$B$13</c:f>
              <c:numCache>
                <c:formatCode>#,##0</c:formatCode>
                <c:ptCount val="12"/>
                <c:pt idx="0">
                  <c:v>145205</c:v>
                </c:pt>
                <c:pt idx="1">
                  <c:v>200802</c:v>
                </c:pt>
                <c:pt idx="2">
                  <c:v>309063</c:v>
                </c:pt>
                <c:pt idx="3">
                  <c:v>519735</c:v>
                </c:pt>
                <c:pt idx="4">
                  <c:v>735009</c:v>
                </c:pt>
                <c:pt idx="5">
                  <c:v>911411</c:v>
                </c:pt>
                <c:pt idx="6">
                  <c:v>1057237</c:v>
                </c:pt>
                <c:pt idx="7">
                  <c:v>1173533</c:v>
                </c:pt>
                <c:pt idx="8">
                  <c:v>1267416</c:v>
                </c:pt>
                <c:pt idx="9">
                  <c:v>1343461</c:v>
                </c:pt>
                <c:pt idx="10">
                  <c:v>1410634</c:v>
                </c:pt>
                <c:pt idx="11">
                  <c:v>1467059</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2022</c:v>
                </c:pt>
                <c:pt idx="1">
                  <c:v>2023</c:v>
                </c:pt>
                <c:pt idx="2">
                  <c:v>2024</c:v>
                </c:pt>
                <c:pt idx="3">
                  <c:v>2025</c:v>
                </c:pt>
                <c:pt idx="4">
                  <c:v>2026e</c:v>
                </c:pt>
                <c:pt idx="5">
                  <c:v>2027e</c:v>
                </c:pt>
                <c:pt idx="6">
                  <c:v>2028e</c:v>
                </c:pt>
                <c:pt idx="7">
                  <c:v>2029e</c:v>
                </c:pt>
                <c:pt idx="8">
                  <c:v>2030e</c:v>
                </c:pt>
                <c:pt idx="9">
                  <c:v>2031e</c:v>
                </c:pt>
                <c:pt idx="10">
                  <c:v>2032e</c:v>
                </c:pt>
                <c:pt idx="11">
                  <c:v>2033e</c:v>
                </c:pt>
              </c:strCache>
            </c:strRef>
          </c:cat>
          <c:val>
            <c:numRef>
              <c:f>Hoja1!$C$2:$C$13</c:f>
              <c:numCache>
                <c:formatCode>#,##0</c:formatCode>
                <c:ptCount val="12"/>
                <c:pt idx="0">
                  <c:v>14820</c:v>
                </c:pt>
                <c:pt idx="1">
                  <c:v>32872</c:v>
                </c:pt>
                <c:pt idx="2">
                  <c:v>60574</c:v>
                </c:pt>
                <c:pt idx="3">
                  <c:v>102841</c:v>
                </c:pt>
                <c:pt idx="4">
                  <c:v>161702</c:v>
                </c:pt>
                <c:pt idx="5">
                  <c:v>200511</c:v>
                </c:pt>
                <c:pt idx="6">
                  <c:v>232592</c:v>
                </c:pt>
                <c:pt idx="7">
                  <c:v>252310</c:v>
                </c:pt>
                <c:pt idx="8">
                  <c:v>266157</c:v>
                </c:pt>
                <c:pt idx="9">
                  <c:v>275410</c:v>
                </c:pt>
                <c:pt idx="10">
                  <c:v>282127</c:v>
                </c:pt>
                <c:pt idx="11">
                  <c:v>293412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c:formatCode>
                <c:ptCount val="4"/>
                <c:pt idx="0">
                  <c:v>72.6</c:v>
                </c:pt>
                <c:pt idx="1">
                  <c:v>73.1</c:v>
                </c:pt>
                <c:pt idx="2">
                  <c:v>75.8</c:v>
                </c:pt>
                <c:pt idx="3">
                  <c:v>75.9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c:formatCode>
                <c:ptCount val="4"/>
                <c:pt idx="0">
                  <c:v>10.2</c:v>
                </c:pt>
                <c:pt idx="1">
                  <c:v>16.4</c:v>
                </c:pt>
                <c:pt idx="2">
                  <c:v>19.6</c:v>
                </c:pt>
                <c:pt idx="3">
                  <c:v>19.8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Hoja1!$A$2:$A$5</c:f>
              <c:strCache>
                <c:ptCount val="4"/>
                <c:pt idx="0">
                  <c:v>2022</c:v>
                </c:pt>
                <c:pt idx="1">
                  <c:v>2023</c:v>
                </c:pt>
                <c:pt idx="2">
                  <c:v>2024</c:v>
                </c:pt>
                <c:pt idx="3">
                  <c:v>2025</c:v>
                </c:pt>
              </c:strCache>
            </c:strRef>
          </c:cat>
          <c:val>
            <c:numRef>
              <c:f>Hoja1!$D$2:$D$5</c:f>
              <c:numCache>
                <c:formatCode>0"%"</c:formatCode>
                <c:ptCount val="4"/>
                <c:pt idx="0">
                  <c:v>10.1</c:v>
                </c:pt>
                <c:pt idx="1">
                  <c:v>16.2</c:v>
                </c:pt>
                <c:pt idx="2">
                  <c:v>19.4</c:v>
                </c:pt>
                <c:pt idx="3">
                  <c:v>19.5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Hoja1!$A$2:$A$5</c:f>
              <c:strCache>
                <c:ptCount val="4"/>
                <c:pt idx="0">
                  <c:v>2022</c:v>
                </c:pt>
                <c:pt idx="1">
                  <c:v>2023</c:v>
                </c:pt>
                <c:pt idx="2">
                  <c:v>2024</c:v>
                </c:pt>
                <c:pt idx="3">
                  <c:v>2025</c:v>
                </c:pt>
              </c:strCache>
            </c:strRef>
          </c:cat>
          <c:val>
            <c:numRef>
              <c:f>Hoja1!$E$2:$E$5</c:f>
              <c:numCache>
                <c:formatCode>0"%"</c:formatCode>
                <c:ptCount val="4"/>
                <c:pt idx="0">
                  <c:v>0.6</c:v>
                </c:pt>
                <c:pt idx="1">
                  <c:v>6.8</c:v>
                </c:pt>
                <c:pt idx="2">
                  <c:v>5</c:v>
                </c:pt>
                <c:pt idx="3">
                  <c:v>15.2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71.9</c:v>
                </c:pt>
                <c:pt idx="3">
                  <c:v>73.8</c:v>
                </c:pt>
                <c:pt idx="4">
                  <c:v>55</c:v>
                </c:pt>
                <c:pt idx="5">
                  <c:v>71.4</c:v>
                </c:pt>
                <c:pt idx="6">
                  <c:v>50.5</c:v>
                </c:pt>
                <c:pt idx="7">
                  <c:v>45.6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2">
                  <c:v>71.9</c:v>
                </c:pt>
                <c:pt idx="3">
                  <c:v>73.8</c:v>
                </c:pt>
                <c:pt idx="4">
                  <c:v>55</c:v>
                </c:pt>
                <c:pt idx="5">
                  <c:v>71.4</c:v>
                </c:pt>
                <c:pt idx="6">
                  <c:v>50.5</c:v>
                </c:pt>
                <c:pt idx="7">
                  <c:v>45.6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c:formatCode>
                <c:ptCount val="4"/>
                <c:pt idx="0">
                  <c:v>22</c:v>
                </c:pt>
                <c:pt idx="1">
                  <c:v>25</c:v>
                </c:pt>
                <c:pt idx="2">
                  <c:v>24</c:v>
                </c:pt>
                <c:pt idx="3">
                  <c:v>28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c:formatCode>
                <c:ptCount val="4"/>
                <c:pt idx="0">
                  <c:v>66</c:v>
                </c:pt>
                <c:pt idx="1">
                  <c:v>115</c:v>
                </c:pt>
                <c:pt idx="2">
                  <c:v>234</c:v>
                </c:pt>
                <c:pt idx="3">
                  <c:v>193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Hoja1!$A$2:$A$5</c:f>
              <c:strCache>
                <c:ptCount val="4"/>
                <c:pt idx="0">
                  <c:v>2022</c:v>
                </c:pt>
                <c:pt idx="1">
                  <c:v>2023</c:v>
                </c:pt>
                <c:pt idx="2">
                  <c:v>2024</c:v>
                </c:pt>
                <c:pt idx="3">
                  <c:v>2025</c:v>
                </c:pt>
              </c:strCache>
            </c:strRef>
          </c:cat>
          <c:val>
            <c:numRef>
              <c:f>Hoja1!$D$2:$D$5</c:f>
              <c:numCache>
                <c:formatCode>0</c:formatCode>
                <c:ptCount val="4"/>
                <c:pt idx="0">
                  <c:v>39</c:v>
                </c:pt>
                <c:pt idx="1">
                  <c:v>44</c:v>
                </c:pt>
                <c:pt idx="2">
                  <c:v>39</c:v>
                </c:pt>
                <c:pt idx="3">
                  <c:v>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(KRW,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13544</c:v>
                </c:pt>
                <c:pt idx="1">
                  <c:v>23988</c:v>
                </c:pt>
                <c:pt idx="2">
                  <c:v>14271</c:v>
                </c:pt>
                <c:pt idx="3">
                  <c:v>67240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891</c:v>
                </c:pt>
                <c:pt idx="1">
                  <c:v>13605</c:v>
                </c:pt>
                <c:pt idx="2">
                  <c:v>15409</c:v>
                </c:pt>
                <c:pt idx="3">
                  <c:v>79054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c:formatCode>
                <c:ptCount val="4"/>
                <c:pt idx="0">
                  <c:v>166.9</c:v>
                </c:pt>
                <c:pt idx="1">
                  <c:v>291.6</c:v>
                </c:pt>
                <c:pt idx="2">
                  <c:v>109.8</c:v>
                </c:pt>
                <c:pt idx="3">
                  <c:v>123.8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c:formatCode>
                <c:ptCount val="4"/>
                <c:pt idx="0">
                  <c:v>11.5</c:v>
                </c:pt>
                <c:pt idx="1">
                  <c:v>11.5</c:v>
                </c:pt>
                <c:pt idx="2">
                  <c:v>11.5</c:v>
                </c:pt>
                <c:pt idx="3">
                  <c:v>11.5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Hoja1!$A$2:$A$5</c:f>
              <c:strCache>
                <c:ptCount val="4"/>
                <c:pt idx="0">
                  <c:v>2022</c:v>
                </c:pt>
                <c:pt idx="1">
                  <c:v>2023</c:v>
                </c:pt>
                <c:pt idx="2">
                  <c:v>2024</c:v>
                </c:pt>
                <c:pt idx="3">
                  <c:v>2025</c:v>
                </c:pt>
              </c:strCache>
            </c:strRef>
          </c:cat>
          <c:val>
            <c:numRef>
              <c:f>Hoja1!$D$2:$D$5</c:f>
              <c:numCache>
                <c:formatCode>0"%"</c:formatCode>
                <c:ptCount val="4"/>
                <c:pt idx="0">
                  <c:v>52.7</c:v>
                </c:pt>
                <c:pt idx="1">
                  <c:v>158.1</c:v>
                </c:pt>
                <c:pt idx="2">
                  <c:v>26.2</c:v>
                </c:pt>
                <c:pt idx="3">
                  <c:v>52.6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2022</c:v>
                </c:pt>
                <c:pt idx="1">
                  <c:v>2023</c:v>
                </c:pt>
                <c:pt idx="2">
                  <c:v>2024</c:v>
                </c:pt>
                <c:pt idx="3">
                  <c:v>2025</c:v>
                </c:pt>
              </c:strCache>
            </c:strRef>
          </c:cat>
          <c:val>
            <c:numRef>
              <c:f>Hoja1!$B$2:$B$5</c:f>
              <c:numCache>
                <c:formatCode>0.0"x"</c:formatCode>
                <c:ptCount val="4"/>
                <c:pt idx="0">
                  <c:v>0.24</c:v>
                </c:pt>
                <c:pt idx="1">
                  <c:v>-0.03</c:v>
                </c:pt>
                <c:pt idx="2">
                  <c:v>-0.84</c:v>
                </c:pt>
                <c:pt idx="3">
                  <c:v>-1.2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(KRW,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0</c:v>
                </c:pt>
                <c:pt idx="1">
                  <c:v>0</c:v>
                </c:pt>
                <c:pt idx="2">
                  <c:v>0</c:v>
                </c:pt>
                <c:pt idx="3">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0</c:v>
                </c:pt>
                <c:pt idx="1">
                  <c:v>2372</c:v>
                </c:pt>
                <c:pt idx="2">
                  <c:v>2372</c:v>
                </c:pt>
                <c:pt idx="3">
                  <c:v>30975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Hoja1!$A$2:$A$5</c:f>
              <c:strCache>
                <c:ptCount val="4"/>
                <c:pt idx="0">
                  <c:v>2022</c:v>
                </c:pt>
                <c:pt idx="1">
                  <c:v>2023</c:v>
                </c:pt>
                <c:pt idx="2">
                  <c:v>2024</c:v>
                </c:pt>
                <c:pt idx="3">
                  <c:v>2025</c:v>
                </c:pt>
              </c:strCache>
            </c:strRef>
          </c:cat>
          <c:val>
            <c:numRef>
              <c:f>Hoja1!$D$2:$D$5</c:f>
              <c:numCache>
                <c:formatCode>#,##0</c:formatCode>
                <c:ptCount val="4"/>
                <c:pt idx="0">
                  <c:v>0</c:v>
                </c:pt>
                <c:pt idx="1">
                  <c:v>0</c:v>
                </c:pt>
                <c:pt idx="2">
                  <c:v>0</c:v>
                </c:pt>
                <c:pt idx="3">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Otro externo</c:v>
                </c:pt>
                <c:pt idx="2">
                  <c:v>Independiente</c:v>
                </c:pt>
              </c:strCache>
            </c:strRef>
          </c:cat>
          <c:val>
            <c:numRef>
              <c:f>Hoja1!$B$2:$B$4</c:f>
              <c:numCache>
                <c:formatCode>0</c:formatCode>
                <c:ptCount val="3"/>
                <c:pt idx="0">
                  <c:v>3</c:v>
                </c:pt>
                <c:pt idx="1">
                  <c:v>1</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Ban Sung-yeon (fundador) y 6 relacionados</c:v>
                </c:pt>
                <c:pt idx="1">
                  <c:v>Servicio Nacional de Pensiones (NPS)</c:v>
                </c:pt>
                <c:pt idx="2">
                  <c:v>M&amp;G</c:v>
                </c:pt>
                <c:pt idx="3">
                  <c:v>FIL (Fidelity International)</c:v>
                </c:pt>
                <c:pt idx="4">
                  <c:v>Autocartera</c:v>
                </c:pt>
                <c:pt idx="5">
                  <c:v>Capital flotante restante (extranjeros 44,2 % del total)</c:v>
                </c:pt>
              </c:strCache>
            </c:strRef>
          </c:cat>
          <c:val>
            <c:numRef>
              <c:f>Hoja1!$B$2:$B$7</c:f>
              <c:numCache>
                <c:formatCode>0.0"%"</c:formatCode>
                <c:ptCount val="6"/>
                <c:pt idx="0">
                  <c:v>21.14</c:v>
                </c:pt>
                <c:pt idx="1">
                  <c:v>8.48</c:v>
                </c:pt>
                <c:pt idx="2">
                  <c:v>7.67</c:v>
                </c:pt>
                <c:pt idx="3">
                  <c:v>4.98</c:v>
                </c:pt>
                <c:pt idx="4">
                  <c:v>0.91</c:v>
                </c:pt>
                <c:pt idx="5">
                  <c:v>56.82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d'Alba Global (salida a bolsa)</c:v>
                </c:pt>
                <c:pt idx="1">
                  <c:v>COSRX (54,8 %, hasta el 93,2 %)</c:v>
                </c:pt>
                <c:pt idx="2">
                  <c:v>Have &amp; Be (Dr.Jart)</c:v>
                </c:pt>
              </c:strCache>
            </c:strRef>
          </c:cat>
          <c:val>
            <c:numRef>
              <c:f>Hoja1!$B$2:$B$4</c:f>
              <c:numCache>
                <c:formatCode>0.0"x"</c:formatCode>
                <c:ptCount val="3"/>
                <c:pt idx="0">
                  <c:v>11.7</c:v>
                </c:pt>
                <c:pt idx="1">
                  <c:v>9.6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(KRW,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100986</c:v>
                </c:pt>
                <c:pt idx="1">
                  <c:v>122246</c:v>
                </c:pt>
                <c:pt idx="2">
                  <c:v>150625</c:v>
                </c:pt>
                <c:pt idx="3">
                  <c:v>169570</c:v>
                </c:pt>
                <c:pt idx="4">
                  <c:v>183077</c:v>
                </c:pt>
                <c:pt idx="5">
                  <c:v>192477</c:v>
                </c:pt>
                <c:pt idx="6">
                  <c:v>198641</c:v>
                </c:pt>
                <c:pt idx="7">
                  <c:v>208602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(KRW,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830856</c:v>
                </c:pt>
                <c:pt idx="1">
                  <c:v>1164923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(KRW) · precio actual 169.600,00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90634.48</c:v>
                </c:pt>
                <c:pt idx="1">
                  <c:v>172463.39</c:v>
                </c:pt>
                <c:pt idx="2">
                  <c:v>212523.27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(KRW) · precio actual 169.600,00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(116.200,00 – 283.000,00)</c:v>
                </c:pt>
                <c:pt idx="1">
                  <c:v>Precio objetivo de los analistas (220.000,00 – 350.000,00)</c:v>
                </c:pt>
                <c:pt idx="2">
                  <c:v>Comparables: PER NTM (149.436,29 – 249.280,89)</c:v>
                </c:pt>
                <c:pt idx="3">
                  <c:v>DCF (WACC y g ± 0,5) (158.859,09 – 189.629,73)</c:v>
                </c:pt>
                <c:pt idx="4">
                  <c:v>Escenarios (bajista – alcista) (90.634,48 – 212.523,27)</c:v>
                </c:pt>
                <c:pt idx="5">
                  <c:v>DCF con la prima implícita del mercado (4,2 %)</c:v>
                </c:pt>
                <c:pt idx="6">
                  <c:v>Precio actual (169.600,00)</c:v>
                </c:pt>
              </c:strCache>
            </c:strRef>
          </c:cat>
          <c:val>
            <c:numRef>
              <c:f>Hoja1!$B$2:$B$8</c:f>
              <c:numCache>
                <c:formatCode>#,##0</c:formatCode>
                <c:ptCount val="7"/>
                <c:pt idx="0">
                  <c:v>116200</c:v>
                </c:pt>
                <c:pt idx="1">
                  <c:v>220000</c:v>
                </c:pt>
                <c:pt idx="2">
                  <c:v>149436.29</c:v>
                </c:pt>
                <c:pt idx="3">
                  <c:v>158859.09</c:v>
                </c:pt>
                <c:pt idx="4">
                  <c:v>90634.48</c:v>
                </c:pt>
                <c:pt idx="5">
                  <c:v>189003.21</c:v>
                </c:pt>
                <c:pt idx="6">
                  <c:v>168752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(116.200,00 – 283.000,00)</c:v>
                </c:pt>
                <c:pt idx="1">
                  <c:v>Precio objetivo de los analistas (220.000,00 – 350.000,00)</c:v>
                </c:pt>
                <c:pt idx="2">
                  <c:v>Comparables: PER NTM (149.436,29 – 249.280,89)</c:v>
                </c:pt>
                <c:pt idx="3">
                  <c:v>DCF (WACC y g ± 0,5) (158.859,09 – 189.629,73)</c:v>
                </c:pt>
                <c:pt idx="4">
                  <c:v>Escenarios (bajista – alcista) (90.634,48 – 212.523,27)</c:v>
                </c:pt>
                <c:pt idx="5">
                  <c:v>DCF con la prima implícita del mercado (4,2 %)</c:v>
                </c:pt>
                <c:pt idx="6">
                  <c:v>Precio actual (169.600,00)</c:v>
                </c:pt>
              </c:strCache>
            </c:strRef>
          </c:cat>
          <c:val>
            <c:numRef>
              <c:f>Hoja1!$C$2:$C$8</c:f>
              <c:numCache>
                <c:formatCode>#,##0</c:formatCode>
                <c:ptCount val="7"/>
                <c:pt idx="0">
                  <c:v>166800</c:v>
                </c:pt>
                <c:pt idx="1">
                  <c:v>130000</c:v>
                </c:pt>
                <c:pt idx="2">
                  <c:v>99844.6</c:v>
                </c:pt>
                <c:pt idx="3">
                  <c:v>30770.640000000014</c:v>
                </c:pt>
                <c:pt idx="4">
                  <c:v>121888.79</c:v>
                </c:pt>
                <c:pt idx="5">
                  <c:v>26336.53</c:v>
                </c:pt>
                <c:pt idx="6">
                  <c:v>1696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