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Norwegian Air Shuttle ASA</w:t>
      </w:r>
    </w:p>
    <w:p>
      <w:pPr>
        <w:spacing w:after="60"/>
        <w:rPr>
          <w:color w:val="52514E"/>
          <w:sz w:val="22"/>
          <w:szCs w:val="22"/>
        </w:rPr>
      </w:pPr>
      <w:r>
        <w:rPr>
          <w:color w:val="52514E"/>
          <w:sz w:val="22"/>
          <w:szCs w:val="22"/>
        </w:rPr>
        <w:t xml:space="preserve">NAS · Euronext Oslo Børs · ISIN NO0010196140 · Industrials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NOK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11,05 NOK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12,47 NOK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+20,1 % (base +24,6 %)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15,44 NOK · mercado 18,75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11.619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Norwegian Air Shuttle 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 / NO0010196140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Oslo Børs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OSEBX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Industrials / Passenger Airlines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Fornebu (Bærum), Noruega · 1993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8.992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https://www.norwegian.com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11,05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10,83 – 18,08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11.619 M NOK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20.563 M NOK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67,4 M NOK/día (3 meses; 5,4 M de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12,47 NOK</w:t>
      </w:r>
      <w:r>
        <w:t xml:space="preserve"> frente a 11,05 · Rentabilidad a 12 meses </w:t>
      </w:r>
      <w:r>
        <w:rPr>
          <w:b/>
          <w:bCs/>
        </w:rPr>
        <w:t xml:space="preserve">+20,1 % (base +24,6 %)</w:t>
      </w:r>
      <w:r>
        <w:t xml:space="preserve"> · Valor intrínseco 15,44 NOK · con la prima implícita del mercado: 18,75 (+69,7 %) · Alcista / bajista +152,9 % / -58,7 %</w:t>
      </w:r>
    </w:p>
    <w:p>
      <w:pPr>
        <w:spacing w:after="100"/>
      </w:pPr>
      <w:r>
        <w:rPr>
          <w:b/>
        </w:rPr>
        <w:t xml:space="preserve">La recomendación y por qué.</w:t>
      </w:r>
      <w:r>
        <w:t xml:space="preserve"> Mantener, con convicción media. La regla a 12 meses da Comprar: objetivo de 12,47 NOK, +20,1 % con dividendo (+24,6 % el base), frente a un precio de 11,05 NOK (cierre del 16-oct-2026 en Oslo Børs; hoy, 19-oct, 10,97 NOK a las 14:45) [36]. Nos apartamos porque 7,2 puntos son un dividendo (0,80 NOK por 2025) que difícilmente se repetirá tras un 2026 en pérdidas: sin él, la ponderada es del 12,9 %. Además, con un BPA un 10 % menor la ponderada cae a ≈ 9 %. El valor intrínseco (15,44 NOK) está un 40 % por encima, pero depende de un margen de ciclo medio que hoy no se ve. La convicción es media: la subiría una cobertura barata de 2027; la bajaría un 3T26 con el margen hundido.</w:t>
      </w:r>
    </w:p>
    <w:p>
      <w:pPr>
        <w:spacing w:after="100"/>
      </w:pPr>
      <w:r>
        <w:rPr>
          <w:b/>
        </w:rPr>
        <w:t xml:space="preserve">Por qué ha caído un 39 %.</w:t>
      </w:r>
      <w:r>
        <w:t xml:space="preserve"> Del máximo de 18,08 NOK a 11,05 [36]. El cierre de Ormuz disparó el queroseno (215 USD/barril en marzo, 190 en octubre) [17, 19]; Norwegian perdió el pleito del EU ETS de 2020 (733 M en el 2T26) [2, 21]; el 2T26 dio un EBIT de −603 M; la compra de NLTG emite 300 M de acciones; el director financiero se va y cuatro bancos recortaron en octubre [29, 38, 44].</w:t>
      </w:r>
    </w:p>
    <w:p>
      <w:pPr>
        <w:spacing w:after="100"/>
      </w:pPr>
      <w:r>
        <w:rPr>
          <w:b/>
        </w:rPr>
        <w:t xml:space="preserve">El negocio.</w:t>
      </w:r>
      <w:r>
        <w:t xml:space="preserve"> Norwegian es la primera aerolínea de Noruega: vuelos de bajo coste en los Nórdicos y a Europa con 737 de Boeing, y Widerøe, la regional noruega [1]. Vende un asiento sin diferencias, con un 25 % de los costes en combustible. Compra NLTG (Ving, Spies, Tjäreborg) para vender paquetes de vacaciones [10]. </w:t>
      </w:r>
      <w:r>
        <w:rPr>
          <w:b/>
        </w:rPr>
        <w:t xml:space="preserve">Calidad: No llega</w:t>
      </w:r>
      <w:r>
        <w:t xml:space="preserve">: ROIC del 18 % en 2025 frente a un WACC del 9,06 % (8,9 puntos), pero es un ROIC de ciclo alto (−71 % en 2021, ≈ 4 % en 2026e) y la sostenibilidad es «En parte»: no hay foso.</w:t>
      </w:r>
    </w:p>
    <w:p>
      <w:pPr>
        <w:spacing w:after="100"/>
      </w:pPr>
      <w:r>
        <w:rPr>
          <w:b/>
        </w:rPr>
        <w:t xml:space="preserve">Finanzas.</w:t>
      </w:r>
      <w:r>
        <w:t xml:space="preserve"> Ventas de 37.646 M en 2025 y EBIT récord de 3.732 M (con 858 M de ganancias por comprar aviones que tenía arrendados) [1]. En el 1S26, EBIT de −824 M. Caja e inversiones de 13.700 M frente a 6.185 M de deuda y 12.779 M de arrendamientos a jun-26 [2]; 45.062 M de compromisos con Boeing hasta 2031 [1].</w:t>
      </w:r>
    </w:p>
    <w:p>
      <w:pPr>
        <w:spacing w:after="100"/>
      </w:pPr>
      <w:r>
        <w:rPr>
          <w:b/>
        </w:rPr>
        <w:t xml:space="preserve">Equipo y gobierno.</w:t>
      </w:r>
      <w:r>
        <w:t xml:space="preserve"> Geir Karlsen, consejero delegado desde 2021, llevó la reconstrucción [1]. Geveran (John Fredriksen) tiene el 13,3 % y Folketrygdfondet el 9,4 %; los vendedores de NLTG tendrán el 22 % [2]. La política de remuneración tuvo un 31 % de votos en contra en 2026 [25].</w:t>
      </w:r>
    </w:p>
    <w:p>
      <w:pPr>
        <w:spacing w:after="100"/>
      </w:pPr>
      <w:r>
        <w:rPr>
          <w:b/>
        </w:rPr>
        <w:t xml:space="preserve">Valoración.</w:t>
      </w:r>
      <w:r>
        <w:t xml:space="preserve"> El DCF da 16,11 NOK con el bono noruego al 4,54 % y una beta de aerolínea de 1,2 [40]. El precio equivale a un margen EBITDA del 17,9 % para siempre (base 19 %, 2025 20,9 %): un punto de margen mueve el valor un 29 %. A 12 meses: PER de 9,2x (mediana de 2023-2025) sobre un BPA de 2028e de 1,41 NOK, con NLTG y 1.351,5 M de acciones. Nuestro BPA está un 33 % por debajo del consenso (2,12) [37].</w:t>
      </w:r>
    </w:p>
    <w:p>
      <w:pPr>
        <w:spacing w:after="100"/>
      </w:pPr>
      <w:r>
        <w:rPr>
          <w:b/>
        </w:rPr>
        <w:t xml:space="preserve">Riesgos y catalizadores.</w:t>
      </w:r>
      <w:r>
        <w:t xml:space="preserve"> El riesgo principal es que el queroseno siga caro en 2027 con solo un 25 % cubierto (bajista: −51 %) [9]; le siguen NLTG y la regulación climática. </w:t>
      </w:r>
      <w:r>
        <w:rPr>
          <w:b/>
        </w:rPr>
        <w:t xml:space="preserve">Riesgo de IA: bajo</w:t>
      </w:r>
      <w:r>
        <w:t xml:space="preserve">, neutral. Catalizadores: resultados del 3T26 el 28-oct [46], cierre de NLTG al final del 4T26 [47] y el dividendo de 2026 en febrero. Veredicto de precio y noticias: no cambia. Sentimiento en redes: negativo [49, 51].</w:t>
      </w:r>
    </w:p>
    <w:p>
      <w:pPr>
        <w:spacing w:after="100"/>
      </w:pPr>
      <w:r>
        <w:rPr>
          <w:b/>
        </w:rPr>
        <w:t xml:space="preserve">Qué cambiaría la decisión.</w:t>
      </w:r>
      <w:r>
        <w:t xml:space="preserve"> La regla compra por debajo de 11,54 NOK; con nuestro ajuste del dividendo haría falta un precio cerca de 10,4 NOK o una cobertura de 2027 a buen precio. Venderíamos por encima de 14,74 NOK. Un queroseno por debajo de 120 USD/barril con las tarifas aguantando nos haría subir el base.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12,47 NOK</w:t>
      </w:r>
      <w:r>
        <w:t xml:space="preserve"> (rentabilidad +20,1 % (base +24,6 %)) · Valor intrínseco: 15,44 NOK (+39,7 % sobre 11,05) · con la prima implícita del mercado: 18,75 (+69,7 %)</w:t>
      </w:r>
    </w:p>
    <w:p>
      <w:pPr>
        <w:spacing w:after="100"/>
      </w:pPr>
      <w:r>
        <w:t xml:space="preserve">Norwegian salió de dos reestructuraciones con un balance limpio (caja neta antes de arrendamientos), una flota de 737 que se renueva con MAX y un ROIC del 18-26 % en 2022-2025 [1].</w:t>
      </w:r>
    </w:p>
    <w:p>
      <w:pPr>
        <w:spacing w:after="100"/>
      </w:pPr>
      <w:r>
        <w:t xml:space="preserve">Cotiza en mínimos de 52 semanas porque 2026 es un año de valle: queroseno disparado, la multa del EU ETS y la dilución de NLTG. Si el margen EBITDA vuelve al 18,5 % en 2028, el BPA sería de 1,41 NOK y la acción valdría unos 13 NOK más dividendo a 12 meses.</w:t>
      </w:r>
    </w:p>
    <w:p>
      <w:pPr>
        <w:spacing w:after="100"/>
      </w:pPr>
      <w:r>
        <w:t xml:space="preserve">Pero es una apuesta al combustible, no a la calidad: sin foso, con un punto de margen como margen de seguridad y un dividendo que puede caer. Es para vigilar, no para comprar ya.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 × 0,66 = 4,62 · 9,2x × 1,41 = 12,97 · 9,2x × 2,10 = 19,32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 / 24,6 %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historia adelantada de 3 años: decide la más baja de v3 y v2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 (nuestro base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15,44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152,9 % / -58,7 %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 frente a 9,1 % y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18,75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(3,9 % anual proyectado; financiable al ROIC actual: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11,54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11,54 y 14,74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14,74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(ponderada del 20,1 % y base del 24,6 %), pero nos apartamos por dos razones que la regla no recoge. Primera: 7,2 de esos puntos son el dividendo de 0,80 NOK pagado en mayo por 2025, un año récord; con 2026 en pérdidas (BPA propio de −0,09 NOK) y 3.500 M SEK de caja para NLTG, el dividendo de 2027 será probablemente mucho menor. Sin él la ponderada es del 12,9 %, por debajo del 15 %. Segunda: el resultado depende de un punto de margen y del queroseno: con un BPA un 10 % menor la ponderada baja a ≈ 9 %, y la sostenibilidad es «En parte» (sin foso). Es una cíclica en el valle que puede rebotar, no una compra de calidad.</w:t>
      </w:r>
    </w:p>
    <w:p>
      <w:pPr>
        <w:pStyle w:val="Heading2"/>
      </w:pPr>
      <w:r>
        <w:t xml:space="preserve">Qué cambiaría la recomendación</w:t>
      </w:r>
    </w:p>
    <w:p>
      <w:pPr>
        <w:pStyle w:val="ListParagraph"/>
        <w:numPr>
          <w:ilvl w:val="0"/>
          <w:numId w:val="2"/>
        </w:numPr>
        <w:spacing w:after="60"/>
      </w:pPr>
      <w:r>
        <w:t xml:space="preserve">Precio por debajo de ≈ 10,4 NOK (ponderada ≥ 15 % sin contar dividendo): pasaríamos a Comprar.</w:t>
      </w:r>
    </w:p>
    <w:p>
      <w:pPr>
        <w:pStyle w:val="ListParagraph"/>
        <w:numPr>
          <w:ilvl w:val="0"/>
          <w:numId w:val="2"/>
        </w:numPr>
        <w:spacing w:after="60"/>
      </w:pPr>
      <w:r>
        <w:t xml:space="preserve">Cobertura de 2027 por encima del 50 % a menos de 900 USD/t: subiríamos el base.</w:t>
      </w:r>
    </w:p>
    <w:p>
      <w:pPr>
        <w:pStyle w:val="ListParagraph"/>
        <w:numPr>
          <w:ilvl w:val="0"/>
          <w:numId w:val="2"/>
        </w:numPr>
        <w:spacing w:after="60"/>
      </w:pPr>
      <w:r>
        <w:t xml:space="preserve">Queroseno por encima de 150 USD/barril en el 1T27: bajaríamos el base al bajista.</w:t>
      </w:r>
    </w:p>
    <w:p>
      <w:pPr>
        <w:pStyle w:val="ListParagraph"/>
        <w:numPr>
          <w:ilvl w:val="0"/>
          <w:numId w:val="2"/>
        </w:numPr>
        <w:spacing w:after="60"/>
      </w:pPr>
      <w:r>
        <w:t xml:space="preserve">Precio por encima de 14,74 NOK: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de 2023-2025 fue de pico: el precio equivale a un margen EBITDA del 17,9 % para siempre o a crecer un 1 % al año.</w:t>
      </w:r>
    </w:p>
    <w:p>
      <w:pPr>
        <w:keepNext/>
        <w:spacing w:after="100"/>
      </w:pPr>
      <w:r>
        <w:rPr>
          <w:b/>
          <w:bCs/>
        </w:rPr>
        <w:t xml:space="preserve">Lo que creemos nosotros.</w:t>
      </w:r>
    </w:p>
    <w:p>
      <w:pPr>
        <w:spacing w:after="100"/>
      </w:pPr>
      <w:r>
        <w:t xml:space="preserve">El margen de ciclo medio está en el 18-19 %, algo por encima de lo que descuenta el mercado, pero no lo bastante para comprar sin ver antes la cobertura de 2027 y el dividendo. Nuestro BPA de 2028e es un 33 % menor que el del consenso.</w:t>
      </w:r>
    </w:p>
    <w:p>
      <w:pPr>
        <w:keepNext/>
        <w:spacing w:after="100"/>
      </w:pPr>
      <w:r>
        <w:rPr>
          <w:b/>
          <w:bCs/>
        </w:rPr>
        <w:t xml:space="preserve">Por qué podemos tener razón.</w:t>
      </w:r>
    </w:p>
    <w:p>
      <w:pPr>
        <w:spacing w:after="100"/>
      </w:pPr>
      <w:r>
        <w:t xml:space="preserve">El combustible cubierto para 2027 es solo un 18-25 % [9]; la oferta europea sigue corta por los retrasos de Boeing y Airbus, lo que ayuda a las tarifas, pero Norwegian no tiene poder de precios propio [16].</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NOK) · precio actual 11,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Barata frente al ciclo</w:t>
      </w:r>
      <w:r>
        <w:t xml:space="preserve">: 2,8 veces el EBITDA (EBITDAR) de los últimos 12 meses [39].</w:t>
      </w:r>
    </w:p>
    <w:p>
      <w:pPr>
        <w:pStyle w:val="ListParagraph"/>
        <w:numPr>
          <w:ilvl w:val="0"/>
          <w:numId w:val="2"/>
        </w:numPr>
        <w:spacing w:after="60"/>
      </w:pPr>
      <w:r>
        <w:rPr>
          <w:b/>
        </w:rPr>
        <w:t xml:space="preserve">Balance</w:t>
      </w:r>
      <w:r>
        <w:t xml:space="preserve">: 13.700 M de caja e inversiones frente a 6.185 M de deuda financiera (jun-26) [2].</w:t>
      </w:r>
    </w:p>
    <w:p>
      <w:pPr>
        <w:pStyle w:val="ListParagraph"/>
        <w:numPr>
          <w:ilvl w:val="0"/>
          <w:numId w:val="2"/>
        </w:numPr>
        <w:spacing w:after="60"/>
      </w:pPr>
      <w:r>
        <w:rPr>
          <w:b/>
        </w:rPr>
        <w:t xml:space="preserve">Oferta corta</w:t>
      </w:r>
      <w:r>
        <w:t xml:space="preserve">: los retrasos de Boeing y Airbus limitan la capacidad europea [16].</w:t>
      </w:r>
    </w:p>
    <w:p>
      <w:pPr>
        <w:pStyle w:val="ListParagraph"/>
        <w:numPr>
          <w:ilvl w:val="0"/>
          <w:numId w:val="2"/>
        </w:numPr>
        <w:spacing w:after="60"/>
      </w:pPr>
      <w:r>
        <w:rPr>
          <w:b/>
        </w:rPr>
        <w:t xml:space="preserve">Dueños de referencia</w:t>
      </w:r>
      <w:r>
        <w:t xml:space="preserve">: Fredriksen (13,3 %) y Folketrygdfondet (9,4 %) [2].</w:t>
      </w:r>
    </w:p>
    <w:p>
      <w:pPr>
        <w:pStyle w:val="Heading2"/>
      </w:pPr>
      <w:r>
        <w:t xml:space="preserve">En contra</w:t>
      </w:r>
    </w:p>
    <w:p>
      <w:pPr>
        <w:pStyle w:val="ListParagraph"/>
        <w:numPr>
          <w:ilvl w:val="0"/>
          <w:numId w:val="2"/>
        </w:numPr>
        <w:spacing w:after="60"/>
      </w:pPr>
      <w:r>
        <w:rPr>
          <w:b/>
        </w:rPr>
        <w:t xml:space="preserve">Queroseno</w:t>
      </w:r>
      <w:r>
        <w:t xml:space="preserve">: a 190 USD/barril con solo un 25 % del 1S27 cubierto [9, 17].</w:t>
      </w:r>
    </w:p>
    <w:p>
      <w:pPr>
        <w:pStyle w:val="ListParagraph"/>
        <w:numPr>
          <w:ilvl w:val="0"/>
          <w:numId w:val="2"/>
        </w:numPr>
        <w:spacing w:after="60"/>
      </w:pPr>
      <w:r>
        <w:rPr>
          <w:b/>
        </w:rPr>
        <w:t xml:space="preserve">Sin foso</w:t>
      </w:r>
      <w:r>
        <w:t xml:space="preserve">: ROIC de −71 % a 26 % según el año [1, 7].</w:t>
      </w:r>
    </w:p>
    <w:p>
      <w:pPr>
        <w:pStyle w:val="ListParagraph"/>
        <w:numPr>
          <w:ilvl w:val="0"/>
          <w:numId w:val="2"/>
        </w:numPr>
        <w:spacing w:after="60"/>
      </w:pPr>
      <w:r>
        <w:rPr>
          <w:b/>
        </w:rPr>
        <w:t xml:space="preserve">Dilución de NLTG</w:t>
      </w:r>
      <w:r>
        <w:t xml:space="preserve">: 28 % más de acciones [47].</w:t>
      </w:r>
    </w:p>
    <w:p>
      <w:pPr>
        <w:pStyle w:val="ListParagraph"/>
        <w:numPr>
          <w:ilvl w:val="0"/>
          <w:numId w:val="2"/>
        </w:numPr>
        <w:spacing w:after="60"/>
      </w:pPr>
      <w:r>
        <w:rPr>
          <w:b/>
        </w:rPr>
        <w:t xml:space="preserve">Dividendo en riesgo</w:t>
      </w:r>
      <w:r>
        <w:t xml:space="preserve">: 2026 en pérdidas en nuestro base.</w:t>
      </w:r>
    </w:p>
    <w:p>
      <w:pPr>
        <w:pStyle w:val="Heading2"/>
      </w:pPr>
      <w:r>
        <w:t xml:space="preserve">Qué tiene que pasar para que la tesis funcione</w:t>
      </w:r>
    </w:p>
    <w:p>
      <w:pPr>
        <w:spacing w:after="100"/>
      </w:pPr>
      <w:r>
        <w:t xml:space="preserve">El combustible y la cobertura de 2027. La señal de que la tesis aguanta: en el 3T26 (28-oct) un EBIT cerca del de 2025 y más cobertura de 2027 por debajo de 900 USD/t; la de que falla: el queroseno por encima de 150 USD/barril al cierre del 1T27 o el dividendo suprimido.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trimestral frente al mismo trimestre de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 en el 2T26 (25,4 % en el 2T25)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5 puntos por debajo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combustible se traslada a la tarifa.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Cobertura de combustible de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del 1S27 a 661 USD/t; 18 % del 2S27 [9]</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subir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por pasajero-kilómetro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Casi plano en las reservas del verano [8]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meses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por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 NOK por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Suprimido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7,2 % de la rentabilidad a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de NLTG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EBITDA de 1.024 M SEK a mar-26 [10]</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del 5 % de las ventas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30 % del BPA base de 2028e.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2,8x / 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7,4x / 7,5x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Norwegian nació en 1993 como aerolínea regional que volaba para Braathens y se convirtió en aerolínea de bajo coste en 2002, cuando Braathens se fusionó con SAS [1]. Creció muy deprisa: largo radio con Boeing 787 desde 2013, bases en España, Reino Unido, Argentina y EE. UU., y una deuda que la llevó al borde de la quiebra antes de la pandemia [24]. En 2020-21 se reestructuró en Irlanda (examinership) y Noruega: los acreedores convirtieron deuda en acciones, cerró el largo radio y salió de la reconstrucción en mayo de 2021 como aerolínea nórdica de corto radio con 51 aviones [1, 24]. Desde entonces ha vuelto a beneficios (2022-2025), compró Widerøe en 2024, encargó 80 Boeing 737 MAX y en 2025 pagó su primer dividendo [1]. En junio de 2026 acordó comprar NLTG (Ving, Spies, Tjäreborg)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aerolínea regional que opera para Braathens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 bajo coste con Boeing 737 en Noruega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Largo radio con Boeing 787 y crecimiento internacional financiado con deuda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Pandemia: reconstrucción en Irlanda y Noruega; los acreedores pasan a ser accionistas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de la reconstrucción como aerolínea nórdica de corto radio; Geir Karlsen, consejero delegado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 de 50 Boeing 737 MAX 8 con opción a 30 más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Widerøe, la mayor aerolínea regional de Noruega, por 1.020 M NOK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récord (EBIT de 3.732 M), recompra de los convertibles, primer dividendo y pedido ampliado a 80 MAX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Pierde el pleito del EU ETS (733 M), el combustible se dispara por Ormuz y acuerda comprar NLTG [2, 10, 21].</w:t>
            </w:r>
          </w:p>
        </w:tc>
      </w:tr>
    </w:tbl>
    <w:p>
      <w:pPr>
        <w:spacing w:after="160" w:before="0"/>
      </w:pPr>
    </w:p>
    <w:p>
      <w:pPr>
        <w:pStyle w:val="Heading1"/>
      </w:pPr>
      <w:r>
        <w:t xml:space="preserve">2. Modelo de negocio</w:t>
      </w:r>
    </w:p>
    <w:p>
      <w:pPr>
        <w:spacing w:after="100"/>
      </w:pPr>
      <w:r>
        <w:t xml:space="preserve">Norwegian Air Shuttle es el grupo aéreo con más pasajeros de Noruega y uno de los dos mayores de los países nórdicos [1]. Tiene dos aerolíneas: Norwegian, de bajo coste, con 95 Boeing 737 (36 MAX 8) y unas 390 rutas desde Noruega, Suecia, Dinamarca y Finlandia hacia Europa (sobre todo ocio en el sur de Europa) y vuelos nacionales; y Widerøe, aerolínea regional con 50 aviones que une pequeñas ciudades de Noruega, muchas con contratos de servicio público del Estado [1, 2]. Vende a particulares (ocio y visitas) y a empresas, que ganan peso (contratos corporativos), sobre todo por su web y su aplicación [1]. El programa de fidelidad Norwegian Reward (más de 8,5 M de socios) usa la moneda Spenn compartida con Strawberry y REMA 1000 [2]. Si se cierra la compra de NLTG, añadirá viajes combinados y 26 hoteles propios [10].</w:t>
      </w:r>
    </w:p>
    <w:p>
      <w:pPr>
        <w:pStyle w:val="Heading2"/>
      </w:pPr>
      <w:r>
        <w:t xml:space="preserve">Cómo gana dinero</w:t>
      </w:r>
    </w:p>
    <w:p>
      <w:pPr>
        <w:spacing w:after="100"/>
      </w:pPr>
      <w:r>
        <w:t xml:space="preserve">Cobra el billete por adelantado (4.000-8.600 M de billetes cobrados sin volar) y gana en el margen entre la tarifa por asiento-kilómetro y el coste por asiento-kilómetro [1, 2]. El 87 % de los ingresos son billetes; los servicios complementarios (equipaje, asiento) suman 200-208 NOK por pasajero en Norwegian [1, 2]. El margen depende de cuatro cosas: el combustible (25-39 % del coste operativo, en USD), el dólar frente a la corona (aviones, combustible y mantenimiento en USD), la ocupación (85-87 %) y la tarifa media, que fija la competencia [2]. El apalancamiento operativo es alto: un 1 % de combustible más caro cuesta 42 M al año y un 1 % de dólar más caro, 106 M [2]. Es muy estacional: gana en el 2T y sobre todo en el 3T (verano) y pierde en el 1T y el 4T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Norwegian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30.092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Widerøe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Norwegian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28.344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30.092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Widerøe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de clientes: 27,3 M de pasajeros al año, la mitad de los ingresos sale de Noruega (49,9 %) [1]. Widerøe depende en parte del Estado noruego por las rutas de servicio público, que se licitan por periodos [1]. El poder de precios es escaso: la tarifa media de Norwegian fue de 0,91 NOK por pasajero-kilómetro en 2T25 y 2T26 a pesar de que el combustible subió un 36 % [2]; en septiembre de 2026 el ingreso unitario fue plano (0,79 NOK) [20]. En 2025 la empresa compensó la inflación de costes con eficiencias (programa X), no con precio [1]. La ficha sectorial muestra que la tarifa es cíclica en todo el sector (Ryanair −7 % en FY25 y +10 % en FY26) [16].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Pasajeros del grupo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Norwegian 23,1 M y Widerøe 4,1 M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Pasajeros de Norwegian, 12 meses móviles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 (sep-25)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Ocupación de 12 meses del 86,1 % (+0,7 pp)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unitario sin combustible de Norwegian (NOK/AKO)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X; 2025 ajustado por las plusvalías: 0,52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complementarios por pasajero de Norwegian (NOK)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Equipaje, asientos y prioridad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Combustible cubierto (consumo previsto y precio)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4T26: 55 % a 759 USD/t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1S27: 25 % a 661 USD/t; 2S27: 18 % a 660 USD/t</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cobertura en 2027</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hasta 25 % a 36 meses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Flota del grupo (aviones)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95 de Norwegian (36 MAX 8) y 50 de Widerøe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transporte aéreo regular de pasajeros con origen o destino en los países nórdicos y, en general, el corto radio europeo de bajo coste, donde compite Norwegian [1, 16]. No hay una cifra fiable en coronas de ese mercado: se usa el número de pasajeros de la UE de Eurostat (la misma unidad que la ficha sectorial) como medida de tamaño y, como segunda referencia, los pasajeros de Norwegian frente a los de Ryanair y Lufthansa [16]. La cuota en ingresos del mercado nórdico no se publica.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1.093,6 M de pasajeros en la UE en 2025 (+3,9 %; +5,7 % frente a 2019) [16]; Norwegian 23,1 M y el grupo 27,3 M (≈ 2,5 % de los pasajeros de la UE)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pasajeros en la U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queroseno (y del dólar)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mundial de 192,44 USD/barril en la última semana (IATA), frente a ≈ 96 en noviembre de 2025; Norwegian cubre el 25 % del 1S27 a 661 USD/t [17, 18,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ocio nórdica hacia el sur de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Pasajeros de Norwegian +3 % en 12 meses a sep-26 con ocupación del 86,1 %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de la competencia (SAS, Wizz Air, Ryanair) y escasez de aviones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Retrasos de Boeing y Airbus y problemas de motores limitan la oferta; SAS canceló vuelos en marzo de 2026 [16,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regulatorio del CO2 (EU ETS sin derechos gratuitos desde 2026, SAF obligatorio)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733 M por el ETS de 2020; los derechos gratuitos desaparecen en 2026 [16,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Corona noruega frente al dólar y al euro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1 % de USD más caro cuesta 106 M al año; la corona fuerte rebajó el rendimiento en el 2T26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SAS (Air France-KLM), Ryanair, Wizz Air y Lufthansa compiten en las rutas al sur de Europa; la tarifa se fija en el mercado [1,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 que comparan precios en internet; las empresas negocian contratos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Boeing-Airbus con retrasos, arrendadores, refinerías (queroseno) y aeropuertos con tasas reguladas al alza [1,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franjas horarias de Oslo y el acceso a aviones frenan a los nuevos, pero las grandes de bajo coste pueden abrir bases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 de alta velocidad casi inexistente en los Nórdicos; las videollamadas restan viajes de empresa [1].</w:t>
            </w:r>
          </w:p>
        </w:tc>
      </w:tr>
    </w:tbl>
    <w:p>
      <w:pPr>
        <w:spacing w:after="160" w:before="0"/>
      </w:pPr>
    </w:p>
    <w:p>
      <w:pPr>
        <w:pStyle w:val="Heading2"/>
      </w:pPr>
      <w:r>
        <w:t xml:space="preserve">Ciclo</w:t>
      </w:r>
    </w:p>
    <w:p>
      <w:pPr>
        <w:spacing w:after="100"/>
      </w:pPr>
      <w:r>
        <w:t xml:space="preserve">Indicadores: queroseno de 130-215 USD/barril en 2026 frente a ≈ 96 a finales de 2025 [17, 18, 23], márgenes de las europeas recortados y estimaciones de beneficio de 2027 rebajadas un 15-20 % en 90 días (Ryanair, Norwegian, Lufthansa) [20]. Antecedentes: en 2008-09 el sector perdió dinero salvo Ryanair; en 2020-21 Norwegian tuvo que reestructurarse y perdió 23.000 M; en 2022 el queroseno caro volvió a apretar los márgenes [16, 24]. La demanda aguanta (ocupación del 87 % en septiembre) pero el coste no se traslada entero al billete [20].</w:t>
      </w:r>
    </w:p>
    <w:p>
      <w:pPr>
        <w:pStyle w:val="Heading2"/>
      </w:pPr>
      <w:r>
        <w:t xml:space="preserve">Regulación</w:t>
      </w:r>
    </w:p>
    <w:p>
      <w:pPr>
        <w:spacing w:after="100"/>
      </w:pPr>
      <w:r>
        <w:t xml:space="preserve">El comercio de derechos de emisión de la UE deja de dar derechos gratuitos a la aviación en 2026, y el reglamento ReFuelEU obliga a mezclar un 2 % de SAF desde 2025 y un 6 % desde 2030 [16]. Noruega mantiene una tasa al pasajero y Dinamarca introdujo otra [1]. Widerøe depende de las licitaciones de rutas de servicio público del Estado noruego [1]. La compra de NLTG necesita la aprobación de competencia de la UE (cierre previsto en el 4T26) [10].</w:t>
      </w:r>
    </w:p>
    <w:p>
      <w:pPr>
        <w:pStyle w:val="Heading2"/>
      </w:pPr>
      <w:r>
        <w:t xml:space="preserve">Tendencias y disrupción</w:t>
      </w:r>
    </w:p>
    <w:p>
      <w:pPr>
        <w:spacing w:after="100"/>
      </w:pPr>
      <w:r>
        <w:t xml:space="preserve">Tres tendencias. Primera, la renovación de flota hacia el 737 MAX (un 15-20 % menos de consumo por asiento): Norwegian tiene 78 pendientes hasta 2031 [1]. Segunda, la integración de vuelo, hotel y fidelidad (Spenn, NLTG): la empresa quiere vender paquetes como Jet2, la aerolínea de ocio más rentable del Reino Unido [10]. Tercera, la consolidación: Air France-KLM controla SAS y las aerolíneas pequeñas pierden escala [16]. Norwegian gana con la primera y la tercera; la segunda es una apuesta con riesgo de ejecución.</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1.ª aerolínea de Noruega por pasajeros y una de las dos mayores de los Nórdicos con SAS [1]; ≈ 2,5 % de los pasajeros de la UE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foso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SAS (grupo Air France-KLM)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SE/DK/NO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los Nórdicos; no cotiza tras su reestructuración de 2024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Ryanair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RYA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 menor coste de Europa; ingresos y margen LTM de Yahoo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Wizz Air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WIZZ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 coste con pérdidas por motores parados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easyJet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EZJ</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 coste con paquetes (easyJet holidays)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Lufthansa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LHA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con Eurowings en ocio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Jet2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JET2</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Modelo de vuelo + paquete al que aspira Norwegian con NLTG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densa en Noruega y Widerøe como alimentador; Spenn con Strawberry y REMA 1000 [1,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viajero compara precios; solo el programa de fidelidad crea algo de lealtad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conocida y franjas en Oslo; rutas de servicio público de Widerøe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unitario sin combustible de 0,48 NOK, por encima del de Ryanair; margen EBIT de 6,5 % subyacente en 2025 frente al 13 % de Ryanair [7,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nacional noruego pequeño con dos grupos (Norwegian/Widerøe y SAS) [1].</w:t>
            </w:r>
          </w:p>
        </w:tc>
      </w:tr>
    </w:tbl>
    <w:p>
      <w:pPr>
        <w:spacing w:after="160" w:before="0"/>
      </w:pPr>
    </w:p>
    <w:p>
      <w:pPr>
        <w:pStyle w:val="Heading2"/>
      </w:pPr>
      <w:r>
        <w:t xml:space="preserve">Amenazas</w:t>
      </w:r>
    </w:p>
    <w:p>
      <w:pPr>
        <w:spacing w:after="100"/>
      </w:pPr>
      <w:r>
        <w:t xml:space="preserve">Lo que puede erosionar su posición: que Air France-KLM use SAS para recuperar cuota en Noruega con precios bajos (probabilidad media), que Ryanair o Wizz abran bases nórdicas cuando tengan aviones (baja-media), que el queroseno caro no pueda trasladarse a la tarifa (alta en 2026-27) y que la integración de NLTG distraiga a la dirección (media) [1, 10, 16].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p>
      <w:pPr>
        <w:spacing w:after="100"/>
      </w:pPr>
      <w:r>
        <w:t xml:space="preserve">Crecimiento anual compuesto 2021-2025: ingresos </w:t>
      </w:r>
      <w:r>
        <w:rPr>
          <w:b/>
          <w:bCs/>
        </w:rPr>
        <w:t xml:space="preserve">65,1 %</w:t>
      </w:r>
      <w:r>
        <w:t xml:space="preserve">, EBITDA </w:t>
      </w:r>
      <w:r>
        <w:rPr>
          <w:b/>
          <w:bCs/>
        </w:rPr>
        <w:t xml:space="preserve">n.d.</w:t>
      </w:r>
      <w:r>
        <w:t xml:space="preserve">, BPA </w:t>
      </w:r>
      <w:r>
        <w:rPr>
          <w:b/>
          <w:bCs/>
        </w:rPr>
        <w:t xml:space="preserve">-1,8 %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NO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5.068 M en 2021 (pandemia y reconstrucción) a 37.646 M en 2025 [1, 7]. El salto de 2023 a 2024 (+38 %) es sobre todo inorgánico: Widerøe aportó 7.241 M; sin ella, Norwegian creció un 11 % (28.344 M) y en 2025 un 6 % (30.092 M) [1]. El EBITDA del informe es el EBITDAR de la empresa (con NIIF 16 el alquiler de aviones va a amortización e intereses): 5.754 M en 2023, 6.907 M en 2024 y 7.887 M en 2025; sin «otras pérdidas (ganancias)» de tipo de cambio, 7.478 M (19,9 % de margen) [1]. El EBIT récord de 2025 (3.732 M) lleva dentro 409 M de ganancias de cambio y 858 M de plusvalías por comprar 13 Boeing 737-800 que tenía en arrendamiento, apuntadas como menor amortización: el EBIT subyacente es ≈ 2.465 M (6,5 %) [1]. En 2026 el combustible (+33 % en el 2T) y la multa del EU ETS de 2020 (733 M, no deducible) llevan el 1S a −824 M de EBIT [2]. El combustible pesa un 25-39 % de los costes operativos según el trimestre [2].</w:t>
      </w:r>
    </w:p>
    <w:p>
      <w:pPr>
        <w:pStyle w:val="Heading2"/>
      </w:pPr>
      <w:r>
        <w:t xml:space="preserve">Ajustes y partidas no recurrentes</w:t>
      </w:r>
    </w:p>
    <w:p>
      <w:pPr>
        <w:spacing w:after="100"/>
      </w:pPr>
      <w:r>
        <w:t xml:space="preserve">Cifras publicadas NIIF. Partidas no recurrentes del EBITDA (gasto en positivo): «otras pérdidas (ganancias)» de cada año, sobre todo diferencias de cambio de pasivos operativos en USD (2021: −737,5; 2022: −7,3; 2023: +35,1; 2024: +291; 2025: −409; LTM: +545, con la pérdida del EU ETS de 733 M) [1, 2, 7]. Debajo del EBITDA hay dos partidas más que no se repiten: la reversión de 2.099 M del deterioro de anticipos de aviones en 2022 (acuerdo con Boeing), que se resta de la amortización de ese año (861 M netos frente a 2.960 M brutos), y las plusvalías de 858 M (2025) y 95 M (2T26) por comprar aviones arrendados, que reducen la línea de arrendamiento y amortización [1, 2, 7]. El BPA de 2025 sin esas ganancias (409 + 858 M antes de impuestos) sería ≈ 1,58 NOK frente a 2,49 publicado (estimación propia con el 22 %). El BPA de 2021 lleva ganancias de la reconstrucción en el resultado financiero (+4.662 M) [7].</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1T26 (28-abr) la dirección habló de una «mejora significativa»: EBIT de −220 M frente a −611 M, ocupación récord del 87,6 % y liquidez de 14.200 M, con ayuda de la corona fuerte, las coberturas de combustible y el precio bajo de los derechos de emisión [3]. En el 2T26 (14-jul) el tono cambió: EBIT de −603 M (213 M sin otras pérdidas), combustible +33 % por el cierre del estrecho de Ormuz, pérdida de 733 M por el EU ETS de 2020 y demanda «algo más floja de lo esperado» en abril-mayo por la Semana Santa temprana y el miedo a la escasez de queroseno [2, 8]. La dirección insistió en el coste: coste unitario sin combustible de 0,48 NOK, −5 %, y guía de coste unitario subyacente sin combustible plano en 2026 (antes, subida de un dígito bajo) [2]. Reservas de julio-octubre por delante de 2025 (160.000 billetes más) con rendimiento casi plano [8]. La compra de NLTG ocupó buena parte de la presentación [8]. No dio guía de beneficio ni de combustible para 2027: solo que tiene cubierto el 25 % del consumo del 1S27 a 661 USD/t y el 18 % del 2S27 a 660 USD/t [9], con el queroseno spot muy por encima.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(2024: Widerøe consolidada desde el 12-ene-2024 (compra por 1.020 M NOK en caja; aportó 7.241 M de ingresos en 2024): 2024 no es comparable con 2023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capital circulante es negativo: los billetes cobrados por adelantado (4.396 M a cierre de 2025) y los proveedores (5.520 M) superan con mucho a clientes y existencias [1]. La deuda financiera sin arrendamientos sube de 3.745 M (2023) a 5.847 M (2025) porque la empresa compra aviones en vez de arrendarlos (13 737-800 en 2025 y los primeros MAX en propiedad); los arrendamientos suben a 13.704 M por las altas de aviones [1]. La deuda neta con arrendamientos e inversiones financieras fue de 9.491 M a cierre de 2025 y de 5.264 M a 30-jun-2026, con la caja estacional del verano [2]. En julio de 2025 la empresa depositó el importe del bono cupón cero de 3.156 M para liberarse de sus restricciones y empezar a pagar dividendos [13]. El patrimonio neto es pequeño (6.660 M, 14,2 % del activo a junio) porque arrastra 25.000 M de pérdidas de la reconstrucción de 2020-21 [2].</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5.760</w:t>
      </w:r>
      <w:r>
        <w:t xml:space="preserve">, conversión </w:t>
      </w:r>
      <w:r>
        <w:rPr>
          <w:b/>
          <w:bCs/>
        </w:rPr>
        <w:t xml:space="preserve">66 %</w:t>
      </w:r>
      <w:r>
        <w:t xml:space="preserve"> del beneficio neto; adquisiciones 1.020, dividendos 1.335, recompras 948.</w:t>
      </w:r>
    </w:p>
    <w:p>
      <w:pPr>
        <w:spacing w:after="100"/>
      </w:pPr>
      <w:r>
        <w:t xml:space="preserve">La caja de explotación (7.840 M en 2025) parece alta, pero va antes de intereses y del principal de los arrendamientos, que la empresa clasifica en financiación (1.063 M y 1.780 M en 2025) [1, 7]. El capex de 2025 (5.450 M: compras de inmovilizado, intangibles y anticipos a Boeing) incluye la compra de 13 aviones que ya operaba en arrendamiento, que sustituye pagos de alquiler futuros [1]. Las altas de aviones en arrendamiento no pasan por el capex (los pasivos por arrendamiento subieron 2.400 M en 2025 pese a pagar 1.780 M) [1]. Por eso el DCF usa un capex que incluye las altas de derechos de uso. Con los compromisos con Boeing (8.114 M en 2027 y 7.862 M en 2028) [1], la inversión total en flota de 2027-2030 será de ≈ 15-18 % de las ventas (estimación propia), frente a una amortización de ≈ 12 %. En 2021 el XBRL clasifica 377,7 M como dividendos pagados, aunque a los accionistas no se les pagó dividendo hasta agosto de 2025 [1, 7]. Las «recompras» de 2025 son la recompra de los bonos perpetuos convertibles (900 M) y 48 M de acciones propias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(informe de auditoría de 2025 incluido en el informe anual, sin salvedades mencionadas en las notas)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Tres asuntos de juicio contable mueven el resultado. Primero, las plusvalías por comprar aviones que la empresa tenía en arrendamiento se apuntan como menor amortización (858 M en 2025, 95 M en 2026), lo que infla el EBIT y el coste unitario «limpio» si no se ajustan [1, 2]. Segundo, los impuestos: el gasto fiscal fue del 10 % en 2025 y del 0 % en 2024 porque Norwegian reconoce créditos fiscales por pérdidas pasadas por tramos (1.579 M activados y 526 M sin reconocer) [1]; el beneficio normalizado al 22 % es menor. Tercero, la cobertura de combustible pasa por patrimonio: el patrimonio cayó 2.412 M en el 2T26 por la valoración de las coberturas y el dividendo [8]. Las «otras pérdidas (ganancias)» por cambio de divisa son grandes y cambian de signo cada año (+291 M en 2024, −409 M en 2025) [1]. Los indicadores del motor deben leerse con cuidado: el patrimonio arrastra pérdidas acumuladas de la reconstrucción (reservas de −18.892 M), lo que hunde el Altman Z sin que haya hoy riesgo de liquidez (13.700 M de liquidez) [1,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Plusvalías por compra de aviones arrendados dentro de la amortización (858 M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Suben el EBIT de 2025 un 30 %; no se repiten al mismo nivel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del 0-10 % por créditos fiscales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Quedan 526 M de créditos sin reconocer; a medio plazo el tipo vuelve al 22 %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Pérdida del pleito del EU ETS de 2020 (733 M en el 2T26)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Asunto heredado de la reconstrucción, cerrado por el Tribunal Supremo el 25-jun-2026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16.618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213 M en 2025 (el 1 % del capital invertido medio); ha subido más de un 5 % en 0 de 1 años: sin compras. ROIC publicado 18,0 %; sin fondo de comercio, 18,2 %. Sin compras relevantes: el publicado ya es el ROIC del negocio.</w:t>
      </w:r>
    </w:p>
    <w:p>
      <w:pPr>
        <w:spacing w:after="100"/>
      </w:pPr>
      <w:r>
        <w:rPr>
          <w:b/>
          <w:bCs/>
        </w:rPr>
        <w:t xml:space="preserve">ROIC incremental</w:t>
      </w:r>
      <w:r>
        <w:t xml:space="preserve"> (variación del NOPAT sobre variación del capital invertido en el periodo): 55,7 % · </w:t>
      </w:r>
      <w:r>
        <w:rPr>
          <w:b/>
          <w:bCs/>
        </w:rPr>
        <w:t xml:space="preserve">WACC</w:t>
      </w:r>
      <w:r>
        <w:t xml:space="preserve">: 9,1 %.</w:t>
      </w:r>
    </w:p>
    <w:p>
      <w:pPr>
        <w:spacing w:after="100"/>
      </w:pPr>
      <w:r>
        <w:t xml:space="preserve">Norwegian ganó más que su coste de capital en 2022-2025: ROIC del 25 % en 2022 y 2023 y del 18 % en 2024 y 2025, frente a un WACC del 9,06 % (8,9 puntos en 2025) [1, 7]. Pero es un ROIC de ciclo alto y sobre un capital pequeño: el motor no cuenta los derechos de uso de los aviones alquilados como capital al mismo nivel que la deuda que los financia, y el NOPAT de 2025 lleva 858 M de ganancias por comprar aviones que tenía arrendados (sin ellas, ≈ 13 %). En 2021 el ROIC fue del −71 % y con nuestro 2026e (EBIT de 818 M) será de ≈ 4 %, por debajo del WACC. El ROE de 2025 (36 %) está inflado por un patrimonio que aún arrastra las pérdidas de 2019-2021 (reservas de −18.055 M). La calidad mide el ciclo, no un foso.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5.264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8.995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11.041 M + inversiones financieras 2.659 M (1.532 M de depósito para el bono de reclamaciones retenidas que vencía el 30-sep-2026 y 1.127 M en fondos de renta fija) = 13.700 M a 30-jun-2026; incluye 8.621 M de billetes cobrados por adelantado (estacional)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(la deuda es financiación de aviones con garantía de agencias de crédito a la exportación y un préstamo a plazo)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Pasivos que no son deuda pero pesan: provisión de mantenimiento periódico de 4.077 M a cierre de 2025 (devoluciones de aviones arrendados) [1]; obligaciones por pensiones de 418 M [1]; billetes cobrados por adelantado de 4.396 M a diciembre y 8.621 M a junio, que se consumen en el 2S [2]; la obligación de entregar 372.818 derechos de emisión de 2020 tras perder el pleito del EU ETS (pérdida de 733 M en el 2T26; la multa de ≈ 400 M ya se pagó en 2023) [2]. Compromisos de compra de aviones de 45.062 M (78 Boeing 737 MAX 8 hasta 2031: 3.838 M en 2026, 8.114 M en 2027, 7.862 M en 2028, 6.249 M en 2029, 11.843 M en 2030 y 7.156 M después) [1]. Covenants solo en la financiación de Widerøe (capital ≥ 20 %, deuda neta/EBITDAR &lt; 2,4), cumplidos [1]. La compra de NLTG añade un pago en caja de 3.500 M SEK, financiado con caja, un bono nuevo y otras fuentes [10].</w:t>
      </w:r>
    </w:p>
    <w:p>
      <w:pPr>
        <w:pStyle w:val="Heading1"/>
      </w:pPr>
      <w:r>
        <w:t xml:space="preserve">12. Asignación de capital</w:t>
      </w:r>
    </w:p>
    <w:p>
      <w:pPr>
        <w:pStyle w:val="Confianza"/>
        <w:spacing w:after="100"/>
      </w:pPr>
      <w:r>
        <w:t xml:space="preserve">Confianza: Media</w:t>
      </w:r>
    </w:p>
    <w:p>
      <w:pPr>
        <w:spacing w:after="100"/>
      </w:pPr>
      <w:r>
        <w:t xml:space="preserve">Los dividendos no se pagan si el patrimonio no es adecuado [1]. Tras liberar el bono cupón cero en julio de 2025, Norwegian pagó su primer dividendo (0,90 NOK por acción en agosto de 2025, con el fondo de dividendos de 2022 y 2023) y propuso 0,80 NOK por 2025 (844 M, un 31 % del beneficio), pagado en mayo de 2026 [1, 11]. El dividendo de 2024 (0,60 NOK) se destinó a recomprar los bonos perpetuos convertibles en mayo de 2025 [1]. Hace recompras pequeñas para los planes de empleados (3 M de acciones en noviembre de 2025 y 2 M en marzo de 2026) [14]. La prioridad de la caja es la flota: 78 Boeing 737 MAX 8 pendientes hasta 2031 (45.062 M de compromisos) [1, 12] y, desde junio de 2026, el pago en caja de NLTG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Widerøe AS (aerolínea regional noruega, 48 aviones)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Bueno: aportó 524 M de beneficio neto en 2025 y 585 M de EBIT; precio de 1.020 M, menos de dos veces el beneficio de un año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Nordic Leisure Travel Group (Ving, Spies, Tjäreborg, Globetrotter, Sunclass; 26 hoteles)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3.500 M SEK en caja + 300 M de acciones nuevas (≈ 28 % de dilución)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cierre (aprobación de competencia de la UE; previsto en el 4T26). EV/EBITDA SGAAP de 6,6x con los datos de la empresa [10, 15].</w:t>
            </w:r>
          </w:p>
        </w:tc>
      </w:tr>
    </w:tbl>
    <w:p>
      <w:pPr>
        <w:spacing w:after="160" w:before="0"/>
      </w:pPr>
    </w:p>
    <w:p>
      <w:pPr>
        <w:spacing w:after="100"/>
      </w:pPr>
      <w:r>
        <w:t xml:space="preserve">La dirección ha asignado bien el capital desde 2021: compró Widerøe por 1.020 M y ha devuelto valor con la recompra de los convertibles y dos dividendos [1]. La compra de aviones arrendados en 2025 ahorra ≈ 200 M al año [1]. Dos decisiones elevan el riesgo: el pedido ampliado a 80 MAX (45.062 M de compromisos, más de cuatro veces la capitalización) y NLTG, pagada con un 28 % de acciones nuevas emitidas a 14,95 NOK de referencia cuando la acción cotiza hoy a 11,05 NOK [10, 12]. La dilución histórica es enorme (de 2,5 M a 1.055 M de acciones en la reconstrucción) [7].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Geir Karlsen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2018 y consejero delegado interino en 2018-19; llevó la reconstrucción de 2020-21 y la vuelta a beneficios (EBIT récord de 3.732 M en 2025). Antes, director financiero de Navig8, Golden Ocean y Songa Offshore [1]. 651.478 acciones y 3,8 M de opciones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Hans-Jørgen Wibstad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(sale el 31-oct-2026)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director financiero de Multiconsult y Kongsberg Gruppen. Deja la empresa para volver a Multiconsult; le sustituye de forma interina Gjermund Aasen, responsable de finanzas corporativas y flota [1,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Dag Mejdell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consejero delegado de Dyno Nobel y de Posten Norge; presidente de Norsk Hydro, Vygruppen y vicepresidente de SAS. Elegido presidente en la junta extraordinaria de noviembre de 2025 y reelegido en mayo de 2026 [1, 25, 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Jeanette Bø-Alnes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rendimiento (Chief Performance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del programa X de eficiencias; antes, control interno de Norwegian, Frontline y EY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Knut Olav Irgens Høeg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TI y servicios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 la dirección; vendió 54.371 acciones en julio de 2025 al ejercer opciones [34].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mejor que 2023 tras la compra de Widerøe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1.873 M frente a 2.232 M en 2023, con huelga de pilotos y rebaja de la guía por la divisa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unitario sin combustible estable; crecimiento de capacidad ≈ 3 %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récord de 3.732 M (9,9 %); coste unitario sin combustible ajustado de 0,52 NOK</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de Norwegian +3 %, Widerøe +4 % (luego +2 %); coste unitario sin combustible: subida de un dígito bajo, mejorada a plano en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capacidad 3T +5 %; coste unitario del 2T −5 %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con credibilidad en costes y en balance: Karlsen sacó a la empresa de la reconstrucción y ha cumplido la guía de coste unitario [1, 11]. Dos señales de inestabilidad en 2026: la salida del director financiero el 31-oct-2026, a tres semanas de los resultados del 3T y en plena integración de NLTG [29], y la dimisión del consejero Daniel Skjeldam en julio [30]. No hay plan de sucesión publicado para el consejero delegado, que lleva ocho años en la cúpula. Los consejeros compraron acciones en octubre de 2025 y en julio de 2026, tras la caída [28].</w:t>
      </w:r>
    </w:p>
    <w:p>
      <w:pPr>
        <w:pStyle w:val="Heading1"/>
      </w:pPr>
      <w:r>
        <w:t xml:space="preserve">14. Gobierno corporativo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Dag Mejdell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Karina Deacon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Kavanagh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Sofia Arhall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Katrine Gundersen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Torstein Hiorth Soland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Trond Moe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57 %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Límite legal, no estatutario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(informe de auditoría de 2025 incluido en el informe anual, sin salvedades mencionadas en las notas)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2,00 / ventas 1,00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Geveran Trading Company (John Fredriksen)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de referencia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Apoya la compra de NLTG; tras el cierre bajará a ≈ 10,4 % [2, 27].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Folketrygdfondet (fondo público noruego)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Fondos de DNB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el 28-sep-2026 tras vender 2,1 M de acciones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Goldman Sachs Group (acciones y préstamo de valores)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Intermediario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6,13 % al 4,84 % el 25-sep-2026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Strawberry Equities (Petter Stordalen), Altor y TDR Capital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Futuros accionistas (vendedores de NLTG)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Recibirán 300 M de acciones al cierre (22,2 % del capital ampliado), con un bloqueo de 180 días [4, 10 de 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4.328.636 acciones tras la recompra de marzo de 2026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consejeros (Deacon, Kavanagh, Skjeldam, Arhall)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Dag Mejdell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Mejdell, Deacon y Kavanagh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Sofia Arhall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jul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Knut Olav Irgens Høeg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54.371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 mayo de 2026 aprobó el informe de remuneraciones con solo un 68,91 % a favor y un 31,09 % en contra, un voto en contra muy alto [25]. La remuneración de la dirección y el consejo sumó 59 M NOK en 2025 frente a 41 M en 2024 (+44 %, con el beneficio récord) [1]. El variable a largo plazo son opciones sobre acciones (el consejero delegado tiene 3,8 M; en junio de 2026 el consejo prorrogó 250.000 que vencían, a un precio de ejercicio de 8,40 NOK) [33]: premian la cotización, no el ROIC ni la caja. La prórroga de opciones vencidas es una mala práctica para el minoritario. El sueldo base del consejero delegado al nombrarle fue de 4,5 M NOK [35]; la cifra total de 2025 está en el informe de remuneraciones, que no se ha podido abrir.</w:t>
      </w:r>
    </w:p>
    <w:p>
      <w:pPr>
        <w:pStyle w:val="Heading2"/>
      </w:pPr>
      <w:r>
        <w:t xml:space="preserve">Operaciones vinculadas, estructura de control y defensas</w:t>
      </w:r>
    </w:p>
    <w:p>
      <w:pPr>
        <w:spacing w:after="100"/>
      </w:pPr>
      <w:r>
        <w:t xml:space="preserve">No hay accionista de control: el mayor es Geveran (Fredriksen) con el 13,3 % y el segundo el fondo público Folketrygdfondet con el 9,4 % [2]. La ley noruega de aviación limita la propiedad extranjera de las aerolíneas para mantener las licencias (límite legal, no estatutario) [1]. Con NLTG entran Strawberry (Stordalen), Altor y TDR con el 22 % entre los tres; Strawberry ya es socia de Norwegian en Spenn, la sociedad conjunta de fidelidad, por lo que hay operaciones con partes vinculadas en el futuro [1, 27]. La junta de mayo de 2026 autorizó ampliaciones de capital con un 22,45 % en contra [25].</w:t>
      </w:r>
    </w:p>
    <w:p>
      <w:pPr>
        <w:pStyle w:val="Heading2"/>
      </w:pPr>
      <w:r>
        <w:t xml:space="preserve">Señales de alerta</w:t>
      </w:r>
    </w:p>
    <w:p>
      <w:pPr>
        <w:pStyle w:val="ListParagraph"/>
        <w:numPr>
          <w:ilvl w:val="0"/>
          <w:numId w:val="2"/>
        </w:numPr>
        <w:spacing w:after="60"/>
      </w:pPr>
      <w:r>
        <w:t xml:space="preserve">Salida del director financiero el 31-oct-2026, con un sustituto interino [29].</w:t>
      </w:r>
    </w:p>
    <w:p>
      <w:pPr>
        <w:pStyle w:val="ListParagraph"/>
        <w:numPr>
          <w:ilvl w:val="0"/>
          <w:numId w:val="2"/>
        </w:numPr>
        <w:spacing w:after="60"/>
      </w:pPr>
      <w:r>
        <w:t xml:space="preserve">Voto en contra del 31,09 % al informe de remuneraciones de 2026 [25].</w:t>
      </w:r>
    </w:p>
    <w:p>
      <w:pPr>
        <w:pStyle w:val="ListParagraph"/>
        <w:numPr>
          <w:ilvl w:val="0"/>
          <w:numId w:val="2"/>
        </w:numPr>
        <w:spacing w:after="60"/>
      </w:pPr>
      <w:r>
        <w:t xml:space="preserve">Prórroga de 250.000 opciones del consejero delegado que vencían en junio de 2026 [33].</w:t>
      </w:r>
    </w:p>
    <w:p>
      <w:pPr>
        <w:pStyle w:val="ListParagraph"/>
        <w:numPr>
          <w:ilvl w:val="0"/>
          <w:numId w:val="2"/>
        </w:numPr>
        <w:spacing w:after="60"/>
      </w:pPr>
      <w:r>
        <w:t xml:space="preserve">Dimisión del consejero Daniel Skjeldam en julio de 2026 [30].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(confirmada el 14-jul-2026): capacidad de Norwegian +5 % en el 3T y ≈ +3 % en el año; Widerøe ≈ +2 %; coste unitario subyacente sin combustible de Norwegian plano frente a 2025 con los tipos de cambio actuales (antes, subida de un dígito bajo); programa X con mejoras recurrentes de más de 1.250 M al cierre de 2026 [2]. No da guía de beneficio. NLTG: «acreditiva para el BPA ya en 2027» y +2 puntos de margen operativo en NLTG en 2027 [42]. Plan a medio plazo: no publicado.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 analistas [37]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[37]; Yahoo: 1,67 (4 analistas; 2,05 hace 90 días) [39]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[37] (2028 parece incluir NLTG: beneficio 2.633 M ÷ 2,12 = 1.243 M de acciones)</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38.964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39.103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46.606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9.501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11,50 – 17,50</w:t>
            </w:r>
          </w:p>
        </w:tc>
      </w:tr>
    </w:tbl>
    <w:p>
      <w:pPr>
        <w:spacing w:after="160" w:before="0"/>
      </w:pPr>
    </w:p>
    <w:p>
      <w:pPr>
        <w:pStyle w:val="Heading2"/>
      </w:pPr>
      <w:r>
        <w:t xml:space="preserve">Revisiones de estimaciones</w:t>
      </w:r>
    </w:p>
    <w:p>
      <w:pPr>
        <w:spacing w:after="100"/>
      </w:pPr>
      <w:r>
        <w:t xml:space="preserve">Recortes fuertes en tres meses: el BPA de 2026 del consenso de Yahoo pasó de 1,19 a 0,92 NOK y el de 2027 de 2,05 a 1,67 (−19 %) [39]. En octubre de 2026 Barclays bajó a «igual que el mercado» con objetivo de 11,50 NOK (desde 20), SB1 Markets recortó a 12 (desde 16), Pareto a 16 (desde 18) y Danske a 13 (desde 14) [38, 44]. Causas: el queroseno vuelve a 190 USD/barril con poca cobertura para 2027, la salida del director financiero y la dilución de NLTG [38]. Solo una fuente da estimaciones completas (MarketScreener); Yahoo sirve de contraste del BPA y del objetivo medio (14 NOK, 6 analistas) [37, 39].</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bl>
    <w:p>
      <w:pPr>
        <w:spacing w:after="160" w:before="0"/>
      </w:pPr>
    </w:p>
    <w:p>
      <w:pPr>
        <w:spacing w:after="100"/>
      </w:pPr>
      <w:r>
        <w:t xml:space="preserve">La acción subió de 7,34 NOK a cierre de 2022 a 17,45 a cierre de 2025 (+138 %) con la vuelta a beneficios, la compra de Widerøe y el primer dividendo [36]. En 2026 pierde un 33 % frente al +24,5 % del OSEBX (empujado por el petróleo, que perjudica a Norwegian) y al +0,4 % del ETF europeo de viajes y ocio [36]. La caída tiene tres fases: marzo (−14 %, guerra con Irán y queroseno a 215 USD/barril), junio-julio (−23 %, compra de NLTG con 300 M de acciones nuevas, pérdida del pleito del ETS y pérdida del 2T peor de lo esperado) y octubre (−9,5 %, queroseno de nuevo a 190 USD y rebajas de analistas) [36, 38, 48]. La beta frente al OSEBX (0,23 mensual a 5 años) no sirve: el índice sube con el petróleo y la aerolínea baja [36].</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 -12,7 % / -21,6 % / -34,4 %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-39,0 % / +1,3 %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3T25 récord (EBIT de 3.071 M) y compras de consejeros en octubre y noviembre [5,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Guerra con Irán y cierre de Ormuz: el queroseno llegó a 215 USD/barril [19]; el 12-mar Norwegian perdió en apelación el pleito del EU ETS de 2020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1T26 mejores de lo esperado (EBIT de −220 M frente a −611 M) y queroseno más bajo: +24,6 % en 21 sesiones hasta el 29-may [3,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NLTG con 300 M de acciones nuevas (dilución), Danske a Vender el 3-jun (−10,9 % ese día) y el Tribunal Supremo no admite el recurso del ETS [10, 21,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del 2T26 peor de lo esperado (EBIT de −603 M con 733 M del ETS y combustible +33 %) y rebaja de Nordea: −21,9 % en 21 sesiones hasta el 23-jul [2, 38, 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Queroseno de nuevo a 190 USD/barril, dimisión del director financiero el 8-oct y rebajas de Barclays, SB1, Pareto y Danske [17, 29, 38, 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[46]. El trimestre fuerte, con el queroseno caro y la mitad cubierta. Pueden mover el precio más de un 5 %, pero unos resultados cercanos no aplazan una decisión (reglas 11 y 13 del método); nuestro 2026e ya supone un 2S un 20 % por debajo del de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operación corporativa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Aprobado el folleto de las 300 M de acciones de contraprestación de NLTG; cierre previsto al final del 4T26 [47]. Ya está en el BPA a 12 meses (1.351,5 M de acciones).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Barclays baja a «igual que el mercado» con objetivo de 11,5 NOK; SB1 (12), Danske (13) y Pareto (16) también recortan [38, 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Dimite el director financiero, Hans-Jørgen Wibstad, que vuelve a Multiconsult; le sustituye de forma interina Gjermund Aasen [29]. No hay indicio de problema contable (auditor PwC sin salvedades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Goldman Sachs y DNB Asset Management cruzan umbrales de participación [32]; posiciones cortas del 1,12 % [45].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2T26: EBIT de −603 M con la pérdida de 733 M por el ETS de 2020 y el combustible +33 %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del 39 % desde el máximo tiene causas conocidas y publicadas: el queroseno disparado por el cierre de Ormuz, la multa del EU ETS, la dilución de NLTG, un 2T26 malo, la dimisión del director financiero y las rebajas de los analistas. Todas están en este informe, hecho después. Los resultados del 3T26 (28-oct) no aplazan según el método. El fin del bloqueo de las acciones de NLTG (≈ junio de 2027) es un riesgo de oferta de acciones lejano, recogido en los riesgos.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 cada año de Yahoo [36]. Se excluyen 2021 (EBITDA negativo y BPA con ganancias de la reconstrucción) y 2022 (BPA inflado por la reversión de 2.099 M del deterioro de anticipos de aviones). En 2023-2025 la acción cotizó a 4-7 veces el beneficio del año: el mercado nunca ha pagado más por una aerolínea que se reestructuró dos veces en diez años. El múltiplo de hoy sobre el beneficio de 2026 es alto porque 2026 es un año de valle (combustible y multa del ETS), no porque la acción esté cara.</w:t>
      </w:r>
    </w:p>
    <w:p>
      <w:pPr>
        <w:pStyle w:val="Heading1"/>
      </w:pPr>
      <w:r>
        <w:t xml:space="preserve">18. Comparables cotizados</w:t>
      </w:r>
    </w:p>
    <w:p>
      <w:pPr>
        <w:pStyle w:val="Confianza"/>
        <w:spacing w:after="100"/>
      </w:pPr>
      <w:r>
        <w:t xml:space="preserve">Confianza: Media</w:t>
      </w:r>
    </w:p>
    <w:p>
      <w:pPr>
        <w:spacing w:after="100"/>
      </w:pPr>
      <w:r>
        <w:t xml:space="preserve">Aerolíneas europeas cotizadas de corto y medio radio con negocio de ocio: cuatro de bajo coste (Ryanair, easyJet, Wizz Air, Jet2) y cuatro de red (IAG, Lufthansa, Air France-KLM, Finnair, esta última nórdica). SAS no cotiza. Cifras de Yahoo a 19-oct-2026 en coronas con EURNOK 10,56 y GBPNOK 12,54 [39]. El PER de los próximos 12 meses pondera los dos ejercicios estimados por los meses que caen en el periodo; Wizz Air está en pérdidas y no tiene PER. El EV/EBITDA es de los últimos 12 meses de Yahoo, con definiciones que no siempre coinciden (NIIF 16 en todas)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Norwegian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Ryanair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easyJet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Wizz Air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221.659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Lufthansa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France-KLM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Jet2</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Finnair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 / 4,3x / 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 / 8,6x / 13,3x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38.087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 / 0,4x / 0,8x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aerolíneas europeas cotizan a 6-18 veces el BPA de los próximos 12 meses (mediana 8,6x): las de bajo coste con balance fuerte (Ryanair 13,5x, easyJet 18,3x) muy por encima de las de red (IAG 6,8x, Lufthansa 6,1x, Air France-KLM 2,5x) [39]. Norwegian, a 7,5x el BPA de consenso de los próximos 12 meses y a 2,8 veces el EBITDA (EBITDAR) de los últimos 12, cotiza como una aerolínea de red, no como una de bajo coste: el mercado le cobra el historial de dos reestructuraciones, el tamaño, la exposición al combustible sin cubrir y la competencia de SAS y Ryanair en sus mercados. Wizz Air no tiene PER (pérdidas) y su EV/EBITDA de 28,5x es atípico. Sobre nuestro BPA de 2027e, Norwegian cotiza a 11,9x, por encima de la mediana: el descuento solo existe si el beneficio vuelve a 2028e.</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Nordic Leisure Travel Group (Ving, Spies, Tjäreborg)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Norwegian Air Shuttle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7.940 M SEK (3.500 M en caja y 300 M de acciones a 14,95 NOK) menos caja neta de ≈ 1.233 M SEK; EBITDA ajustado SGAAP de 1.024 M SEK y ventas de 16.995 M SEK a mar-26 [42]; SEKNOK 0,95 [39].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Widerøe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Norwegian Air Shuttle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1.020 M en caja más 1.108 M de deuda asumida (sin arrendamientos) sobre 7.241 M de ventas de 2024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Hawaiian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Alaska Air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USD por acción frente a 4,86 de cierre (+270 %); valor de la operación ≈ 1.900 M USD con 900 M de deuda neta; EBITDA negativo, sin múltiplo [43].</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rara vez publican múltiplos: las aerolíneas se compran por red, franjas y escala, y a menudo en pérdidas (Hawaiian). Las dos de la propia Norwegian salieron baratas: Widerøe a 0,29 veces las ventas y NLTG a 6,6 veces el EBITDA [1, 42]. Norwegian no es un objetivo probable: la ley noruega de aviación limita la propiedad extranjera y Air France-KLM ya controla SAS [1 de C]. Las transacciones no pesan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pasaron de 5.068 M en 2021 (covid) a 37.646 M en 2025 [1, 7], con la reapertura y la compra de Widerøe (≈ 7.200 M al año desde 2024). Eso no se repite: en 2025 crecieron un 6,6 % y en el 1S26 un 2,5 % [2]. Proyectamos un 3,5 % en 2026e (2S con más asientos y rendimiento casi plano [8]), un 5 % en 2027e-2028e (llegan los Boeing 737 MAX 8 pedidos: 78 aviones hasta 2031 [12]; volumen +3 % y precio +1,5-2 %, porque la oferta europea sigue corta por los retrasos de Boeing y Airbus y el combustible caro hay que pasarlo a la tarifa) y bajando al 2,5 % en 2033e. Sin NLTG.</w:t>
      </w:r>
    </w:p>
    <w:p>
      <w:pPr>
        <w:keepNext/>
        <w:spacing w:after="100"/>
      </w:pPr>
      <w:r>
        <w:rPr>
          <w:b/>
          <w:bCs/>
        </w:rPr>
        <w:t xml:space="preserve">Márgenes.</w:t>
      </w:r>
    </w:p>
    <w:p>
      <w:pPr>
        <w:spacing w:after="100"/>
      </w:pPr>
      <w:r>
        <w:t xml:space="preserve">El margen EBITDA fue del 22,5 % en 2023, del 19,6 % en 2024 y del 20,9 % en 2025 (con 858 M de ganancias por comprar aviones arrendados en la amortización, no en el EBITDA) [1, 7], y del 17,5 % en los 12 meses a jun-26. Por qué baja en 2026: el queroseno subió con el cierre de Ormuz (≈ 190-215 USD/barril en 2026 frente a ≈ 90 en 2025) [17, 18, 19] con la mitad cubierta a 760 USD/t [9], y en el 2T26 se apuntó una pérdida de 733 M por el EU ETS de 2020 tras perder el recurso en el Tribunal Supremo [2, 21]. Proyectamos un 14,4 % en 2026e (1S publicado y un 2S un 20 % por debajo del de 2025), 17 % en 2027e, 18,5 % en 2028e y 19 % después: la media de 2023-2025 menos un punto. En una cíclica no proyectamos el pico: el combustible es el 25 % de los costes y la mejora de 2023-2025 vino en parte de una corona débil que encarecía a los rivales.</w:t>
      </w:r>
    </w:p>
    <w:p>
      <w:pPr>
        <w:keepNext/>
        <w:spacing w:after="100"/>
      </w:pPr>
      <w:r>
        <w:rPr>
          <w:b/>
          <w:bCs/>
        </w:rPr>
        <w:t xml:space="preserve">Inversión y circulante.</w:t>
      </w:r>
    </w:p>
    <w:p>
      <w:pPr>
        <w:spacing w:after="100"/>
      </w:pPr>
      <w:r>
        <w:t xml:space="preserve">Con la NIIF 16 una aerolínea «invierte» de dos maneras: compra aviones con caja y deuda y los alquila (derecho de uso). El capex de la proyección incluye las dos: 14 % de las ventas en 2026e, 18 % en 2027e y 17 % en 2028e, cuando llegan más MAX (compromisos con Boeing de 3.838 M en 2026, 8.114 M en 2027 y 7.862 M en 2028 [1]), y 12,5-15 % después. La amortización (de aviones propios y de derechos de uso) es del 12 % de las ventas (13,3 % en 2025 sin esas ganancias). El circulante es negativo (−5 % de las ventas): los billetes se cobran antes de volar.</w:t>
      </w:r>
    </w:p>
    <w:p>
      <w:pPr>
        <w:keepNext/>
        <w:spacing w:after="100"/>
      </w:pPr>
      <w:r>
        <w:rPr>
          <w:b/>
          <w:bCs/>
        </w:rPr>
        <w:t xml:space="preserve">Coste del capital.</w:t>
      </w:r>
    </w:p>
    <w:p>
      <w:pPr>
        <w:spacing w:after="100"/>
      </w:pPr>
      <w:r>
        <w:t xml:space="preserve">Todo en NOK: bono noruego a 10 años del 4,54 % (16-oct-2026) [40]. Beta de 1,2: la de la acción frente al OSEBX es de 0,23 y no sirve (el índice es de petróleo y bancos); usamos la de las aerolíneas europeas, de 1,1-1,4. Prima de mercado del 5,5 % y prima adicional de 1,5 puntos: dos reestructuraciones en diez años, exposición al queroseno y tamaño. Coste de la deuda del 6 % y un 45 % de deuda (con arrendamientos, a valor de mercado): WACC del 9,06 %.</w:t>
      </w:r>
    </w:p>
    <w:p>
      <w:pPr>
        <w:keepNext/>
        <w:spacing w:after="100"/>
      </w:pPr>
      <w:r>
        <w:rPr>
          <w:b/>
          <w:bCs/>
        </w:rPr>
        <w:t xml:space="preserve">Valor terminal.</w:t>
      </w:r>
    </w:p>
    <w:p>
      <w:pPr>
        <w:spacing w:after="100"/>
      </w:pPr>
      <w:r>
        <w:t xml:space="preserve">Crecimiento a perpetuidad del 2,0 %, por debajo del bono noruego (4,54 %): tráfico maduro en los Nórdicos. El valor terminal pesa el 78 % del valor y el múltiplo implícito es de 3,9 veces el EBITDA (EBITDAR), en línea con IAG (3,6x) y por debajo de Ryanair (6,2x) [39].</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30,56</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8.276 M (47 %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 (ROIC 18,0 %)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65,1 % frente al 3,9 %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 (histórico: 55,7 %)</w:t>
            </w:r>
          </w:p>
        </w:tc>
      </w:tr>
    </w:tbl>
    <w:p>
      <w:pPr>
        <w:spacing w:after="160" w:before="0"/>
      </w:pPr>
    </w:p>
    <w:p>
      <w:pPr>
        <w:spacing w:after="100"/>
      </w:pPr>
      <w:r>
        <w:t xml:space="preserve">La proyección reinvierte el 47 % del NOPAT. Con el ROIC del último ejercicio (18,0 %), eso financia un crecimiento del 8,4 % anual, frente al 3,9 % de ingresos proyectado. Supone que el capital nuevo rinde un -2,4 %, frente a un ROIC incremental histórico del 55,7 %.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+3 % (asientos de Norwegian y Widerøe; ocupación récord en el 1T [3]) y precio del +0,5 % (rendimiento casi plano en las reservas del verano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+3 % con los primeros MAX del pedido y precio del +2 %: hay que trasladar el queroseno caro y la oferta europea sigue corta.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+3,5 % (más MAX) y precio del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+3 % y precio del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+2,5 % y precio del +1,5 %. Ventas de 46.686 M. Sin mercado final en dinero: Norwegian lleva ≈ 2,5 % de los pasajeros de la UE [16] y en 2030 seguiría con una cuota parecida, porque crece al ritmo del mercado nórdico y europeo (3-4 %).</w:t>
            </w:r>
          </w:p>
        </w:tc>
      </w:tr>
    </w:tbl>
    <w:p>
      <w:pPr>
        <w:spacing w:after="160" w:before="0"/>
      </w:pPr>
    </w:p>
    <w:p>
      <w:pPr>
        <w:spacing w:after="100"/>
      </w:pPr>
      <w:r>
        <w:t xml:space="preserve">En parte. Las pruebas numéricas pasan: el crecimiento proyectado (3,9 % anual) es una fracción del histórico (que viene de la reapertura tras el covid) y la reinversión (47 % del NOPAT) lo financia con el ROIC de 2025 (18 %). Pero no hay foso: Norwegian vende un producto sin diferencias (asiento de bajo coste) en un mercado donde Ryanair tiene costes más bajos y SAS, ahora dentro de Air France-KLM, más red [1, 16]. Su margen depende del combustible, de la corona y de la disciplina de oferta de los rivales, no de su poder de precios. Su ROIC se ha movido entre el −71 % (2021) y el 26 % (2023) y será de ≈ 4 % en 2026e. Por eso el veredicto no es «Sí»: el base supone un margen de ciclo medio, no uno defendible.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(base: 3,9 %)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17,9 % (base: 19,0 %)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 (WACC: 9,1 %)</w:t>
            </w:r>
          </w:p>
        </w:tc>
      </w:tr>
    </w:tbl>
    <w:p>
      <w:pPr>
        <w:spacing w:after="160" w:before="0"/>
      </w:pPr>
    </w:p>
    <w:p>
      <w:pPr>
        <w:spacing w:after="100"/>
      </w:pPr>
      <w:r>
        <w:t xml:space="preserve">El DCF da 16,11 NOK por acción, un 46 % sobre el precio, con el valor terminal en el 78 % del valor. El precio de 11,05 NOK equivale a un margen EBITDA del 17,9 % para siempre (base 19 %, 2025 20,9 %) o a que las ventas crezcan un 1 % al año desde 2027 (base 3,9 %); la rentabilidad implícita es del 10,5 % anual frente a un WACC del 9,06 %. El margen es la palanca: con un punto menos en toda la proyección el valor baja a 11,42 NOK (el precio); con dos puntos menos, a 6,73. Con un punto más de WACC, a 12,4. El mercado descuenta que el margen de 2023-2025 era de pico y que el de 2026 (14 %) no es solo un bache. Nosotros creemos que el margen de ciclo medio está en el 18-19 %, pero el margen de seguridad es estrecho: un punto.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queroseno sigue por encima de 150 USD/barril en 2027 y las tarifas no lo trasladan; la demanda nórdica se enfría. Un punto menos de crecimiento y margen EBITDA del 17 % en régimen (2 puntos menos), crecimiento terminal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combustible se normaliza poco a poco en 2027, las tarifas suben un 1,5-2 % al año y llegan los MAX: margen EBITDA del 19 % desde 2029 (uno menos que la media de 2023-2025).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Queroseno a 90-100 USD/barril en 2027, oferta europea corta por los retrasos de Boeing y Airbus y SAS perdiendo cuota: un punto más de crecimiento y margen del 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NOK) · precio actual 11,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16,18 NOK (+46,4 %).</w:t>
      </w:r>
    </w:p>
    <w:p>
      <w:pPr>
        <w:spacing w:after="100"/>
      </w:pPr>
      <w:r>
        <w:t xml:space="preserve">En el DCF el bajista (4,56 NOK) pierde un 59 % y el alcista (27,95 NOK) gana un 153 %: con la deuda de arrendamientos, cada punto de margen mueve el valor un 29 %. A 12 meses, con el PER propio, el bajista pierde un 51 % y el alcista gana un 82 %. Es una apuesta apalancada al margen y al queroseno, no a la calidad.</w:t>
      </w:r>
    </w:p>
    <w:p>
      <w:pPr>
        <w:pStyle w:val="Heading1"/>
      </w:pPr>
      <w:r>
        <w:t xml:space="preserve">22. Suma de partes</w:t>
      </w:r>
    </w:p>
    <w:p>
      <w:pPr>
        <w:pStyle w:val="Confianza"/>
        <w:spacing w:after="100"/>
      </w:pPr>
      <w:r>
        <w:t xml:space="preserve">Confianza: Media</w:t>
      </w:r>
    </w:p>
    <w:p>
      <w:pPr>
        <w:spacing w:after="100"/>
      </w:pPr>
      <w:r>
        <w:t xml:space="preserve">No la hacemos: Norwegian publica el EBIT de sus dos segmentos (Norwegian y Widerøe) [1], pero los dos son aerolíneas y se valoran igual; NLTG (turoperador) entra en el 4T26 y aún no tiene cuentas dentro del grupo.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NOK) · precio actual 11,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15,44 NOK (+39,7 % sobre 11,05).</w:t>
      </w:r>
    </w:p>
    <w:p>
      <w:pPr>
        <w:spacing w:after="100"/>
      </w:pPr>
      <w:r>
        <w:t xml:space="preserve">Pesamos el DCF un 50 %, los escenarios un 30 % y los comparables (PER de los próximos 12 meses) un 20 %. El DCF manda porque el flujo de una aerolínea se puede medir a lo largo del ciclo, pero el valor terminal es el 78 % del valor y el capital es pequeño frente a la deuda con arrendamientos (12.779 M): un punto de margen EBITDA mueve el valor un 29 % (de 16,1 a 11,4 o 20,8 NOK). El DCF da 16,11 NOK; los escenarios van de 4,56 (bajista) a 27,95 NOK (alcista); los comparables europeos dan 12,66 NOK por PER. El valor intrínseco ponderado es de 15,44 NOK, un 40 % sobre el precio. No usamos EV/EBITDA ni EV/Ventas para el valor: los comparables mezclan aerolíneas con y sin aviones en propiedad y con años fiscales distintos, y su EBITDA de los últimos 12 meses está en otro punto del ciclo. Las transacciones (NLTG a 6,6 veces el EBITDA, Widerøe a 0,29 veces las ventas) son de negocios distintos y no se usan para el valor.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+82,1 %</w:t>
            </w:r>
          </w:p>
        </w:tc>
      </w:tr>
    </w:tbl>
    <w:p>
      <w:pPr>
        <w:spacing w:after="160" w:before="0"/>
      </w:pPr>
    </w:p>
    <w:p>
      <w:pPr>
        <w:spacing w:after="100"/>
      </w:pPr>
      <w:r>
        <w:rPr>
          <w:b/>
          <w:bCs/>
        </w:rPr>
        <w:t xml:space="preserve">Objetivo a 12 meses (ponderado):</w:t>
      </w:r>
      <w:r>
        <w:t xml:space="preserve"> 12,47 NOK · rentabilidad +20,1 % (base +24,6 %) · señal Comprar.</w:t>
      </w:r>
    </w:p>
    <w:p>
      <w:pPr>
        <w:spacing w:after="100"/>
      </w:pPr>
      <w:r>
        <w:t xml:space="preserve">Para comparar, con la regla v2 (historia al cierre, mismo precio): 7,0x / 9,2x / 9,2x, 20,1 % Comprar; con el tope anterior del base (×1,3, 14-oct mediodía): 15,7 % Comprar; con la v3 sin el selector (tope ×1,1): 34,6 % Comprar. Decide la v2, elegida por el selector de método (historia adelantada de 3 años: decide la más baja de v3 y v2 (v2); METODO-VIGENTE.md).</w:t>
      </w:r>
    </w:p>
    <w:p>
      <w:pPr>
        <w:keepNext/>
        <w:spacing w:after="100"/>
      </w:pPr>
      <w:r>
        <w:rPr>
          <w:b/>
          <w:bCs/>
        </w:rPr>
        <w:t xml:space="preserve">Frente al consenso (solo contraste).</w:t>
      </w:r>
    </w:p>
    <w:p>
      <w:pPr>
        <w:spacing w:after="100"/>
      </w:pPr>
      <w:r>
        <w:t xml:space="preserve">Nuestro BPA de 2027e (0,93 NOK) está un 45 % por debajo del consenso de MarketScreener (1,70) y el de 2028e (1,41) un 33 % por debajo (2,12) [37]. Dos causas: (1) contamos 1.351,5 M de acciones tras NLTG, y no está claro que todos los analistas lo hayan hecho; (2) proyectamos un margen EBITDA del 17-18,5 %, no la vuelta al 20 % de 2025, porque el queroseno está a 190 USD/barril [17] y solo una cuarta parte del consumo de 2027 está cubierta [9]. El consenso baja: Yahoo pasó de 2,05 a 1,67 NOK para 2027 en 90 días [39] y en octubre Barclays (11,5), SB1 (12), Danske (13) y Pareto (16) recortaron objetivos [38, 44]. Nuestro precio base a 12 meses (12,97 NOK) queda un 7 % por debajo del objetivo medio de los 6 analistas (14,0; rango 11,5-17,5).</w:t>
      </w:r>
    </w:p>
    <w:p>
      <w:pPr>
        <w:keepNext/>
        <w:spacing w:after="100"/>
      </w:pPr>
      <w:r>
        <w:rPr>
          <w:b/>
          <w:bCs/>
        </w:rPr>
        <w:t xml:space="preserve">Del valor intrínseco al objetivo a 12 meses.</w:t>
      </w:r>
    </w:p>
    <w:p>
      <w:pPr>
        <w:spacing w:after="100"/>
      </w:pPr>
      <w:r>
        <w:t xml:space="preserve">Decide la v2 (historia de tres años: la más baja de v3 y v2). El objetivo a 12 meses es de 12,47 NOK: +20,1 % con dividendo (+24,6 % el base). El base es un PER de 9,2x (la mediana de cierre de 2023-2025; el de hoy es 11,9x sobre un BPA de 2027e deprimido) por un BPA de 2028e de 1,41 NOK, más 0,80 NOK de dividendo (7,2 %). Ojo: ese dividendo es el pagado en mayo por 2025, un año récord; con 2026 en pérdidas el de 2027 será probablemente menor. Sin dividendo la ponderada sería del 12,9 % y el base del 17,4 %: por debajo del 15 % que pide Comprar. El bajista (7,0x × 0,66) pierde un 51 %; el alcista (9,2x × 2,10) gana un 82 %. Con un BPA un 10 % menor la ponderada baja a ≈ 9 % y deja de ser compra. La v3 daría un 34,6 % (tope ÷1,1 sobre 11,9x), pero con tres años de historia no decide.</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[46]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trimestre fuerte (el 3T25 dio un EBIT de 3.071 M [5]); el mercado espera menos por el combustible. Darán la cobertura de 2027 y, quizá, la guía de capacidad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 (final del 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NLTG (Ving, Spies, Tjäreborg) y emisión de 300 M de acciones [47]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un turoperador con 17.000 M SEK de ventas; 28 % más de acciones (el 22 % del capital ampliado); bloqueo de 180 días para los vendedores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2026 en pérdidas el dividendo puede bajar mucho desde 0,80 NOK; una guía de margen creíble para 2027 sería el catalizador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 del queroseno (si se normaliza el paso por Ormuz) [18, 23]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10 % de bajada del combustible sin cubrir ≈ +500 M de EBITDA (estimación propia sobre 9.573 M de combustible en 2025)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bloqueo de las 300 M de acciones de los vendedores de NLTG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Posible venta de acciones (el 22 %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Combustible: el queroseno sigue caro en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 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−51 % a 12 meses en el bajista (7,0x × 0,66); DCF de 4,56 NOK con 2 puntos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del 25 % del 1S27 a 661 USD/t [9]; parte se traslada a la tarifa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Queroseno por encima de 150 USD/barril al cierre del 1T27 [17]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NLTG: integración y dilución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28 % más de acciones; si NLTG no aporta los 450 M netos del base, el BPA de 2028e baja a ≈ 1,08 NOK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6,6 veces el EBITDA y venta cruzada de paquetes en los Nórdicos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NLTG en el 1S27 por debajo del de 2025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Retrasos de Boeing y del 737 MAX 10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crecimiento y aviones viejos más tiempo (más coste)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 repartidos hasta 2031 y flota arrendada que se puede prorrogar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Entregas del 2027 por debajo del plan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climática: EU ETS y SAF obligatorio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Pérdida de 733 M en 2026 por el ETS de 2020 [2]; el coste de los derechos y del combustible sostenible sube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Afecta a todas las aerolíneas europeas; flota nueva más eficiente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derecho de emisión por encima de 100 EUR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SAS (Air France-KLM) y Ryanair en los Nórdicos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de margen ≈ −29 % del valor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de Noruega por pasajeros y red de Widerøe sin competencia en las rutas regionales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Rendimiento por pasajero a la baja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bajo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Neutral a ligeramente positivo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Volar es físico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Agentes de IA que comparen y compren vuelos y presionen el precio</w:t>
            </w:r>
          </w:p>
        </w:tc>
      </w:tr>
    </w:tbl>
    <w:p>
      <w:pPr>
        <w:spacing w:after="160" w:before="0"/>
      </w:pPr>
    </w:p>
    <w:p>
      <w:pPr>
        <w:pStyle w:val="Heading2"/>
      </w:pPr>
      <w:r>
        <w:t xml:space="preserve">Pre-mortem</w:t>
      </w:r>
    </w:p>
    <w:p>
      <w:pPr>
        <w:spacing w:after="100"/>
      </w:pPr>
      <w:r>
        <w:t xml:space="preserve">Octubre de 2027: la acción ha perdido un 40 %. El queroseno sigue por encima de 150 USD/barril porque Ormuz no se normaliza, y las tarifas solo trasladan la mitad. 2026 cierra en pérdidas, el dividendo se suprime y 2027 da un margen EBITDA del 15 %. NLTG resulta un turoperador de margen bajo justo cuando el viajero nórdico recorta vacaciones, y los vendedores colocan sus acciones al acabar el bloqueo. Las señales: queroseno por encima de 150 al cierre del 1T27, cobertura de 2027 sin subir, y reservas de verano por debajo de 2026.</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 0 % a 3-5 años; no se recoge en ningún escenario</w:t>
      </w:r>
    </w:p>
    <w:p>
      <w:pPr>
        <w:spacing w:after="100"/>
      </w:pPr>
      <w:r>
        <w:t xml:space="preserve">La IA no sustituye un vuelo. Puede bajar costes (planificación de tripulaciones y mantenimiento, atención al cliente, precio dinámico) y Norwegian ya la usa en precios y servicio [1]. El riesgo está en la venta: si los agentes de IA de los buscadores compran los billetes por el viajero, comparan todo el mercado y ponen más presión sobre el precio, y una aerolínea sin marca fuerte lo nota más. También puede pasar al revés: menos comisiones a las agencias. Neutral.</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El clima es el asunto que más mueve las cifras: el EU ETS deja de dar derechos gratuitos a la aviación en 2026 y el SAF obligatorio encarece el combustible [16]. Norwegian emite 69-71 g de CO2 por pasajero-kilómetro (2026), un 2 % menos que en 2025 gracias a los MAX [1, 7 de A]. La seguridad y la puntualidad (Norwegian fue la aerolínea más puntual de Europa en mayo de 2026 según Cirium) son el otro asunto material [2]. Las relaciones laborales (huelgas de pilotos en 2024) pueden parar la operación [1].</w:t>
      </w:r>
    </w:p>
    <w:p>
      <w:pPr>
        <w:pStyle w:val="Heading2"/>
      </w:pPr>
      <w:r>
        <w:t xml:space="preserve">Controversias</w:t>
      </w:r>
    </w:p>
    <w:p>
      <w:pPr>
        <w:spacing w:after="100"/>
      </w:pPr>
      <w:r>
        <w:t xml:space="preserve">Pleito del EU ETS de 2020 perdido en el Tribunal Supremo (25-jun-2026): pérdida de 733 M y multa de ≈ 400 M pagada en 2023 [21]. Demanda de Erling Haaland por usar su imagen en un anuncio (octubre de 2026), sin efecto económico relevante (prensa).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Combustible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consumo de 2027 han cubierto desde septiembre y a qué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mayor riesgo del bajista [9].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dividendo piensan pagar por 2026 con pérdidas en el año y la caja de NLTG?</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7,2 % de rentabilidad por dividendo que usa la regla puede no repetirse.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NLTG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EBIT esperan de NLTG en 2027 y qué sinergias de venta cruzada?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30 % del BPA base de 2028e.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MAX llegarán en 2027 y cómo se financian (compra o venta con arrendamiento)?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capex y la deuda.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Director financiero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nombrarán un director financiero definitivo y será de fuera?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Wibstad anunció su salida el 8-oct, tres semanas antes de los resultados, en plena integración de NLTG [29].</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Community (narrativa de NAS)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narrativa más seguida baja su valor razonable seis veces desde abril, de 15 a 11,5 NOK, por el combustible, la multa del ETS, el cambio de director financiero y márgenes más bajos; ve la acción «en un rango» [49].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(artículos de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pregunta si la caída del 27 % deja la acción barata tras el tráfico récord de septiembre y la salida del director financiero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Stocktwits ($NWARF)</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Inversores particulares estadounidenses, alcistas por las compras de consejeros, el dividendo y las recompras; algún mensaje pide votar contra la emisión de acciones; sin actividad desde mayo [50].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Combustible y Ormuz</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el queroseno está en ≈ 190 USD/barril y Norwegian solo cubre el 25 % del 1S27; es el mayor riesgo del informe [49].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Dilución por NLTG</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300 M de acciones son un 28 % más; el BPA de 2028 del informe ya las incluye [50].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consejeros y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consejeros compraron a 12,7-12,8 NOK en julio, pero son importes pequeños (0,6 M NOK) [50].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Salida del director financiero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va a otra empresa cotizada (Multiconsult), sin indicios de problemas contables [49].</w:t>
            </w:r>
          </w:p>
        </w:tc>
      </w:tr>
    </w:tbl>
    <w:p>
      <w:pPr>
        <w:spacing w:after="160" w:before="0"/>
      </w:pPr>
    </w:p>
    <w:p>
      <w:pPr>
        <w:spacing w:after="100"/>
      </w:pPr>
      <w:r>
        <w:t xml:space="preserve">El sentimiento es negativo y empeora, en línea con los analistas (seis recortes de objetivo en octubre) y con el precio, en mínimos de 52 semanas. No hay euforia ni capitulación visible: el debate es escaso (foros noruegos cerrados a la consulta y Reddit bloqueado), y lo que hay coincide con el informe en el riesgo principal, el combustible de 2027. El foro no aporta riesgos nuevos; la única lectura útil es que nadie espera un catalizador a corto plazo, lo que encaja con un objetivo a 12 meses cercano al precio.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26 controles correctos y 5 explicados. Fuentes: 52 (32 primarias); citas distintas en el texto: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3,7 %: explica la causa (créditos fiscales, regularizaciones, mezcla de países) y no lo proyectes en el DCF. Explicación: Norwegian arrastra bases imponibles negativas enormes de la reestructuración de 2020-2021 y solo reconoce en el balance la parte que espera usar (activo por impuesto diferido de 1.692 M a cierre de 2025) [1]. Cada año que gana dinero reconoce una parte más y el tipo efectivo sale bajo: 3,7 % en 2023, 0 % en 2024 y 10,2 % en 2025. No lo proyectamos: usamos el 20 % en 2026e-2027e (todavía con pérdidas por usar) y subimos al 22 % noruego en 2029e.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0,0 %: explica la causa (créditos fiscales, regularizaciones, mezcla de países) y no lo proyectes en el DCF. Explicación: Ver 2023: reconocimiento de impuestos diferidos por pérdidas de la reestructuración [1].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10,2 %: explica la causa (créditos fiscales, regularizaciones, mezcla de países) y no lo proyectes en el DCF. Explicación: Ver 2023: 10,2 % por el uso de pérdidas fiscales no reconocidas antes [1].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-2,4 % frente a un ROIC de 18,0 % y un incremental histórico de 55,7 %: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-5,0 % frente a -4,8 % real: genera una variación de circulante de -123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(2027e)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-17,0 % frente al consenso: justifica la diferencia en el DCF. Explicación: Nuestro EBITDA de 2027e (6.955 M, 17,0 %) está un 17 % por debajo del consenso de MarketScreener (8.384 M) [37]. El consenso es en parte anterior al último salto del queroseno (190 USD/barril en octubre, frente a unos 90 de media en 2025) [17, 18] y solo el 25 % del consumo del 1S27 está cubierto, a 661 USD/t [9]. Suponemos que el combustible se normaliza poco a poco y que las tarifas recuperan una parte (precio +2 %), pero no todo: el EBITDA de 2027e queda entre el de 2024 (19,6 %) y el de 2026e (14,4 %). Además el consenso de 2027e ya incluye parte de NLTG (ventas de 41.780 M), que nuestro DCF deja fuera.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(2028e)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-16,4 % frente al consenso: justifica la diferencia en el DCF. Explicación: Nuestro EBITDA de 2028e (7.947 M, 18,5 %) está un 16 % por debajo del consenso (9.501 M sobre 46.606 M de ventas, que incluye NLTG: ≈ 17.900 M NOK de ventas al año [10]). Sin NLTG la diferencia de margen es de 1-2 puntos: el consenso vuelve al 20 % y nosotros nos quedamos en el 18,5 %, por debajo de 2025 (20,9 %), porque en una cíclica no proyectamos el margen de pico.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fuentes (32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interanual de 3T24 y 4T24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del 3T25 y 4T25 (solo dan 2024 y 2025); 2) XBRL ESEF (solo anual); 3) Widerøe entra en enero de 2024 y rompe la comparación con 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la empresa (no lo publican desde 2023); 2) MarketScreener (solo el vigente); 3) prensa (RTE/Reuters: 4T25 «por debajo de lo previsto» y 2T26 «pérdida mayor de la esperada»)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salvo 4T25 y 2T26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Inmovilizado material de 2021 y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ESEF 2021-2022 (conceptos propios sin total); 2) informe anual 2025 (solo 2024 y 2025); 3) suma de partidas (falta el detalle de derechos de uso)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nórdico en coronas, previsión a 5 años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pasajeros propios); 2) Avinor y Eurostat (pasajeros, no ingresos; serie anual de Avinor no localizada); 3) presentación de NLTG (solo ocio)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el número de pasajeros de la UE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publicadas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las cita); 2) MSCI y Sustainalytics (de pago); 3) CDP (sin respuesta pública localizada)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total del consejero delegado en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nota 8 (remite al informe de remuneraciones); 2) web de inversores de Norwegian (bloqueada por antibot); 3) prensa noruega (DN, de pago) y búsqueda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Años seguidos del auditor (PwC)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(el informe de auditoría es una imagen); 2) informe ESEF 2024 (PwC firma la verificación de sostenibilidad); 3) convocatoria de la junta 2026 (solo honorarios)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EV/EBITDA de 5 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las operaciones (Widerøe, NLTG, Hawaiian, ITA-Lufthansa, SAS-Air France-KLM); 2) prensa (los múltiplos no se publican: compras en pérdidas o de participaciones); 3) cálculo propio (solo posible en NLTG)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en NLTG; el resto 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los próximos 12 meses de cada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el vigente); 2) consensos de la empresa en su web (bloqueada); 3) Yahoo (sin histórico de estimaciones)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noruegos y Reddit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Foro de Finansavisen/Hegnar (bucle de redirecciones) y Shareville (404); 2) Reddit r/aksjer (bloqueado, 403); 3) Nordnet y XtraInvestor (sin hilos accesibles)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Integrated Annual Report 2025: estados consolidados 2025 y 2024, notas 4 (Widerøe), 6 (segmentos), 7-9, 10 (otras pérdidas y ganancias), 12 (impuestos), 13-16, 22, 26 (deuda), 32 (compromisos de aviones) y política de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https://api3.oslo.oslobors.no/v1/newsreader/attachment?messageId=670345&amp;attachmentId=323105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Second quarter 2026 financial report (2T26 y 1S26: cuenta, balance a 30-jun-2026, flujos, notas 2-14)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https://api3.oslo.oslobors.no/v1/newsreader/attachment?messageId=678122&amp;attachmentId=329635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 2026 financial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https://api3.oslo.oslobors.no/v1/newsreader/attachment?messageId=671581&amp;attachmentId=324158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Fourth quarter 2025 financial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https://api3.oslo.oslobors.no/v1/newsreader/attachment?messageId=665745&amp;attachmentId=318957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2025 financial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https://api3.oslo.oslobors.no/v1/newsreader/attachment?messageId=657627&amp;attachmentId=313047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quarter 2025 financial report (con 2T24 y 1S24 comparativos)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https://api3.oslo.oslobors.no/v1/newsreader/attachment?messageId=651084&amp;attachmentId=308214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ESEF 2021-2024 en XBRL (cuenta, balance y flujos; conceptos NOR: de amortización, EBITDAR, intereses pagados y reversión del deterioro de anticipos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 / 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https://filings.xbrl.org/api/filings?filter[entity.identifier]=549300IEUH2FEM2Y6B51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presentation (combustible, coste unitario, reservas, NLTG)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https://api3.oslo.oslobors.no/v1/newsreader/attachment?messageId=678122&amp;attachmentId=329636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Traffic figures September 2026 (incluye coberturas de combustible por trimestre)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https://api3.oslo.oslobors.no/v1/newsreader/attachment?messageId=683613&amp;attachmentId=334196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agrees to acquire Nordic Leisure Travel Group (comunicado y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https://api3.oslo.oslobors.no/v1/newsreader/attachment?messageId=676265&amp;attachmentId=328263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Group delivers record result for 2025 and increases dividend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https://newsweb.oslobors.no/message/665745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orders 30 Boeing 737 aircraft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https://newsweb.oslobors.no/message/656201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Defeasance of the NOK 3,156 million Zero-Coupon Bonds; dividend following strong second quarter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https://newsweb.oslobors.no/message/651120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Completion of share buy-back (2.000.000 acciones; 4.328.636 en autocartera)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https://newsweb.oslobors.no/message/668236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 Notice of Extraordinary General Meeting 2026 (condiciones de las acciones de contraprestación de NLTG)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https://api3.oslo.oslobors.no/v1/newsreader/attachment?messageId=676411&amp;attachmentId=328377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corta: aerolíneas europeas de pasajeros (Eurostat 2025 vía Cyprus Mail, IATA, CAPA)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analisis-inversion (sectores/aerolineas-2026-10-14.md)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https://github.com/HotisS/analisis-inversion/blob/main/sectores/aerolineas-2026-10-14.md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IATA Jet Fuel Price Monitor (media mundial semanal: 192,44 USD/barril)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https://www.iata.org/en/publications/economics/fuel-monitor/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Aviation fuel spotlight: oil is flowing but Jet-A didn’t get the memo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GlobalAir.com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https://www.globalair.com/articles/aviation-fuel-spotlight-oil-is-flowing-but-jet-a-didnt-get-the-memo/12728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Hormuz supply squeeze lifts jet fuel prices to 10-year high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AGBI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https://www.agbi.com/analysis/aviation/2026/03/hormuz-supply-squeeze-lifts-jet-fuel-prices-to-10‑year-high/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Yahoo Finance de Ryanair, easyJet, Wizz Air, IAG, Lufthansa, Air France-KLM, Jet2 y Finnair (márgenes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https://finance.yahoo.com/quote/RYA.IR/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will appeal EU ETS ruling to the Supreme Court / Supreme Court decide not to admit EU ETS appeal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https://newsweb.oslobors.no/message/677062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adds 120 flights after SAS cancellations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https://www.reuters.com/business/aerospace-defense/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Airlines may face renewed jet fuel cost pressure as Hormuz disruption continues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Straits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https://www.nst.com.my/amp/business/economy/2026/07/1478624/airlines-may-face-renewed-jet-fuel-cost-pressure-hormuz-disruption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Rise, Fall and Return of Norwegian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Flightradar24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https://www.flightradar24.com/blog/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from the Annual General Meeting 2026 (votos por punto)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https://api3.oslo.oslobors.no/v1/newsreader/attachment?messageId=672541&amp;attachmentId=325111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Annual General Meeting 2026 (honorarios del auditor, autorizaciones)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https://api3.oslo.oslobors.no/v1/newsreader/attachment?messageId=670499&amp;attachmentId=323219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from Extraordinary General Meeting 2026 (aprobación de NLTG y de las acciones de contraprestación)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https://api3.oslo.oslobors.no/v1/newsreader/attachment?messageId=677824&amp;attachmentId=329351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Mandatory notification of trade: compras de consejeros (29-oct-2025, 25-nov-2025, 16-jul-2026 y 23-jul-2026)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https://newsweb.oslobors.no/message/678338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Hans-Jørgen Wibstad resigns as CFO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https://newsweb.oslobors.no/message/683748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Resignation of board member (Daniel Skjeldam)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https://newsweb.oslobors.no/message/678483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Extraordinary General Meeting – Election of new Chair of the Board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https://newsweb.oslobors.no/message/658120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Notificación de participaciones significativas de Goldman Sachs (25-sep-2026) y de DNB Asset Management (28-sep-2026)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 / Finanstilsynet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https://api3.oslo.oslobors.no/v1/newsreader/attachment?messageId=683214&amp;attachmentId=333959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Mandatory notification of trade: prórroga de 250.000 opciones del consejero delegado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https://newsweb.oslobors.no/message/676665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Exercise of employee share options under LTI and mandatory notification of trade (ventas de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https://newsweb.oslobors.no/message/651331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Geir Karlsen appointed new CEO of Norwegian (sueldo base de 4,5 M NOK en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 (Mynewsdesk)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jun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https://www.mynewsdesk.com/uk/norwegian/pressreleases/geir-karlsen-appointed-new-ceo-of-norwegian-3110756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NAS.OL, OSEBX.OL y EXV9.DE (bolsa.mjs)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https://finance.yahoo.com/quote/NAS.OL/history/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 estimaciones anuales 2026-2028 (ventas, EBITDA, EBIT, beneficio, BPA,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https://www.marketscreener.com/quote/stock/NORWEGIAN-AIR-SHUTTLE-ASA-1413204/finances/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 consenso, objetivos y cambios de recomendación (abril-octubre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https://www.marketscreener.com/quote/stock/NORWEGIAN-AIR-SHUTTLE-ASA-1413204/consensus/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quoteSummary y earningsTrend de NAS.OL y ocho aerolíneas europeas; tipos de cambio EURNOK, GBPNOK, USDNOK y SEKNOK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https://finance.yahoo.com/quote/NAS.OL/analysis/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de la deuda pública noruega a 10 años (GOVT_GENERIC_RATES, B.10Y.GBON)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https://data.norges-bank.no/api/data/GOVT_GENERIC_RATES/B.10Y.GBON?format=csv&amp;lastNObservations=5&amp;locale=en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Online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agrees to acquire Nordic Leisure Travel Group (precio, EBITDA LTM de NLTG)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https://newsweb.oslobors.no/message/676265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Alaska Air to buy Hawaiian Airlines in a $1.9 billion deal with debt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 (ClickOrlando)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https://www.clickorlando.com/business/2023/12/03/alaska-air-to-buy-hawaiian-airlines-in-a-19-billion-deal-with-debt/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Aktie: Barclays senkt Rating und Kursziel auf 11,50 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https://goldesel.de/aktien/news/norwegian-air-shuttle-aktie-barclays-senkt-rating-und-kursziel-auf-1150-nok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(SSR): NO0010196140, 1,12 % a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https://ssr.finanstilsynet.no/api/v2/instruments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(resultados del 3T26 el 28-oct-2026)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https://newsweb.oslobors.no/message/665180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Approval and publication of prospectus (300 M de acciones de contraprestación; cierre previsto al final del 4T26)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https://newsweb.oslobors.no/message/684212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Norwegian Air Shuttle reports wider-than-expected quarterly loss; Norwegian Air's operating profit lags forecast due to higher costs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RTE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https://www.rte.ie/news/business/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Narrativa «Rising Regulatory Costs Will Strain Nordic Routes Despite Cost Cuts» y sus actualizaciones (abr-oct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Community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https://simplywall.st/community/narratives/no/transportation/ob-nas/norwegian-air-shuttle-shares/5l3r2nn6-rising-regulatory-costs-will-strain-nordic-routes-despite-cost-cuts/updates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$NWARF (30 mensajes, jul-2025 a 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https://api.stocktwits.com/api/2/streams/symbol/NWARF.json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feed de NWARF (transcripciones y titulares de resultados, 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https://seekingalpha.com/api/sa/combined/NWARF.xml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Comes Next For Norwegian Air Shuttle After A 27% Fall; Is Norwegian Air Shuttle Undervalued After The CFO Change And Traffic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https://simplywall.st/stocks/no/transportation/ob-nas/norwegian-air-shuttle-shares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87,2 %</w:t>
      </w:r>
      <w:r>
        <w:t xml:space="preserve"> · Secciones con menos del 60 % de campos cubiertos: </w:t>
      </w:r>
      <w:r>
        <w:rPr>
          <w:b/>
          <w:bCs/>
        </w:rPr>
        <w:t xml:space="preserve">ninguna</w:t>
      </w:r>
      <w:r>
        <w:t xml:space="preserve"> · Generado el 19 oct 2026.</w:t>
      </w:r>
    </w:p>
    <w:p>
      <w:pPr>
        <w:pStyle w:val="Nota"/>
        <w:spacing w:after="100"/>
      </w:pPr>
      <w:r>
        <w:t xml:space="preserve">Cuentas consolidadas NIIF en millones de NOK. 2021-2024 salen del XBRL ESEF del regulador (cuentas.mjs --esef) [7] y 2025 del informe anual integrado [1]; los trimestres, de los informes del 2T25 al 2T26 [2, 3, 4, 5, 6]. Con la NIIF 16 el EBITDA de Norwegian es su «EBITDAR»: no incluye alquileres de aviones, que van a amortización e intereses. 2021 y 2022 no son comparables (salida de la reestructuración y reversión de 2.099 M del deterioro de anticipos de aviones). Widerøe consolida desde el 1-feb-2024. El DCF es de Norwegian con Widerøe y SIN Nordic Leisure Travel Group (NLTG), cuya compra se cierra al final del 4T26 [47]: se paga a un precio de mercado (6,6 veces el EBITDA) con 3.500 M SEK en caja y 300 M de acciones nuevas, y su efecto entra en el BPA a 12 meses (1.351,5 M de acciones), no en el valor intrínseco. Precio: cierre del 16-oct-2026 en Oslo Børs (11,05 NOK) [36]; el de hoy, 19-oct, a las 14:45 CEST era de 10,97 NOK. No encontramos la remuneración de 2025 del consejero delegado ni los años del auditor (huecos en C); los honorarios del auditor salen de la convocatoria de la junta [26].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Norwegian Air Shuttle ASA (NAS)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(NOK) · precio actual 11,05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(10,83 – 18,08)</c:v>
                </c:pt>
                <c:pt idx="1">
                  <c:v>Precio objetivo de los analistas (11,50 – 17,50)</c:v>
                </c:pt>
                <c:pt idx="2">
                  <c:v>Comparables: PER NTM (9,50 – 19,58)</c:v>
                </c:pt>
                <c:pt idx="3">
                  <c:v>DCF (WACC y g ± 0,5) (12,99 – 20,26)</c:v>
                </c:pt>
                <c:pt idx="4">
                  <c:v>Escenarios (bajista – alcista) (4,56 – 27,95)</c:v>
                </c:pt>
                <c:pt idx="5">
                  <c:v>DCF con la prima implícita del mercado (4,2 %)</c:v>
                </c:pt>
                <c:pt idx="6">
                  <c:v>Precio actual (11,05)</c:v>
                </c:pt>
              </c:strCache>
            </c:strRef>
          </c:cat>
          <c:val>
            <c:numRef>
              <c:f>Hoja1!$B$2:$B$8</c:f>
              <c:numCache>
                <c:formatCode>#,##0.0</c:formatCode>
                <c:ptCount val="7"/>
                <c:pt idx="0">
                  <c:v>10.83</c:v>
                </c:pt>
                <c:pt idx="1">
                  <c:v>11.5</c:v>
                </c:pt>
                <c:pt idx="2">
                  <c:v>9.5</c:v>
                </c:pt>
                <c:pt idx="3">
                  <c:v>12.99</c:v>
                </c:pt>
                <c:pt idx="4">
                  <c:v>4.56</c:v>
                </c:pt>
                <c:pt idx="5">
                  <c:v>17.71</c:v>
                </c:pt>
                <c:pt idx="6">
                  <c:v>10.99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(10,83 – 18,08)</c:v>
                </c:pt>
                <c:pt idx="1">
                  <c:v>Precio objetivo de los analistas (11,50 – 17,50)</c:v>
                </c:pt>
                <c:pt idx="2">
                  <c:v>Comparables: PER NTM (9,50 – 19,58)</c:v>
                </c:pt>
                <c:pt idx="3">
                  <c:v>DCF (WACC y g ± 0,5) (12,99 – 20,26)</c:v>
                </c:pt>
                <c:pt idx="4">
                  <c:v>Escenarios (bajista – alcista) (4,56 – 27,95)</c:v>
                </c:pt>
                <c:pt idx="5">
                  <c:v>DCF con la prima implícita del mercado (4,2 %)</c:v>
                </c:pt>
                <c:pt idx="6">
                  <c:v>Precio actual (11,05)</c:v>
                </c:pt>
              </c:strCache>
            </c:strRef>
          </c:cat>
          <c:val>
            <c:numRef>
              <c:f>Hoja1!$C$2:$C$8</c:f>
              <c:numCache>
                <c:formatCode>#,##0.0</c:formatCode>
                <c:ptCount val="7"/>
                <c:pt idx="0">
                  <c:v>7.249999999999998</c:v>
                </c:pt>
                <c:pt idx="1">
                  <c:v>6</c:v>
                </c:pt>
                <c:pt idx="2">
                  <c:v>10.079999999999998</c:v>
                </c:pt>
                <c:pt idx="3">
                  <c:v>7.270000000000001</c:v>
                </c:pt>
                <c:pt idx="4">
                  <c:v>23.39</c:v>
                </c:pt>
                <c:pt idx="5">
                  <c:v>5.559999999999999</c:v>
                </c:pt>
                <c:pt idx="6">
                  <c:v>0.11999999999999922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(NOK, millones)</a:t>
            </a:r>
          </a:p>
        </c:rich>
      </c:tx>
      <c:overlay val="0"/>
    </c:title>
    <c:autoTitleDeleted val="0"/>
    <c:plotArea>
      <c:layout/>
      <c:barChart>
        <c:barDir val="col"/>
        <c:grouping val="stacked"/>
        <c:varyColors val="0"/>
        <c:ser>
          <c:idx val="0"/>
          <c:order val="0"/>
          <c:tx>
            <c:strRef>
              <c:f>Hoja1!$B$1</c:f>
              <c:strCache>
                <c:ptCount val="1"/>
                <c:pt idx="0">
                  <c:v>Norwegian</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5068</c:v>
                </c:pt>
                <c:pt idx="1">
                  <c:v>18869</c:v>
                </c:pt>
                <c:pt idx="2">
                  <c:v>25539</c:v>
                </c:pt>
                <c:pt idx="3">
                  <c:v>28344</c:v>
                </c:pt>
                <c:pt idx="4">
                  <c:v>30092</c:v>
                </c:pt>
              </c:numCache>
            </c:numRef>
          </c:val>
        </c:ser>
        <c:ser>
          <c:idx val="1"/>
          <c:order val="1"/>
          <c:tx>
            <c:strRef>
              <c:f>Hoja1!$C$1</c:f>
              <c:strCache>
                <c:ptCount val="1"/>
                <c:pt idx="0">
                  <c:v>Widerøe</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3">
                  <c:v>7241</c:v>
                </c:pt>
                <c:pt idx="4">
                  <c:v>7903</c:v>
                </c:pt>
              </c:numCache>
            </c:numRef>
          </c:val>
        </c:ser>
        <c:ser>
          <c:idx val="2"/>
          <c:order val="2"/>
          <c:tx>
            <c:strRef>
              <c:f>Hoja1!$D$1</c:f>
              <c:strCache>
                <c:ptCount val="1"/>
                <c:pt idx="0">
                  <c:v>Eliminaciones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3">
                  <c:v>-269</c:v>
                </c:pt>
                <c:pt idx="4">
                  <c:v>-349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Norwegian</c:v>
                </c:pt>
                <c:pt idx="1">
                  <c:v>Widerøe</c:v>
                </c:pt>
                <c:pt idx="2">
                  <c:v>Eliminaciones</c:v>
                </c:pt>
              </c:strCache>
            </c:strRef>
          </c:cat>
          <c:val>
            <c:numRef>
              <c:f>Hoja1!$B$2:$B$4</c:f>
              <c:numCache>
                <c:formatCode>General</c:formatCode>
                <c:ptCount val="3"/>
                <c:pt idx="0">
                  <c:v>79.9</c:v>
                </c:pt>
                <c:pt idx="1">
                  <c:v>21</c:v>
                </c:pt>
                <c:pt idx="2">
                  <c:v>-0.9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Noruega</c:v>
                </c:pt>
                <c:pt idx="1">
                  <c:v>España</c:v>
                </c:pt>
                <c:pt idx="2">
                  <c:v>Dinamarca</c:v>
                </c:pt>
                <c:pt idx="3">
                  <c:v>Suecia</c:v>
                </c:pt>
                <c:pt idx="4">
                  <c:v>Reino Unido</c:v>
                </c:pt>
                <c:pt idx="5">
                  <c:v>Finlandia</c:v>
                </c:pt>
                <c:pt idx="6">
                  <c:v>Italia</c:v>
                </c:pt>
                <c:pt idx="7">
                  <c:v>Otros</c:v>
                </c:pt>
              </c:strCache>
            </c:strRef>
          </c:cat>
          <c:val>
            <c:numRef>
              <c:f>Hoja1!$B$2:$B$9</c:f>
              <c:numCache>
                <c:formatCode>0"%"</c:formatCode>
                <c:ptCount val="8"/>
                <c:pt idx="0">
                  <c:v>49.9</c:v>
                </c:pt>
                <c:pt idx="1">
                  <c:v>12.7</c:v>
                </c:pt>
                <c:pt idx="2">
                  <c:v>8.8</c:v>
                </c:pt>
                <c:pt idx="3">
                  <c:v>8.6</c:v>
                </c:pt>
                <c:pt idx="4">
                  <c:v>3.2</c:v>
                </c:pt>
                <c:pt idx="5">
                  <c:v>2.5</c:v>
                </c:pt>
                <c:pt idx="6">
                  <c:v>2.4</c:v>
                </c:pt>
                <c:pt idx="7">
                  <c:v>11.9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pasajeros en la UE)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2019</c:v>
                </c:pt>
                <c:pt idx="1">
                  <c:v>2025</c:v>
                </c:pt>
              </c:strCache>
            </c:strRef>
          </c:cat>
          <c:val>
            <c:numRef>
              <c:f>Hoja1!$B$2:$B$3</c:f>
              <c:numCache>
                <c:formatCode>#,##0</c:formatCode>
                <c:ptCount val="2"/>
                <c:pt idx="0">
                  <c:v>1034.6</c:v>
                </c:pt>
                <c:pt idx="1">
                  <c:v>1093.6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5</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Norwegian</c:v>
                </c:pt>
                <c:pt idx="1">
                  <c:v>SAS (grupo Air France-KLM)</c:v>
                </c:pt>
                <c:pt idx="2">
                  <c:v>Ryanair</c:v>
                </c:pt>
                <c:pt idx="3">
                  <c:v>Wizz Air</c:v>
                </c:pt>
                <c:pt idx="4">
                  <c:v>easyJet</c:v>
                </c:pt>
                <c:pt idx="5">
                  <c:v>Lufthansa</c:v>
                </c:pt>
                <c:pt idx="6">
                  <c:v>Jet2</c:v>
                </c:pt>
              </c:strCache>
            </c:strRef>
          </c:cat>
          <c:val>
            <c:numRef>
              <c:f>Hoja1!$B$2:$B$8</c:f>
              <c:numCache>
                <c:formatCode>0.0"%"</c:formatCode>
                <c:ptCount val="7"/>
                <c:pt idx="0">
                  <c:v>8.8</c:v>
                </c:pt>
                <c:pt idx="2">
                  <c:v>13.1</c:v>
                </c:pt>
                <c:pt idx="3">
                  <c:v>-12.2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1</c:v>
                </c:pt>
                <c:pt idx="2">
                  <c:v>2</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(NOK,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5068</c:v>
                </c:pt>
                <c:pt idx="1">
                  <c:v>18869</c:v>
                </c:pt>
                <c:pt idx="2">
                  <c:v>25539</c:v>
                </c:pt>
                <c:pt idx="3">
                  <c:v>35317</c:v>
                </c:pt>
                <c:pt idx="4">
                  <c:v>37646</c:v>
                </c:pt>
                <c:pt idx="5">
                  <c:v>38964</c:v>
                </c:pt>
                <c:pt idx="6">
                  <c:v>40912</c:v>
                </c:pt>
                <c:pt idx="7">
                  <c:v>42957</c:v>
                </c:pt>
                <c:pt idx="8">
                  <c:v>44890</c:v>
                </c:pt>
                <c:pt idx="9">
                  <c:v>46686</c:v>
                </c:pt>
                <c:pt idx="10">
                  <c:v>48320</c:v>
                </c:pt>
                <c:pt idx="11">
                  <c:v>49770</c:v>
                </c:pt>
                <c:pt idx="12">
                  <c:v>51014</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-2253.5</c:v>
                </c:pt>
                <c:pt idx="1">
                  <c:v>2356.1</c:v>
                </c:pt>
                <c:pt idx="2">
                  <c:v>5789.200000000001</c:v>
                </c:pt>
                <c:pt idx="3">
                  <c:v>7197.6</c:v>
                </c:pt>
                <c:pt idx="4">
                  <c:v>7478</c:v>
                </c:pt>
                <c:pt idx="5">
                  <c:v>5611</c:v>
                </c:pt>
                <c:pt idx="6">
                  <c:v>6955</c:v>
                </c:pt>
                <c:pt idx="7">
                  <c:v>7947</c:v>
                </c:pt>
                <c:pt idx="8">
                  <c:v>8529</c:v>
                </c:pt>
                <c:pt idx="9">
                  <c:v>8870</c:v>
                </c:pt>
                <c:pt idx="10">
                  <c:v>9181</c:v>
                </c:pt>
                <c:pt idx="11">
                  <c:v>9456</c:v>
                </c:pt>
                <c:pt idx="12">
                  <c:v>9693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72.1</c:v>
                </c:pt>
                <c:pt idx="1">
                  <c:v>60.9</c:v>
                </c:pt>
                <c:pt idx="2">
                  <c:v>69.8</c:v>
                </c:pt>
                <c:pt idx="3">
                  <c:v>73.4</c:v>
                </c:pt>
                <c:pt idx="4">
                  <c:v>74.6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-44.5</c:v>
                </c:pt>
                <c:pt idx="1">
                  <c:v>12.5</c:v>
                </c:pt>
                <c:pt idx="2">
                  <c:v>22.7</c:v>
                </c:pt>
                <c:pt idx="3">
                  <c:v>20.4</c:v>
                </c:pt>
                <c:pt idx="4">
                  <c:v>19.9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-69.5</c:v>
                </c:pt>
                <c:pt idx="1">
                  <c:v>7.9</c:v>
                </c:pt>
                <c:pt idx="2">
                  <c:v>8.9</c:v>
                </c:pt>
                <c:pt idx="3">
                  <c:v>6.1</c:v>
                </c:pt>
                <c:pt idx="4">
                  <c:v>8.8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36.9</c:v>
                </c:pt>
                <c:pt idx="1">
                  <c:v>5.3</c:v>
                </c:pt>
                <c:pt idx="2">
                  <c:v>6.8</c:v>
                </c:pt>
                <c:pt idx="3">
                  <c:v>3.8</c:v>
                </c:pt>
                <c:pt idx="4">
                  <c:v>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7.1</c:v>
                </c:pt>
                <c:pt idx="3">
                  <c:v>10.1</c:v>
                </c:pt>
                <c:pt idx="4">
                  <c:v>5.7</c:v>
                </c:pt>
                <c:pt idx="5">
                  <c:v>3.5</c:v>
                </c:pt>
                <c:pt idx="6">
                  <c:v>4.9</c:v>
                </c:pt>
                <c:pt idx="7">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155</c:v>
                </c:pt>
                <c:pt idx="1">
                  <c:v>42</c:v>
                </c:pt>
                <c:pt idx="2">
                  <c:v>33</c:v>
                </c:pt>
                <c:pt idx="3">
                  <c:v>30</c:v>
                </c:pt>
                <c:pt idx="4">
                  <c:v>30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c:v>
                </c:pt>
                <c:pt idx="1">
                  <c:v>2</c:v>
                </c:pt>
                <c:pt idx="2">
                  <c:v>5</c:v>
                </c:pt>
                <c:pt idx="3">
                  <c:v>7</c:v>
                </c:pt>
                <c:pt idx="4">
                  <c:v>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189</c:v>
                </c:pt>
                <c:pt idx="1">
                  <c:v>81</c:v>
                </c:pt>
                <c:pt idx="2">
                  <c:v>71</c:v>
                </c:pt>
                <c:pt idx="3">
                  <c:v>63</c:v>
                </c:pt>
                <c:pt idx="4">
                  <c:v>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(NOK,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-167.8</c:v>
                </c:pt>
                <c:pt idx="1">
                  <c:v>1041.9999999999998</c:v>
                </c:pt>
                <c:pt idx="2">
                  <c:v>2509.8000000000006</c:v>
                </c:pt>
                <c:pt idx="3">
                  <c:v>2828.6000000000004</c:v>
                </c:pt>
                <c:pt idx="4">
                  <c:v>-453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1871</c:v>
                </c:pt>
                <c:pt idx="1">
                  <c:v>1006</c:v>
                </c:pt>
                <c:pt idx="2">
                  <c:v>1737</c:v>
                </c:pt>
                <c:pt idx="3">
                  <c:v>1355</c:v>
                </c:pt>
                <c:pt idx="4">
                  <c:v>2708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-70.9</c:v>
                </c:pt>
                <c:pt idx="1">
                  <c:v>25</c:v>
                </c:pt>
                <c:pt idx="2">
                  <c:v>25.9</c:v>
                </c:pt>
                <c:pt idx="3">
                  <c:v>18.2</c:v>
                </c:pt>
                <c:pt idx="4">
                  <c:v>18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9.1</c:v>
                </c:pt>
                <c:pt idx="1">
                  <c:v>9.1</c:v>
                </c:pt>
                <c:pt idx="2">
                  <c:v>9.1</c:v>
                </c:pt>
                <c:pt idx="3">
                  <c:v>9.1</c:v>
                </c:pt>
                <c:pt idx="4">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57.2</c:v>
                </c:pt>
                <c:pt idx="1">
                  <c:v>26.9</c:v>
                </c:pt>
                <c:pt idx="2">
                  <c:v>34.8</c:v>
                </c:pt>
                <c:pt idx="3">
                  <c:v>20.8</c:v>
                </c:pt>
                <c:pt idx="4">
                  <c:v>36.3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-0.75</c:v>
                </c:pt>
                <c:pt idx="1">
                  <c:v>0.99</c:v>
                </c:pt>
                <c:pt idx="2">
                  <c:v>0.79</c:v>
                </c:pt>
                <c:pt idx="3">
                  <c:v>0.86</c:v>
                </c:pt>
                <c:pt idx="4">
                  <c:v>1.62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(NOK,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c:v>
                </c:pt>
                <c:pt idx="2">
                  <c:v>2028+</c:v>
                </c:pt>
              </c:strCache>
            </c:strRef>
          </c:cat>
          <c:val>
            <c:numRef>
              <c:f>Hoja1!$B$2:$B$4</c:f>
              <c:numCache>
                <c:formatCode>#,##0</c:formatCode>
                <c:ptCount val="3"/>
                <c:pt idx="0">
                  <c:v>2065</c:v>
                </c:pt>
                <c:pt idx="1">
                  <c:v>700</c:v>
                </c:pt>
                <c:pt idx="2">
                  <c:v>3082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(NOK,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1020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377.7</c:v>
                </c:pt>
                <c:pt idx="1">
                  <c:v>7.6</c:v>
                </c:pt>
                <c:pt idx="2">
                  <c:v>0</c:v>
                </c:pt>
                <c:pt idx="3">
                  <c:v>0</c:v>
                </c:pt>
                <c:pt idx="4">
                  <c:v>950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948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Otro externo</c:v>
                </c:pt>
              </c:strCache>
            </c:strRef>
          </c:cat>
          <c:val>
            <c:numRef>
              <c:f>Hoja1!$B$2:$B$3</c:f>
              <c:numCache>
                <c:formatCode>0</c:formatCode>
                <c:ptCount val="2"/>
                <c:pt idx="0">
                  <c:v>4</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Geveran Trading Company (John Fredriksen)</c:v>
                </c:pt>
                <c:pt idx="1">
                  <c:v>Folketrygdfondet (fondo público noruego)</c:v>
                </c:pt>
                <c:pt idx="2">
                  <c:v>Fondos de DNB Asset Management</c:v>
                </c:pt>
                <c:pt idx="3">
                  <c:v>Goldman Sachs Group (acciones y préstamo de valores)</c:v>
                </c:pt>
                <c:pt idx="4">
                  <c:v>Strawberry Equities (Petter Stordalen), Altor y TDR Capital</c:v>
                </c:pt>
                <c:pt idx="5">
                  <c:v>Autocartera</c:v>
                </c:pt>
              </c:strCache>
            </c:strRef>
          </c:cat>
          <c:val>
            <c:numRef>
              <c:f>Hoja1!$B$2:$B$7</c:f>
              <c:numCache>
                <c:formatCode>0.0"%"</c:formatCode>
                <c:ptCount val="6"/>
                <c:pt idx="0">
                  <c:v>13.3</c:v>
                </c:pt>
                <c:pt idx="1">
                  <c:v>9.4</c:v>
                </c:pt>
                <c:pt idx="2">
                  <c:v>4.81</c:v>
                </c:pt>
                <c:pt idx="3">
                  <c:v>4.84</c:v>
                </c:pt>
                <c:pt idx="4">
                  <c:v>22.2</c:v>
                </c:pt>
                <c:pt idx="5">
                  <c:v>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-11.3</c:v>
                </c:pt>
                <c:pt idx="1">
                  <c:v>-38.7</c:v>
                </c:pt>
                <c:pt idx="2">
                  <c:v>-0.8</c:v>
                </c:pt>
                <c:pt idx="3">
                  <c:v>-62.2</c:v>
                </c:pt>
                <c:pt idx="4">
                  <c:v>-97.7</c:v>
                </c:pt>
                <c:pt idx="5">
                  <c:v>-73.5</c:v>
                </c:pt>
                <c:pt idx="6">
                  <c:v>-31.7</c:v>
                </c:pt>
                <c:pt idx="7">
                  <c:v>46</c:v>
                </c:pt>
                <c:pt idx="8">
                  <c:v>2.6</c:v>
                </c:pt>
                <c:pt idx="9">
                  <c:v>67.7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12.1</c:v>
                </c:pt>
                <c:pt idx="1">
                  <c:v>19.1</c:v>
                </c:pt>
                <c:pt idx="2">
                  <c:v>-1.8</c:v>
                </c:pt>
                <c:pt idx="3">
                  <c:v>16.5</c:v>
                </c:pt>
                <c:pt idx="4">
                  <c:v>4.6</c:v>
                </c:pt>
                <c:pt idx="5">
                  <c:v>23.4</c:v>
                </c:pt>
                <c:pt idx="6">
                  <c:v>-1</c:v>
                </c:pt>
                <c:pt idx="7">
                  <c:v>9.9</c:v>
                </c:pt>
                <c:pt idx="8">
                  <c:v>9.1</c:v>
                </c:pt>
                <c:pt idx="9">
                  <c:v>18.4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1">
                  <c:v>4.5</c:v>
                </c:pt>
                <c:pt idx="2">
                  <c:v>2.9</c:v>
                </c:pt>
                <c:pt idx="3">
                  <c:v>2.6</c:v>
                </c:pt>
                <c:pt idx="4">
                  <c:v>4.2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2.9</c:v>
                </c:pt>
                <c:pt idx="1">
                  <c:v>2.9</c:v>
                </c:pt>
                <c:pt idx="2">
                  <c:v>2.9</c:v>
                </c:pt>
                <c:pt idx="3">
                  <c:v>2.9</c:v>
                </c:pt>
                <c:pt idx="4">
                  <c:v>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Norwegian</c:v>
                </c:pt>
                <c:pt idx="1">
                  <c:v>Ryanair</c:v>
                </c:pt>
                <c:pt idx="2">
                  <c:v>easyJet</c:v>
                </c:pt>
                <c:pt idx="3">
                  <c:v>Wizz Air</c:v>
                </c:pt>
                <c:pt idx="4">
                  <c:v>IAG</c:v>
                </c:pt>
                <c:pt idx="5">
                  <c:v>Lufthansa</c:v>
                </c:pt>
                <c:pt idx="6">
                  <c:v>Air France-KLM</c:v>
                </c:pt>
                <c:pt idx="7">
                  <c:v>Jet2</c:v>
                </c:pt>
                <c:pt idx="8">
                  <c:v>Finnair</c:v>
                </c:pt>
              </c:strCache>
            </c:strRef>
          </c:cat>
          <c:val>
            <c:numRef>
              <c:f>Hoja1!$B$2:$B$10</c:f>
              <c:numCache>
                <c:formatCode>0.0"x"</c:formatCode>
                <c:ptCount val="9"/>
                <c:pt idx="0">
                  <c:v>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Nordic Leisure Travel Group (Ving, Spies, Tjäreborg)</c:v>
                </c:pt>
                <c:pt idx="1">
                  <c:v>Widerøe</c:v>
                </c:pt>
                <c:pt idx="2">
                  <c:v>Hawaiian Holdings</c:v>
                </c:pt>
              </c:strCache>
            </c:strRef>
          </c:cat>
          <c:val>
            <c:numRef>
              <c:f>Hoja1!$B$2:$B$4</c:f>
              <c:numCache>
                <c:formatCode>0.0"x"</c:formatCode>
                <c:ptCount val="3"/>
                <c:pt idx="0">
                  <c:v>6.6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(NOK,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115</c:v>
                </c:pt>
                <c:pt idx="1">
                  <c:v>-721</c:v>
                </c:pt>
                <c:pt idx="2">
                  <c:v>160</c:v>
                </c:pt>
                <c:pt idx="3">
                  <c:v>1201</c:v>
                </c:pt>
                <c:pt idx="4">
                  <c:v>1238</c:v>
                </c:pt>
                <c:pt idx="5">
                  <c:v>2237</c:v>
                </c:pt>
                <c:pt idx="6">
                  <c:v>2541</c:v>
                </c:pt>
                <c:pt idx="7">
                  <c:v>2593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(NOK,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5817</c:v>
                </c:pt>
                <c:pt idx="1">
                  <c:v>20067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(NOK) · precio actual 11,05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4.56</c:v>
                </c:pt>
                <c:pt idx="1">
                  <c:v>16.11</c:v>
                </c:pt>
                <c:pt idx="2">
                  <c:v>27.95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(NOK) · precio actual 11,05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(10,83 – 18,08)</c:v>
                </c:pt>
                <c:pt idx="1">
                  <c:v>Precio objetivo de los analistas (11,50 – 17,50)</c:v>
                </c:pt>
                <c:pt idx="2">
                  <c:v>Comparables: PER NTM (9,50 – 19,58)</c:v>
                </c:pt>
                <c:pt idx="3">
                  <c:v>DCF (WACC y g ± 0,5) (12,99 – 20,26)</c:v>
                </c:pt>
                <c:pt idx="4">
                  <c:v>Escenarios (bajista – alcista) (4,56 – 27,95)</c:v>
                </c:pt>
                <c:pt idx="5">
                  <c:v>DCF con la prima implícita del mercado (4,2 %)</c:v>
                </c:pt>
                <c:pt idx="6">
                  <c:v>Precio actual (11,05)</c:v>
                </c:pt>
              </c:strCache>
            </c:strRef>
          </c:cat>
          <c:val>
            <c:numRef>
              <c:f>Hoja1!$B$2:$B$8</c:f>
              <c:numCache>
                <c:formatCode>#,##0.0</c:formatCode>
                <c:ptCount val="7"/>
                <c:pt idx="0">
                  <c:v>10.83</c:v>
                </c:pt>
                <c:pt idx="1">
                  <c:v>11.5</c:v>
                </c:pt>
                <c:pt idx="2">
                  <c:v>9.5</c:v>
                </c:pt>
                <c:pt idx="3">
                  <c:v>12.99</c:v>
                </c:pt>
                <c:pt idx="4">
                  <c:v>4.56</c:v>
                </c:pt>
                <c:pt idx="5">
                  <c:v>17.71</c:v>
                </c:pt>
                <c:pt idx="6">
                  <c:v>10.99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(10,83 – 18,08)</c:v>
                </c:pt>
                <c:pt idx="1">
                  <c:v>Precio objetivo de los analistas (11,50 – 17,50)</c:v>
                </c:pt>
                <c:pt idx="2">
                  <c:v>Comparables: PER NTM (9,50 – 19,58)</c:v>
                </c:pt>
                <c:pt idx="3">
                  <c:v>DCF (WACC y g ± 0,5) (12,99 – 20,26)</c:v>
                </c:pt>
                <c:pt idx="4">
                  <c:v>Escenarios (bajista – alcista) (4,56 – 27,95)</c:v>
                </c:pt>
                <c:pt idx="5">
                  <c:v>DCF con la prima implícita del mercado (4,2 %)</c:v>
                </c:pt>
                <c:pt idx="6">
                  <c:v>Precio actual (11,05)</c:v>
                </c:pt>
              </c:strCache>
            </c:strRef>
          </c:cat>
          <c:val>
            <c:numRef>
              <c:f>Hoja1!$C$2:$C$8</c:f>
              <c:numCache>
                <c:formatCode>#,##0.0</c:formatCode>
                <c:ptCount val="7"/>
                <c:pt idx="0">
                  <c:v>7.249999999999998</c:v>
                </c:pt>
                <c:pt idx="1">
                  <c:v>6</c:v>
                </c:pt>
                <c:pt idx="2">
                  <c:v>10.079999999999998</c:v>
                </c:pt>
                <c:pt idx="3">
                  <c:v>7.270000000000001</c:v>
                </c:pt>
                <c:pt idx="4">
                  <c:v>23.39</c:v>
                </c:pt>
                <c:pt idx="5">
                  <c:v>5.559999999999999</c:v>
                </c:pt>
                <c:pt idx="6">
                  <c:v>0.11999999999999922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