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Construcciones y Auxiliar de Ferrocarriles, S.A.</w:t>
      </w:r>
    </w:p>
    <w:p>
      <w:pPr>
        <w:spacing w:after="60"/>
        <w:rPr>
          <w:color w:val="52514E"/>
          <w:sz w:val="22"/>
          <w:szCs w:val="22"/>
        </w:rPr>
      </w:pPr>
      <w:r>
        <w:rPr>
          <w:color w:val="52514E"/>
          <w:sz w:val="22"/>
          <w:szCs w:val="22"/>
        </w:rPr>
        <w:t xml:space="preserve">CAF · Bolsas de Madrid y Bilbao (Mercado Continuo) · ISIN ES0121975009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78,30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80,97 EUR · mercado 94,34</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+5,4 % · mercado +22,4 %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2.682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Construcciones y Auxiliar de Ferrocarriles,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CAF / ES0121975009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y Bilbao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 (como índice de mercado; CAF no forma parte de él)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(material rodante y autobuses)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Beasain (Gipuzkoa) · 1917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https://www.cafmobility.com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49,90 – 79,70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 M EUR/día (27.035 acciones; 66 sesiones,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80,97 EUR</w:t>
      </w:r>
      <w:r>
        <w:t xml:space="preserve"> frente a 78,30 · con la prima implícita del mercado: 94,34 (+20,5 %) · Rentabilidad total esperada a 12 meses </w:t>
      </w:r>
      <w:r>
        <w:rPr>
          <w:b/>
          <w:bCs/>
        </w:rPr>
        <w:t xml:space="preserve">+5,4 %</w:t>
      </w:r>
      <w:r>
        <w:t xml:space="preserve"> · Alcista / bajista +49,1 % / -50,0 %</w:t>
      </w:r>
    </w:p>
    <w:p>
      <w:pPr>
        <w:spacing w:after="100"/>
      </w:pPr>
      <w:r>
        <w:rPr>
          <w:b/>
        </w:rPr>
        <w:t xml:space="preserve">La recomendación y por qué.</w:t>
      </w:r>
      <w:r>
        <w:t xml:space="preserve"> Comprar, con convicción baja, horizonte de 12 meses y en el límite. Con nuestro WACC (8,11 %), el valor objetivo es de 80,97 EUR frente a 78,30 EUR: una rentabilidad total esperada del 5,4 % con el dividendo y una asimetría de 0,98x; la regla absoluta da Mantener. Con la prima que hoy descuenta el mercado (4,20 %) [73], el WACC baja al 7,20 %, el objetivo sube a 94,34 EUR y la rentabilidad total al 22,4 % (asimetría de 2,14x): Comprar, y manda esta regla relativa. Un Comprar solo relativo exige al menos un 5 % con nuestro WACC, y el 5,4 % apenas lo pasa. Frente a la v3 (84,06 EUR), el objetivo baja porque el base ya no sube el margen.</w:t>
      </w:r>
    </w:p>
    <w:p>
      <w:pPr>
        <w:spacing w:after="100"/>
      </w:pPr>
      <w:r>
        <w:rPr>
          <w:b/>
        </w:rPr>
        <w:t xml:space="preserve">El negocio.</w:t>
      </w:r>
      <w:r>
        <w:t xml:space="preserve"> CAF es un integrador de trenes de segundo nivel (≈ 1,5 % del mercado ferroviario mundial) con un fabricante de autobuses dentro, Solaris [1, 24]. Su ventaja es la cartera: 17.743 M a jun-26, 3,7 años de ventas [8]. El ROIC subió al 13,6 % en 2025 (5,9-9,7 % en 2018-2023) por la rotación más que por el margen: el EBIT ferroviario sigue en el 5,2 % [1]. ¿Sostiene su calidad el crecimiento que proyectamos? En parte. Las ventas (4,4 % anual en 2027-2035) salen de la cartera, y la reinversión financia un 4,2 % al ROIC actual, más 1,5 puntos de precio que no piden capital [8, 15]. El margen no está demostrado: lo dejamos en el 8,4 % de 2026e en vez de subirlo al 8,6 %, y el capital nuevo rinde un 16,7 %, no un 18,1 %.</w:t>
      </w:r>
    </w:p>
    <w:p>
      <w:pPr>
        <w:spacing w:after="100"/>
      </w:pPr>
      <w:r>
        <w:rPr>
          <w:b/>
        </w:rPr>
        <w:t xml:space="preserve">Finanzas.</w:t>
      </w:r>
      <w:r>
        <w:t xml:space="preserve"> El beneficio crece (BPA de 5,03 EUR en los últimos 12 meses), pero no se cobra: el FCF después de intereses y arrendamientos fue de −52,5, 16,9 y 4,6 M en 2023-2025, porque el circulante absorbe unos 21 céntimos por euro de ventas nuevas [1, 2, 3]. Deuda neta ajustada (arrendamientos, factoring, multa del CADE y dividendo de julio): 531 M [6].</w:t>
      </w:r>
    </w:p>
    <w:p>
      <w:pPr>
        <w:spacing w:after="100"/>
      </w:pPr>
      <w:r>
        <w:rPr>
          <w:b/>
        </w:rPr>
        <w:t xml:space="preserve">Equipo y gobierno.</w:t>
      </w:r>
      <w:r>
        <w:t xml:space="preserve"> Ni suma ni resta mucho: un bloque vasco y de empleados del 39,35 % hace improbable una OPA [6]; puntos flojos, un 30 % de independientes, un presidente reelegido con un 17,59 % en contra y un incentivo ligado al EBIT, no a la caja [1, 37].</w:t>
      </w:r>
    </w:p>
    <w:p>
      <w:pPr>
        <w:spacing w:after="100"/>
      </w:pPr>
      <w:r>
        <w:rPr>
          <w:b/>
        </w:rPr>
        <w:t xml:space="preserve">Valoración.</w:t>
      </w:r>
      <w:r>
        <w:t xml:space="preserve"> El DCF da 81,56 EUR; los escenarios ponderados, 79,76; los comparables, 90,84; la suma de partes, 67,18. CAF cotiza a 7,0x el EBITDA de los próximos 12 meses (mediana del sector, 7,3x) [59]. El precio ofrece una rentabilidad implícita del 8,3 %, apenas por encima de nuestro WACC y más que la que pide el mercado (7,20 %); en crecimiento descuenta un 3,6 % anual frente a nuestro 4,4 %. El consenso pone más margen (8,9 % en 2028) y, aun así, su precio objetivo (69,22-73,95 EUR) queda bajo la cotización [46, 48]. Las reglas discrepan solo por la tasa de descuento: convicción baja.</w:t>
      </w:r>
    </w:p>
    <w:p>
      <w:pPr>
        <w:spacing w:after="100"/>
      </w:pPr>
      <w:r>
        <w:rPr>
          <w:b/>
        </w:rPr>
        <w:t xml:space="preserve">Riesgos y catalizadores.</w:t>
      </w:r>
      <w:r>
        <w:t xml:space="preserve"> El riesgo dominante es el margen: cada punto de EBITDA vale ≈ 21 EUR por acción, y la cartera incluye grandes contratos a precio cerrado (SNCB, más de 1.700 M) [8]. Con una prima implícita del mercado por encima del 5 %, la regla relativa vuelve a Mantener. Catalizadores: resultados de 9M26 (12-nov-2026) y el Plan 2027-2030 del 4T26 [8]; un margen demostrado por encima del 8,4 % sería potencial que el base no recoge.</w:t>
      </w:r>
    </w:p>
    <w:p>
      <w:pPr>
        <w:spacing w:after="100"/>
      </w:pPr>
      <w:r>
        <w:rPr>
          <w:b/>
        </w:rPr>
        <w:t xml:space="preserve">Qué cambiaría la decisión.</w:t>
      </w:r>
      <w:r>
        <w:t xml:space="preserve"> Con las dos reglas, por debajo de 78,54 EUR es Comprar y por encima de 106,56 EUR, Vender: estamos en el borde. Subiríamos la convicción con un plan 2027-2030 de margen EBIT por encima del 6,5 % y un objetivo de caja creíble, y un cash flow positivo en el 2S26. Volveríamos a Mantener si el margen EBIT ferroviario baja del 5 % o si el plan incluye una compra de más de 500 M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80,97 EUR</w:t>
      </w:r>
      <w:r>
        <w:t xml:space="preserve"> (+3,4 % sobre 78,30; rentabilidad total esperada +5,4 %) · con la prima implícita del mercado: 94,34 (+20,5 %)</w:t>
      </w:r>
    </w:p>
    <w:p>
      <w:pPr>
        <w:spacing w:after="100"/>
      </w:pPr>
      <w:r>
        <w:t xml:space="preserve">CAF es el mayor fabricante ferroviario español y un integrador europeo de segundo nivel, con un negocio de autobuses urbanos (Solaris) que ya es la cuarta parte de las ventas. Lo que la hace valiosa es la visibilidad: una cartera récord de 17.743 M (3,7 años de ventas), un book-to-bill de 1,6x en el 1S26 y más de 10.000 M en opciones de clientes [8]. Desde 2024 el ROIC (13,6 % en 2025) supera el coste del capital, gracias a Solaris (de pérdidas en 2022 a un margen EBIT del 7,3 % en el 1S26) y a contratos firmados desde 2022 con cláusulas de indexación o revisión de precios [1, 8, 15].</w:t>
      </w:r>
    </w:p>
    <w:p>
      <w:pPr>
        <w:spacing w:after="100"/>
      </w:pPr>
      <w:r>
        <w:t xml:space="preserve">A 78,30 EUR, CAF cotiza a 7,0x el EBITDA de los próximos 12 meses y 12,4x el beneficio, en la mediana de sus comparables y un 21 % por encima de su media histórica en EV/EBITDA. El DCF inverso dice que el precio supone un margen EBITDA estable del 8,2 %, el del 1S26, o un crecimiento del 3,6 % anual, por debajo de lo que respalda la cartera. No es un precio exigente.</w:t>
      </w:r>
    </w:p>
    <w:p>
      <w:pPr>
        <w:spacing w:after="100"/>
      </w:pPr>
      <w:r>
        <w:t xml:space="preserve">Con nuestro coste de capital no es una oportunidad: el DCF (81,56 EUR) solo supera el precio en un 4,2 %, y eso con un margen del 8,4 %, el de 2026e, que dejamos estable porque es lo que la reinversión prevista puede financiar, y con un circulante que debería dejar de crecer más que las ventas. Con la prima de riesgo que hoy pide el mercado (4,20 %) [73], el objetivo es de 94,34 EUR: CAF es barata frente al mercado, no en términos absolutos. Para invertir hay que creer que el plan 2027-2030 convertirá la cartera en caja —la historia de 2022-2025 (FCF casi nulo) dice que hay que verlo [1]— y que el mercado no vuelve a pedir una prima de riesgo más alta.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 / -50,0 %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8,1 %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frente a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(5,0 % anual proyectado; financiable al ROIC actual: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78,54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78,54 y 106,56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106,56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78,54 EUR seguimos en Comprar; entre 78,54 y 106,56 EUR, Mantener; por encima de 106,56 EUR, Vender (motor).</w:t>
      </w:r>
    </w:p>
    <w:p>
      <w:pPr>
        <w:pStyle w:val="ListParagraph"/>
        <w:numPr>
          <w:ilvl w:val="0"/>
          <w:numId w:val="2"/>
        </w:numPr>
        <w:spacing w:after="60"/>
      </w:pPr>
      <w:r>
        <w:t xml:space="preserve">Si la prima implícita del mercado sube por encima del 5 % (4,20 % en octubre de 2026) [73], la regla relativa da Mantener al precio de hoy y pasaríamos a Mantener (motor).</w:t>
      </w:r>
    </w:p>
    <w:p>
      <w:pPr>
        <w:pStyle w:val="ListParagraph"/>
        <w:numPr>
          <w:ilvl w:val="0"/>
          <w:numId w:val="2"/>
        </w:numPr>
        <w:spacing w:after="60"/>
      </w:pPr>
      <w:r>
        <w:t xml:space="preserve">Si el Plan 2027-2030 fija un margen EBIT ≥ 6,5 % en 2027-2028 y un objetivo de FCF, subiríamos la convicción.</w:t>
      </w:r>
    </w:p>
    <w:p>
      <w:pPr>
        <w:pStyle w:val="ListParagraph"/>
        <w:numPr>
          <w:ilvl w:val="0"/>
          <w:numId w:val="2"/>
        </w:numPr>
        <w:spacing w:after="60"/>
      </w:pPr>
      <w:r>
        <w:t xml:space="preserve">Si el margen EBIT ferroviario baja del 5,0 % en 9M26 o en el ejercicio 2026, o el cash flow de CAF de 2026 es negativo, revisaríamos el valor a la baja (≈ 21 EUR por punto de margen EBITDA; ≈ 6 EUR por la caja) y pasaríamos a Mantener.</w:t>
      </w:r>
    </w:p>
    <w:p>
      <w:pPr>
        <w:pStyle w:val="ListParagraph"/>
        <w:numPr>
          <w:ilvl w:val="0"/>
          <w:numId w:val="2"/>
        </w:numPr>
        <w:spacing w:after="60"/>
      </w:pPr>
      <w:r>
        <w:t xml:space="preserve">Si el plan anuncia una compra de más de 500 M financiada con deuda (DFN/EBITDA por encima de 1,5x), pasaríamos a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un +49 % en un año, el mercado descuenta que la recuperación de 2025-2026 se mantiene: ventas de 4.964 M en 2026 y 5.759 M en 2028, margen EBITDA hacia el 8,9 % y un BPA de 7,44 EUR en 2028 (consenso) [47]. Al precio actual, eso deja una rentabilidad implícita del 8,3 %, casi igual a nuestro coste del capital (8,11 %) y por encima del 7,20 % que resulta de la prima implícita del mercado [73].</w:t>
      </w:r>
    </w:p>
    <w:p>
      <w:pPr>
        <w:keepNext/>
        <w:spacing w:after="100"/>
      </w:pPr>
      <w:r>
        <w:rPr>
          <w:b/>
          <w:bCs/>
        </w:rPr>
        <w:t xml:space="preserve">Lo que creemos nosotros.</w:t>
      </w:r>
    </w:p>
    <w:p>
      <w:pPr>
        <w:spacing w:after="100"/>
      </w:pPr>
      <w:r>
        <w:t xml:space="preserve">Coincidimos en las ventas, que respalda la cartera, y somos más prudentes en el margen (8,4 % estable, el de 2026e, frente al 8,9 % del consenso en 2028: la reinversión prevista no financia más) y bastante más en la caja: suponemos que el circulante seguirá subiendo hasta el 12 % de las ventas, como en 2022-2025, porque los activos por contrato crecen más que los anticipos (posición neta deudora de 362 M a jun-26, frente a 130 M en dic-25) [6]. Con eso, y con nuestra prima de mercado del 5,5 %, CAF vale 80-82 EUR, un 2-4 % más que hoy; con la prima que hoy pide el mercado, 94,34 EUR.</w:t>
      </w:r>
    </w:p>
    <w:p>
      <w:pPr>
        <w:keepNext/>
        <w:spacing w:after="100"/>
      </w:pPr>
      <w:r>
        <w:rPr>
          <w:b/>
          <w:bCs/>
        </w:rPr>
        <w:t xml:space="preserve">Por qué podemos tener razón.</w:t>
      </w:r>
    </w:p>
    <w:p>
      <w:pPr>
        <w:spacing w:after="100"/>
      </w:pPr>
      <w:r>
        <w:t xml:space="preserve">Porque es lo que ha pasado: en 2022-2025 las ventas crecieron 1.321 M y el circulante del motor 274 M, y el FCF acumulado fue negativo pese a 391 M de beneficio [1, 2, 3]. Si nos equivocamos, será porque el plan 2027-2030 corrige la caja; eso lo veremos en el 4T26 y es lo que subiría la convicción de un Comprar que hoy solo es relativo.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 y diversificada</w:t>
      </w:r>
      <w:r>
        <w:t xml:space="preserve">: 17.743 M (3,7 años de ventas), 77 % en Europa, ningún cliente por encima del 10 % de las ventas [1, 8].</w:t>
      </w:r>
    </w:p>
    <w:p>
      <w:pPr>
        <w:pStyle w:val="ListParagraph"/>
        <w:numPr>
          <w:ilvl w:val="0"/>
          <w:numId w:val="2"/>
        </w:numPr>
        <w:spacing w:after="60"/>
      </w:pPr>
      <w:r>
        <w:rPr>
          <w:b/>
        </w:rPr>
        <w:t xml:space="preserve">Solaris ha dado la vuelta</w:t>
      </w:r>
      <w:r>
        <w:t xml:space="preserve">: de un EBIT de −3,7 M en 2022 a 75,1 M en 2025 y 60 M en el 1S26 (margen del 7,3 %) [1, 8].</w:t>
      </w:r>
    </w:p>
    <w:p>
      <w:pPr>
        <w:pStyle w:val="ListParagraph"/>
        <w:numPr>
          <w:ilvl w:val="0"/>
          <w:numId w:val="2"/>
        </w:numPr>
        <w:spacing w:after="60"/>
      </w:pPr>
      <w:r>
        <w:rPr>
          <w:b/>
        </w:rPr>
        <w:t xml:space="preserve">Servicios en crecimiento</w:t>
      </w:r>
      <w:r>
        <w:t xml:space="preserve">: 4.615 M de cartera de mantenimiento y una contratación de servicios de 1.714 M en 2025 [1, 8].</w:t>
      </w:r>
    </w:p>
    <w:p>
      <w:pPr>
        <w:pStyle w:val="ListParagraph"/>
        <w:numPr>
          <w:ilvl w:val="0"/>
          <w:numId w:val="2"/>
        </w:numPr>
        <w:spacing w:after="60"/>
      </w:pPr>
      <w:r>
        <w:rPr>
          <w:b/>
        </w:rPr>
        <w:t xml:space="preserve">Balance sin presión</w:t>
      </w:r>
      <w:r>
        <w:t xml:space="preserve">: DFN de 176 M (0,5x el EBITDA) y 1.379 M de liquidez a jun-26 [6, 8].</w:t>
      </w:r>
    </w:p>
    <w:p>
      <w:pPr>
        <w:pStyle w:val="ListParagraph"/>
        <w:numPr>
          <w:ilvl w:val="0"/>
          <w:numId w:val="2"/>
        </w:numPr>
        <w:spacing w:after="60"/>
      </w:pPr>
      <w:r>
        <w:rPr>
          <w:b/>
        </w:rPr>
        <w:t xml:space="preserve">Precio poco exigente</w:t>
      </w:r>
      <w:r>
        <w:t xml:space="preserve">: el DCF inverso supone un 3,6 % anual, frente al 4,4 % del caso base, o un margen EBITDA del 8,2 %, el del 1S26.</w:t>
      </w:r>
    </w:p>
    <w:p>
      <w:pPr>
        <w:pStyle w:val="Heading2"/>
      </w:pPr>
      <w:r>
        <w:t xml:space="preserve">En contra</w:t>
      </w:r>
    </w:p>
    <w:p>
      <w:pPr>
        <w:pStyle w:val="ListParagraph"/>
        <w:numPr>
          <w:ilvl w:val="0"/>
          <w:numId w:val="2"/>
        </w:numPr>
        <w:spacing w:after="60"/>
      </w:pPr>
      <w:r>
        <w:rPr>
          <w:b/>
        </w:rPr>
        <w:t xml:space="preserve">El beneficio no se cobra</w:t>
      </w:r>
      <w:r>
        <w:t xml:space="preserve">: FCF de 4,6 M en 2025 y del 43 % del beneficio en 2018-2025 [1].</w:t>
      </w:r>
    </w:p>
    <w:p>
      <w:pPr>
        <w:pStyle w:val="ListParagraph"/>
        <w:numPr>
          <w:ilvl w:val="0"/>
          <w:numId w:val="2"/>
        </w:numPr>
        <w:spacing w:after="60"/>
      </w:pPr>
      <w:r>
        <w:rPr>
          <w:b/>
        </w:rPr>
        <w:t xml:space="preserve">Margen ferroviario estancado</w:t>
      </w:r>
      <w:r>
        <w:t xml:space="preserve">: EBIT del 5,2 % en 2025 frente al 7,6 % de 2018 y al 8,8 % de Siemens Mobility [1, 19].</w:t>
      </w:r>
    </w:p>
    <w:p>
      <w:pPr>
        <w:pStyle w:val="ListParagraph"/>
        <w:numPr>
          <w:ilvl w:val="0"/>
          <w:numId w:val="2"/>
        </w:numPr>
        <w:spacing w:after="60"/>
      </w:pPr>
      <w:r>
        <w:rPr>
          <w:b/>
        </w:rPr>
        <w:t xml:space="preserve">Riesgo de contratos a precio cerrado</w:t>
      </w:r>
      <w:r>
        <w:t xml:space="preserve">: cada punto de margen EBITDA vale ≈ 21 EUR por acción; SNCB supera los 1.700 M [8].</w:t>
      </w:r>
    </w:p>
    <w:p>
      <w:pPr>
        <w:pStyle w:val="ListParagraph"/>
        <w:numPr>
          <w:ilvl w:val="0"/>
          <w:numId w:val="2"/>
        </w:numPr>
        <w:spacing w:after="60"/>
      </w:pPr>
      <w:r>
        <w:rPr>
          <w:b/>
        </w:rPr>
        <w:t xml:space="preserve">Precio por encima de los analistas</w:t>
      </w:r>
      <w:r>
        <w:t xml:space="preserve">: 78,30 EUR frente a un objetivo medio de 69,22-73,95 EUR, tras un +49 % en un año [46, 48].</w:t>
      </w:r>
    </w:p>
    <w:p>
      <w:pPr>
        <w:pStyle w:val="ListParagraph"/>
        <w:numPr>
          <w:ilvl w:val="0"/>
          <w:numId w:val="2"/>
        </w:numPr>
        <w:spacing w:after="60"/>
      </w:pPr>
      <w:r>
        <w:rPr>
          <w:b/>
        </w:rPr>
        <w:t xml:space="preserve">Gobierno mejorable</w:t>
      </w:r>
      <w:r>
        <w:t xml:space="preserve">: 30 % de independientes y un incentivo a largo plazo sin métricas de caja ni de rentabilidad del capital [1].</w:t>
      </w:r>
    </w:p>
    <w:p>
      <w:pPr>
        <w:pStyle w:val="Heading2"/>
      </w:pPr>
      <w:r>
        <w:t xml:space="preserve">Qué tiene que pasar para que la tesis funcione</w:t>
      </w:r>
    </w:p>
    <w:p>
      <w:pPr>
        <w:spacing w:after="100"/>
      </w:pPr>
      <w:r>
        <w:t xml:space="preserve">La tesis depende de que el margen y la caja mejoren juntos. La señal de que no ocurre sería un cash flow de CAF negativo en 2026 (fue de 12 M en el 1S26, con 148 M de aumento del circulante) o un margen EBIT ferroviario por debajo del 5 % en el 2S26. El Plan 2027-2030 del 4T26 es la prueba: si promete margen sin objetivo de caja, o anuncia una compra grande con deuda, el caso base pierde su apoyo.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(1S26); 5,5 %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promete mejora; el DCF supone ≈ 6,0 % estable (EBITDA del 8,4 %).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Ferroviario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sobrecostes en contratos a precio cerrado.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de CAF / circulante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M en el 1S26; circulante de 235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Cash flow anual negativo; circulante &gt; 400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conversión en caja es la debilidad histórica.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 (1S26); 0,7x en Autobuses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 en el año; &lt; 0,8x en Autobuses dos semestres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crecimiento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de Solaris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(1S26); 6,3 %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explica casi toda la mejora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 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 / 12,4x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CAF nace en Beasain (Gipuzkoa) sobre una tradición siderúrgica que arranca en 1860 con la Fábrica de Hierros de San Martín y sigue en 1892 con La Maquinista Guipuzcoana [33]. La sociedad actual se constituye en 1917 en San Sebastián, con domicilio en Beasain [16], y adopta su nombre actual en 1971 al fusionarse con Material Móvil y Construcciones (Zaragoza) [33]. Su accionista de referencia son los propios empleados, agrupados en Cartera Social (24,87 % del capital en 2019) [16]. La última década la convierte de fabricante ferroviario en grupo de dos negocios: compra Solaris (autobuses urbanos, Polonia) en 2018, EuroMaint (mantenimiento en los países nórdicos) en 2019 y la planta de Reichshoffen con las plataformas Coradia Polyvalent y Talent 3 de Alstom en agosto de 2022 [15, 17]. En 2025 firma el mayor contrato de su historia, con la belga SNCB, por 1.700 M EUR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Hierros de San Martín en Beasain, origen industrial del grupo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Maquinista Guipuzcoana empieza a fabricar material ferroviario en Beasain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la sociedad en San Sebastián, con domicilio social en Beasain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Material Móvil y Construcciones (Zaragoza); adopta el nombre actual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Brasil, hoy su mayor mercado de mantenimiento, con contratos por cerca de 3.000 M EUR acumulados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Implantación productiva en Reino Unido (planta de Newport)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Solaris Bus &amp; Coach (Polonia), que consolida desde septiembre de 2018 y crea el segmento Autobuses [15,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EuroMaint, servicios de mantenimiento ferroviario en los países nórdicos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Alstom de la planta de Reichshoffen (Francia, más de 700 empleados), la plataforma Coradia Polyvalent y la propiedad intelectual de Talent 3 [15,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récord con SNCB (1.700 M EUR), tranvía Urbos número 1.000 y cartera de pedidos máxima de 16.235 M EUR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entra en Norteamérica: 184 trolebuses para Vancouver y primer pedido en EE. UU. (King County Metro)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CAF diseña, fabrica y mantiene material rodante ferroviario y autobuses urbanos. En 2025 facturó 4.487 M EUR [1]: trenes 1.866 M (41,6 %; alta velocidad, regionales y cercanías 989 M, tranvías y metros ligeros 513 M, metros 332 M), servicios ferroviarios 756 M (16,9 %), autobuses Solaris 1.183 M (26,4 %) y sistemas integrales, señalización, equipos y resto 681 M (15,2 %) [1]. Fabrica en España, Francia, Reino Unido, EE. UU., Brasil y México (y autobuses en Polonia), tiene más de 150 centros de mantenimiento, ha entregado más de 5.200 trenes y más de 27.000 autobuses, y emplea a más de 17.500 personas [1]. En 2025 terminó 219 trenes (1.061 coches) y Solaris entregó 1.631 vehículos [1]. Europa supone el 70,6 % de las ventas (España 524 M, Italia 476 M, Francia 438 M, países nórdicos 415 M) [1]. Los clientes son administraciones, operadores públicos y privados (Renfe, SNCF, Metro de Madrid, Nobina, ATAC) y otros fabricantes con los que va en consorcio (Alstom en los regionales franceses) [1].</w:t>
      </w:r>
    </w:p>
    <w:p>
      <w:pPr>
        <w:pStyle w:val="Heading2"/>
      </w:pPr>
      <w:r>
        <w:t xml:space="preserve">Cómo gana dinero</w:t>
      </w:r>
    </w:p>
    <w:p>
      <w:pPr>
        <w:spacing w:after="100"/>
      </w:pPr>
      <w:r>
        <w:t xml:space="preserve">Contratos plurianuales adjudicados por licitación. La cartera de 16.235 M EUR equivale a 3,6 años de ventas [1]. El margen EBIT de 2025 fue del 5,2 % en Ferroviario (170,7 M sobre 3.305 M de ventas) y del 6,3 % en Autobuses (75,1 M sobre 1.183 M) [1]; en el 1S26, 5,3 % y 7,3 % [14]. La parte recurrente son los servicios (16,9 % de las ventas), con contratos de 10 a 24 años sobre flotas propias: 500 M EUR a 24 años con Trivia Trens en São Paulo y 10 años con Northern en Reino Unido [1]. La contratación de servicios pasó de 671 M en 2024 a 1.714 M en 2025 [1]. En autobuses, el margen depende de la mezcla: las entregas de cero emisiones subieron del 65 % al 79 % y elevaron el precio medio, de modo que las ventas crecieron un 28 % con un 7 % más de unidades [1]. El riesgo está en el precio fijo: CAF estimaba en 2022 que la inflación restaba unos 1,5 puntos a la rentabilidad de la cartera [15], y en el 1S26 la cartera ferroviaria seguía «parcialmente impactada» [14]. Solaris concentraba las entregas en el cuarto trimestre, aunque en 2026 las reparte mejor [14].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llegó al 10 % de la cifra de negocios en 2025 ni en 2024 [1], pero los contratos son grandes: SNCB (1.700 M EUR, el mayor de su historia) [1], ONCF en Marruecos (cerca de 600 M) y Trivia Trens (unos 500 M a 24 años) [1]. La clientela es muy repetitiva: entre 2019 y septiembre de 2022, el 65 % de la contratación vino de clientes que ya lo eran y el 47 % fueron ampliaciones de contratos [15]. Lo confirman las opciones ejercidas en 2025 (Metro de Madrid amplió a 48 trenes; Régiolis para SNCF) y que los grandes contratos de mantenimiento son de flotas que fabricó CAF (101 trenes de Northern, 107 de Trivia) [1]. Solaris vendió en 15 países; sus primeros mercados de pedidos en 2025 fueron Polonia (1.196 vehículos), Suecia (378) y Alemania (359) [1]. El poder de precios es limitado: los contratos se ganan en concurso y a precio cerrado, y la inflación de 2022 comprimió el margen de la cartera (≈ 1,5 puntos)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16.235 (2025); 17.743 a 30-jun-26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en 2025; +9 %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Ferroviario 13.882 y Autobuses 2.353 a dic-25; 15.609 y 2.134 a jun-26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 (2025); 4.035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+31 %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incluye SNCB (Bélgica), más de 1.700 M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(2025); 1,6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servicios ferroviarios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16,9 % de las ventas del grupo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circulante (M EUR, MAR de CAF)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 EBITDA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(2025); 0,5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DFN 188 M dic-25; 176 M jun-26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entregados (uds.)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cero emisiones en 1S26; cartera de 2.387 autobuses a jun-26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de CAF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suministro ferroviario mundial</w:t>
      </w:r>
      <w:r>
        <w:t xml:space="preserve"> que mide el World Rail Market Study de UNIFE (Bain &amp; Company, 11.ª edición, publicada el 22-sep-2026): material rodante, servicios, infraestructura, control-mando y señalización y proyectos llave en mano en 66 países (≈ 99 % de la demanda) [24]. A CAF le tocan sobre todo el material rodante (68.800 M EUR al año) y los servicios (84.100 M), el 69 % del total. Solo el 56 % del mercado está abierto a proveedores europeos [24]. Como contraste, la serie de la edición de 2024 [25] y el crecimiento de SCI Verkehr que cita Stadler (5,8 % anual en 2023-2028) [20]. El segundo mercado, Autobuses (26 % de las ventas), es el </w:t>
      </w:r>
      <w:r>
        <w:rPr>
          <w:b/>
        </w:rPr>
        <w:t xml:space="preserve">autobús urbano europeo</w:t>
      </w:r>
      <w:r>
        <w:t xml:space="preserve">: 38.238 autobuses matriculados en la UE en 2025 [28], de ellos 11.607 eléctricos en Europa ampliada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220.600 M EUR al año de media en 2023-2025 (mercado ferroviario mundial; 124.000 M accesibles a proveedores europeos) [24]; autobuses: 38.238 unidades matriculadas en la UE en 2025 (+7,5 %)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al año (media trienal del WRMS; el año es el central del trieni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del transporte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 los autobuses urbanos de la UE matriculados en 2025 fue de cero emisiones [26]; la Directiva de Vehículos Limpios exige que España, Alemania e Italia compren un 65 % de autobuses limpios en 2026-2030 (45 % en 2021-2025) [32]; el 86,5 % de las ventas de CAF está alineado con la taxonomía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pública en ferrocarril y renovación de flotas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220.600 M EUR que crecerá un 3,2 % anual hasta 267.000 M en 2029-2031 [24]; Alstom contrató un récord de 27.628 M EUR (relación entre pedidos y ventas de 1,4)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sobre la flota instalada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son el mayor segmento del mercado (84.100 M EUR al año) [24]; la contratación de servicios de CAF subió de 671 M a 1.714 M EUR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metro y tranvía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tranvías de CAF subieron de 380 M a 513 M EUR y las de metros de 249 M a 332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cerrados y competencia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accesible a proveedores europeos bajó del 59 % al 56 %; quedan fuera unos 97.000 M EUR al año [24]. Yutong y BYD suman el 26,7 % de los autobuses eléctricos matriculados en Europa en 2025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Inflación y ejecución de contratos a precio fijo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estimaba en 2022 un impacto de ≈ 1,5 puntos en la rentabilidad de su cartera [15]; Alstom bajó su margen EBIT ajustado del 6,4 % al 6,1 % por la ejecución de algunos contratos [18]; las inundaciones de Valencia siguen lastrando a Stadler (margen EBIT del 4,4 %)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públicos con pocos fabricantes de gran escala y precio cerrado. Los márgenes EBIT de 2025 lo reflejan: CAF Ferroviario 5,2 % [1], Stadler 4,4 % [20], Alstom 6,1 % ajustado y 2,8 % contable [18]; solo Siemens Mobility (8,8 %) [19] e Hitachi (8,2 %) [21] superan el 8 %.</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Compradores públicos o concesionarios que licitan, fijan penalizaciones y exigen avales; Talgo afronta una penalización de 116 M EUR de Renfe por retrasos [29]. Ningún cliente pesa un 10 % en CAF [1], pero un solo contrato (SNCB) equivale al 38 % de las ventas anuales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Persisten tensiones en baterías y semiconductores [1]; en los regionales franceses, Alstom es a la vez socio y proveedor de equipos de CAF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ferrocarril las barreras son altas (homologaciones, referencias, más de 3.300 ingenieros en CAF) [1], y la UE frena a CRRC con el Reglamento de subvenciones extranjeras (primera investigación a fondo, feb-2024) [31]. En autobuses la entrada es real: Yutong lidera el eléctrico europeo con el 15,5 % y BYD triplicó sus matriculaciones (+206 %)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ferrocarril y el autobús urbano no tienen sustituto en la movilidad masiva urbana; la política climática los favorece frente al coche [32]. Dentro del autobús, el eléctrico sustituye al diésel y CAF lo tiene: el 86 % de las ventas de Solaris son de cero o bajas emisiones [1].</w:t>
            </w:r>
          </w:p>
        </w:tc>
      </w:tr>
    </w:tbl>
    <w:p>
      <w:pPr>
        <w:spacing w:after="160" w:before="0"/>
      </w:pPr>
    </w:p>
    <w:p>
      <w:pPr>
        <w:pStyle w:val="Heading2"/>
      </w:pPr>
      <w:r>
        <w:t xml:space="preserve">Ciclo</w:t>
      </w:r>
    </w:p>
    <w:p>
      <w:pPr>
        <w:spacing w:after="100"/>
      </w:pPr>
      <w:r>
        <w:t xml:space="preserve">Todos los indicadores de pedidos están en máximos: la relación entre pedidos y ventas de CAF fue de 1,3 en 2025 y de 1,6 en el 1S26 [1, 14]; la de Alstom, de 1,4, con una cartera de 104.400 M EUR [18]; Stadler tiene 32.286 M CHF en cartera [20] y Siemens Mobility contrató 16.994 M EUR frente a 12.444 M de ventas [19]. El mercado creció un 4,6 % anual sin inflación en 2023-2025 [24]. El ciclo ferroviario sigue a la inversión pública más que al PIB: el WRMS registró 176.500 M EUR de media en 2019-2021, en plena pandemia, y crecimiento real después [25]. El golpe de 2022 llegó por los márgenes, no por la demanda: la inflación sobre contratos a precio fijo [15]. No he documentado el comportamiento de 2008-09.</w:t>
      </w:r>
    </w:p>
    <w:p>
      <w:pPr>
        <w:pStyle w:val="Heading2"/>
      </w:pPr>
      <w:r>
        <w:t xml:space="preserve">Regulación</w:t>
      </w:r>
    </w:p>
    <w:p>
      <w:pPr>
        <w:spacing w:after="100"/>
      </w:pPr>
      <w:r>
        <w:rPr>
          <w:b/>
        </w:rPr>
        <w:t xml:space="preserve">Directiva de Vehículos Limpios (UE 2019/1161)</w:t>
      </w:r>
      <w:r>
        <w:t xml:space="preserve">: cuota mínima de autobuses limpios en la compra pública, la mitad de ellos de cero emisiones; en 2026-2030 sube al 65 % en España, Alemania e Italia, al 61 % en Francia y al 46 % en Polonia [32]. CAF recuerda que en 2035 todos los autobuses urbanos que se compren deberán ser de cero emisiones [1]. </w:t>
      </w:r>
      <w:r>
        <w:rPr>
          <w:b/>
        </w:rPr>
        <w:t xml:space="preserve">Reglamento de subvenciones extranjeras</w:t>
      </w:r>
      <w:r>
        <w:t xml:space="preserve">: la Comisión abrió el 20-feb-2024 su primera investigación a fondo, contra CRRC Qingdao Sifang en un concurso de trenes en Bulgaria [31]. </w:t>
      </w:r>
      <w:r>
        <w:rPr>
          <w:b/>
        </w:rPr>
        <w:t xml:space="preserve">Aranceles y «Buy America»</w:t>
      </w:r>
      <w:r>
        <w:t xml:space="preserve">: CAF señala el riesgo de aranceles [1], y fabrica en Elmira (EE. UU.) los prototipos de Solaris para cumplir la norma [6]; Volvo Buses sufrió a final de 2025 los aranceles de EE. UU. a los autobuses de Canadá [23]. El nuevo Marco Financiero Plurianual 2028-2034 prioriza el clima [1].</w:t>
      </w:r>
    </w:p>
    <w:p>
      <w:pPr>
        <w:pStyle w:val="Heading2"/>
      </w:pPr>
      <w:r>
        <w:t xml:space="preserve">Tendencias y disrupción</w:t>
      </w:r>
    </w:p>
    <w:p>
      <w:pPr>
        <w:spacing w:after="100"/>
      </w:pPr>
      <w:r>
        <w:rPr>
          <w:b/>
        </w:rPr>
        <w:t xml:space="preserve">Cero emisiones</w:t>
      </w:r>
      <w:r>
        <w:t xml:space="preserve">: el autobús eléctrico creció un 48 % en Europa en 2025 [26] y Solaris tiene el 58 % del de hidrógeno [27]; en tren, baterías e hidrógeno sustituyen al diésel en líneas sin catenaria (Stadler dice tener ≈ 50 % de ese nicho en Europa [20]; CAF desarrolla un tren de baterías de gran autonomía [1]). </w:t>
      </w:r>
      <w:r>
        <w:rPr>
          <w:b/>
        </w:rPr>
        <w:t xml:space="preserve">Automatización y digitalización</w:t>
      </w:r>
      <w:r>
        <w:t xml:space="preserve">: CAF gana su primer proyecto de conducción automática GoA4 (metro de Nápoles) [14] y vende mantenimiento predictivo con su plataforma LeadMind [1]. </w:t>
      </w:r>
      <w:r>
        <w:rPr>
          <w:b/>
        </w:rPr>
        <w:t xml:space="preserve">Nuevos competidores</w:t>
      </w:r>
      <w:r>
        <w:t xml:space="preserve">: los fabricantes chinos (Yutong, BYD) y MAN ganan cuota en el autobús eléctrico, y Solaris cae al 7,6 % de las matriculaciones [26], aunque defiende un 11 % del eléctrico de batería y un 14 % del urbano de cero emisiones con otra base [27]. CAF gana en servicios y automatización y pierde cuota en el autobús eléctrico.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Fabricante europeo de segundo nivel en ferrocarril: las ventas ferroviarias de 3.305 M EUR son ≈ 1,5 % del mercado mundial de 220.600 M (estimación propia: 3.305 / 220.600) [1, 24], frente al 8,7 % de Alstom y el 5,6 % de Siemens Mobility. En autobús eléctrico europeo, Solaris es 7.ª por matriculaciones (7,6 %) [26]; con su propia base es 3.ª en el urbano de cero emisiones (≈ 14 %) y 1.ª en hidrógeno (58 %) [27].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Alstom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europeo por ventas; ejercicio a marzo de 2026. Margen EBIT ajustado del 6,1 % (2,8 % contable: 544 M); cartera de 104.400 M EUR y guía del 6,5 % para 2026/27, con problemas de ejecución en material rodante [18]. Es a la vez socio de CAF en los regionales franceses.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Mobility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Siemens AG (ejercicio a septiembre de 2025). Margen de beneficio del segmento del 8,8 % (8,9 % en 2024); pedidos de 16.994 M EUR; guía 2026: crecimiento del 8-10 % y margen del 8-10 %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Rail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Mobility de Hitachi (ejercicio a marzo de 2026): 1.321.571 M JPY de ventas y 108.115 M de EBITA ajustado, no EBIT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Stadler Rail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SRAIL.SW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3.679 M CHF de ventas y EBIT de 160,6 M CHF (4,4 %; 3,1 % en 2024), lastrado por las inundaciones de Valencia; cartera de 32.286 M CHF. Rival más directo de CAF en regionales, tranvías y locomotoras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Talgo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TLGO.MC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618 M EUR de ventas y 100 M de pérdidas en 2025 por el contrato de Deutsche Bahn y una penalización de Renfe de 116 M; deuda neta de 394 M [29]. Rival en España en alta velocidad. No he leído su EBIT.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Buses (Mercedes-Benz, Setra)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DTG.DE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Daimler Truck: 26.991 autobuses vendidos en 2025, EBIT ajustado de 599 M EUR (10,0 %, el primer año de dos cifras) [22]; 3.º en el eléctrico europeo con 1.395 unidades [26]. Cuota sobre matriculaciones de eléctricos en Europa.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Volvo Buses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25.072 M SEK de ventas y 2.192 M de resultado de explotación (9,1 % ajustado) en 2025 [23]; 364 eléctricos matriculados en Europa [26]. Más expuesto a interurbano y Latinoamérica.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Yutong Bus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600066.SS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41.426 M CNY de ventas y 5.554 M de beneficio neto (13,4 % de margen neto) en 2025; 17.149 autobuses exportados (+22 %) [30]. Líder del eléctrico europeo con 1.801 matriculaciones [26]. No he leído su 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 sentido propio; la flota instalada alimenta los servicios: más de 150 contratos en 20 países y unos 12.000 coches mantenidos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de la contratación de 2019-2022 vino de clientes que repiten y el 47 % fueron ampliaciones [4]; los grandes contratos de mantenimiento son de flotas CAF (Northern 101 trenes, Trivia 107) [1]. Pero cada flota nueva sale a concurso.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homologadas en muchos países (Urbos: 1.000 tranvías entregados; Coradia Polyvalent y Talent 3 comprados a Alstom) [1, 4]; Solaris tiene el 58 % del autobús de hidrógeno europeo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ferroviario del 5,2 % supera al de Stadler (4,4 %) y al contable de Alstom (2,8 %), pero queda por debajo de Siemens Mobility (8,8 %) e Hitachi (8,2 %) [1, 7-10]; en autobuses, el 6,3 % de Solaris está lejos del 10,0 % de Daimler Buses y del 8,7 % de Volvo Buses [1, 11,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ferroviarias de 3.305 M EUR son una sexta parte de las de Alstom (19.171 M) [1, 7]; Solaris vendió 1.631 vehículos frente a 26.991 de Daimler Buses [1, 11].</w:t>
            </w:r>
          </w:p>
        </w:tc>
      </w:tr>
    </w:tbl>
    <w:p>
      <w:pPr>
        <w:spacing w:after="160" w:before="0"/>
      </w:pPr>
    </w:p>
    <w:p>
      <w:pPr>
        <w:pStyle w:val="Heading2"/>
      </w:pPr>
      <w:r>
        <w:t xml:space="preserve">Amenazas</w:t>
      </w:r>
    </w:p>
    <w:p>
      <w:pPr>
        <w:spacing w:after="100"/>
      </w:pPr>
      <w:r>
        <w:rPr>
          <w:b/>
        </w:rPr>
        <w:t xml:space="preserve">Fabricantes chinos en autobuses</w:t>
      </w:r>
      <w:r>
        <w:t xml:space="preserve"> (probabilidad alta): Yutong (15,5 %) y BYD (11,2 %, +206 % en un año) suman más cuota que Mercedes y MAN juntos en el eléctrico europeo, y Solaris queda en el 7,6 % [26]; Yutong gana un 13,4 % neto sobre ventas [30], el doble que Solaris en EBIT. </w:t>
      </w:r>
      <w:r>
        <w:rPr>
          <w:b/>
        </w:rPr>
        <w:t xml:space="preserve">Escala de Alstom y Siemens</w:t>
      </w:r>
      <w:r>
        <w:t xml:space="preserve"> (media): carteras y márgenes que permiten pujar más bajo en los grandes concursos [18, 19]. </w:t>
      </w:r>
      <w:r>
        <w:rPr>
          <w:b/>
        </w:rPr>
        <w:t xml:space="preserve">CRRC en Europa</w:t>
      </w:r>
      <w:r>
        <w:t xml:space="preserve"> (baja mientras rija el Reglamento de subvenciones extranjeras) [31]. </w:t>
      </w:r>
      <w:r>
        <w:rPr>
          <w:b/>
        </w:rPr>
        <w:t xml:space="preserve">Contratos a precio fijo</w:t>
      </w:r>
      <w:r>
        <w:t xml:space="preserve"> (media): un ciclo inflacionario volvería a comprimir márgenes, como en 2022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2018-2025: ingresos </w:t>
      </w:r>
      <w:r>
        <w:rPr>
          <w:b/>
          <w:bCs/>
        </w:rPr>
        <w:t xml:space="preserve">11,9 %</w:t>
      </w:r>
      <w:r>
        <w:t xml:space="preserve">, EBITDA </w:t>
      </w:r>
      <w:r>
        <w:rPr>
          <w:b/>
          <w:bCs/>
        </w:rPr>
        <w:t xml:space="preserve">8,2 %</w:t>
      </w:r>
      <w:r>
        <w:t xml:space="preserve">, BPA </w:t>
      </w:r>
      <w:r>
        <w:rPr>
          <w:b/>
          <w:bCs/>
        </w:rPr>
        <w:t xml:space="preserve">18,9 %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CAF ha duplicado las ventas en siete años (2.048 M en 2018 a 4.487 M en 2025; TCAC del 11,9 %), pero una parte es comprada: Solaris aporta 1.183 M en 2025 y entró en el perímetro en septiembre de 2018, y Reichshoffen añadió unos 138 M anuales desde agosto de 2022 [1, 3, 5]. Sin compras, el crecimiento de 2023-2025 fue del 6,5-20,8 % anual, empujado por una cartera que pasó de 9.640 M (2021) a 16.235 M (2025) [1, 4]. El margen es el punto débil: el EBITDA sobre ventas fue del 9,8 % en 2018 y no ha vuelto a pasar del 8,7 % (2021); en 2022 cayó al 7,3 % porque la cartera estaba firmada a precio cerrado antes de la inflación, y desde entonces sube despacio (7,5 %, 7,7 % y 7,8 %) [1, 2, 3, 4]. El EBIT ferroviario sigue en el 5,2 % (7,6 % en 2018) y lo que mejora es Solaris: de −3,7 M en 2022 a 75,1 M en 2025 (6,3 %) y 60 M en el 1S26 (7,3 %) [1, 8]. El beneficio por acción crece más (TCAC del 18,9 %) porque 2018 parte de un BPA de 1,27 EUR y el resultado financiero ha bajado de −63 M a −37 M [1, 5].</w:t>
      </w:r>
    </w:p>
    <w:p>
      <w:pPr>
        <w:pStyle w:val="Heading2"/>
      </w:pPr>
      <w:r>
        <w:t xml:space="preserve">Ajustes y partidas no recurrentes</w:t>
      </w:r>
    </w:p>
    <w:p>
      <w:pPr>
        <w:spacing w:after="100"/>
      </w:pPr>
      <w:r>
        <w:t xml:space="preserve">CAF publica un «EBITDA ajustado» que en 2024-2025 coincide con el reportado (325 M y 350 M; los otros ajustes son 0) [1]; el informe usa las cifras NIIF. Partidas no recurrentes identificadas: −37,9 M en 2019 por la multa del CADE (Brasil), que dejó el beneficio en 24,7 M [5]; la COVID en 2020 (sin dividendo) [4]; y en 2022 el impacto de la inflación en contratos a precio cerrado, que CAF estimó en ≈ 1,5 puntos de margen de su cartera [15]. La actualización de la multa del CADE por la SELIC (5,9 M en 2025) va en gastos financieros todos los años [1]. El resultado por puesta en equivalencia (entre −4,2 y +6,4 M) está en el BAI y no en el resultado financiero [1, 2, 3, 4,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CAF no publica transcripciones; este resumen sale de las dos últimas presentaciones y de las notas previas de un analista [72]. En el 1T26 (7-may) la dirección explicó una caída del 5 % de las ventas ferroviarias por un «efecto contable» que revertiría en junio, y presumió de contratación: 2.883 M (book-to-bill de 2,5x) con el contrato de SNCB y cerca de 900 M firmados fuera de cartera (El Cairo, Nápoles, Belgrado) [9]. En el 1S26 (30-jul) cumplió: ventas ferroviarias +3 % en el semestre, ventas del grupo +16 % y EBIT +32 %, un 15 % por encima del consenso de 11 analistas que recoge la propia CAF (131 M) [8, 48]. Dos cambios de discurso. Primero, Solaris pasa a ser el motor (1.079 autobuses entregados, +41 %, y margen EBIT del 7,3 %), pero la empresa avisa de que el 2S26 tendrá un reparto de entregas «similar al de ejercicios anteriores», es decir, menos favorable [8]. Segundo, reconoce que la cartera ferroviaria sigue «aún impactada parcialmente por la inflación» y aparece Oriente Medio como riesgo de ejecución «sin impacto material» [8]. Lo que no explicó: el circulante subió 148 M en el semestre (de 87 a 235 M) y el cash flow fue de solo 12 M; la presentación lo atribuye a la «calendarización de los cobros» sin dar el calendario [8]. Tampoco hay guía de margen para 2027 hasta el nuevo plan del 4T26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(2018: Solaris (autobuses, Polonia) consolidada desde septiembre de 2018: entra entera en el balance de 2018 con solo cuatro meses en la cuenta [5].; 2019: EuroMaint (mantenimiento ferroviario, Suecia) consolidada desde julio de 2019 [5].; 2022: CAF Reichshoffen (planta de Alstom en Alsacia, plataforma Coradia Polyvalent y PI de Talent 3), consolidada desde el 1-ago-22; con el año completo habría añadido 138,0 M de ventas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CAF se financia con sus clientes. La deuda financiera bruta es estable (812-833 M desde 2022) y la deuda financiera neta que publica ha bajado de 434 M en 2019 a 176 M en jun-26 (0,5x el EBITDA) [1, 6]. Pero esa deuda baja porque los anticipos y el factoring adelantan la caja: con los arrendamientos (116 M), la multa del CADE, el factoring sin recurso y el dividendo pendiente al cierre de junio, la deuda neta ajustada del puente es de 531 M, 1,4x el EBITDA de los últimos 12 meses. El circulante del motor (existencias + clientes − proveedores, con activos y pasivos por contrato) ha pasado del 4,1 % de las ventas en 2022 al 9,0 % en 2025, y el 1S26 consumió otros 130 M [1, 8]. Vencimientos cómodos: 178 M en 2026 y 296 M en 2027, con 1.379 M de liquidez a jun-26 (742 M de líneas no dispuestas) [1, 8]. Sin rating: la sociedad no lo ha pedido [70]. El Altman Z de 1,74 («zona de riesgo») no mide aquí solvencia: los anticipos inflan el pasivo, como avisa el propio indicador.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238</w:t>
      </w:r>
      <w:r>
        <w:t xml:space="preserve">, conversión </w:t>
      </w:r>
      <w:r>
        <w:rPr>
          <w:b/>
          <w:bCs/>
        </w:rPr>
        <w:t xml:space="preserve">43 %</w:t>
      </w:r>
      <w:r>
        <w:t xml:space="preserve"> del beneficio neto; adquisiciones 233, dividendos 242, recompras 1.</w:t>
      </w:r>
    </w:p>
    <w:p>
      <w:pPr>
        <w:spacing w:after="100"/>
      </w:pPr>
      <w:r>
        <w:t xml:space="preserve">Este es el dato que más pesa contra CAF: el beneficio no se convierte en caja. En 2018-2025 el FCF después de intereses y arrendamientos suma 238 M, un 43 % del beneficio acumulado, y en 2022-2025 fue de −39,5, −52,5, 16,9 y 4,6 M pese a un beneficio de 52-146 M. La causa principal es el circulante: el estado de flujos recoge consumos de 46,5, 116,2, 62,8 y 94,3 M en esos cuatro años, unos 21 céntimos por cada euro de ventas nuevas (320 M para 1.544 M más de ventas entre 2021 y 2025) [1, 2, 3]. El «cash flow» que publica CAF es más alto (88 M en 2025, 72 M en 2024) porque no resta los arrendamientos ni todos los intereses [1]. El capex es bajo y sube: 44-46 M en 2020-2021 y 106 M en 2025 según CAF (114 M en el estado de flujos), por la ampliación de capacidad en Beasain, los talleres de Alemania y Reino Unido y la nueva nave de Solaris (+500 autobuses al año) [1, 8]. Sin dato de la empresa sobre mantenimiento, estimamos que el capex de mantenimiento ronda la amortización (≈ 108 M, 2,4 % de las ventas): estimación propia. El DCF supone un circulante que sigue subiendo, del 9 % al 12 % de las ventas.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sin salvedades conocidas: EY audita desde 2021 y el IAGC dice que el informe anterior no tuvo salvedades; el de 2025 no se ha podido leer (ver huecos) [1]. El riesgo contable de CAF está en el reconocimiento de ingresos por grado de avance: 1.612 M de activos por contrato a dic-25 (36 % de las ventas) que dependen de las estimaciones de coste a terminación de cada proyecto, y 196 M de costes devengados registrados en proveedores [1]. Las provisiones de garantías crecen más que las ventas (269 M en 2021, 386 M en 2025), algo prudente pero que también da margen para alisar resultados [1, 4]. Los vencidos a más de 180 días subieron a 156,5 M, con 35,1 M de AMT Génova en reestructuración [1]. El fondo de comercio (189 M) no se deteriora desde Orbital en 2022, pero el de Solaris (94,2 M) cae 95,9 M con 100 puntos menos de crecimiento [1]. Los indicadores del motor: Piotroski F de 9 sobre 9 (mejora en todo en 2025), Beneish M de −2,46 (por debajo del umbral de manipulación) y Altman Z de 1,74, que no es fiable con anticipos de clientes.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grado de avance con activos por contrato altos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1.845 M a jun-26 (1.612 M a dic-25), un 38 % de las ventas de los últimos 12 meses; un cambio en las estimaciones de coste de un gran contrato se lleva el margen del año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beneficio en caja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acumulado 2018-2025 del 43 % del beneficio; en 2022-2025, casi nulo con beneficios crecientes, por el circulante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Saldos vencidos y clientes en dificultades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156,5 M vencidos a más de 180 días (131,3 M en 2024), con AMT Génova en reestructuración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Medida cautelar en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ene-26 el Ministerio Público de São Paulo obtuvo una cautelar que bloqueaba parte de ciertos cobros, después anulada; la multa del CADE está provisionada [1,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8,1 %.</w:t>
      </w:r>
    </w:p>
    <w:p>
      <w:pPr>
        <w:spacing w:after="100"/>
      </w:pPr>
      <w:r>
        <w:t xml:space="preserve">CAF solo crea valor desde 2024. El ROIC fue del 5,9-9,7 % en 2018-2023, por debajo o en el entorno de un WACC del 8,11 %, y subió al 11,2 % en 2024 y al 13,6 % en 2025. Lo mueve el margen, no la rotación: la rotación del capital invertido ha subido de forma continua (0,51x en 2018 a 0,83x en 2025) porque los anticipos financian el crecimiento, mientras el margen neto se quedó en el 1-3 %. El capital invertido apenas cambió (1.178 M en 2018, 1.268 M en 2025) con unas ventas que se duplicaron: el crecimiento lo han pagado los clientes. Frente a los competidores, el margen EBIT del Ferroviario (5,2 % en 2025) está por debajo de Siemens Mobility (8,8 %) y Hitachi Rail (8,2 % EBITA ajustado) y por encima de Stadler (4,4 %); el de Solaris (6,3 %) queda por debajo de Daimler Buses (10,0 %) y Volvo Buses (8,7 %) [1, 19, 20, 21, 22, 23]. Que el ROIC se mantenga por encima del 12 % depende de que el margen EBIT suba del 5,9 % y de que el circulante no vuelva a crecer más rápido que las ventas.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598 M + inversiones financieras temporales 25 M + facilidades crediticias no dispuestas 616 M = liquidez disponible 1.240 M [1]; programa de pagarés MARF de hasta 250 M (65,6 M emitidos)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la sociedad no ha solicitado calificación crediticia para sí ni para sus emisiones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Anticipos de clientes.</w:t>
      </w:r>
      <w:r>
        <w:t xml:space="preserve"> Los pasivos por contrato (anticipos y facturación por delante del avance) son 1.483 M a jun-26, frente a 1.845 M de activos por contrato: la posición neta es deudora (362 M; 130 M a dic-25) [6]. Se compensan con entregas del propio contrato, así que por la regla del puente van al circulante, no a la deuda; el riesgo es que su peso baje (ver valoración). </w:t>
      </w:r>
      <w:r>
        <w:rPr>
          <w:b/>
        </w:rPr>
        <w:t xml:space="preserve">Provisiones</w:t>
      </w:r>
      <w:r>
        <w:t xml:space="preserve">: 623 M a jun-26 (575 M a dic-25), de los que 386 M son garantías y asistencia técnica, 70 M contratos onerosos y 50 M litigios [1, 6]. </w:t>
      </w:r>
      <w:r>
        <w:rPr>
          <w:b/>
        </w:rPr>
        <w:t xml:space="preserve">Avales</w:t>
      </w:r>
      <w:r>
        <w:t xml:space="preserve"> bancarios y de seguros por 4.971 M, casi todos técnicos de pedidos, y 102 M de aportaciones futuras comprometidas en las concesiones de Purple Line y CFIR [1]. </w:t>
      </w:r>
      <w:r>
        <w:rPr>
          <w:b/>
        </w:rPr>
        <w:t xml:space="preserve">Factoring sin recurso</w:t>
      </w:r>
      <w:r>
        <w:t xml:space="preserve"> de 72 M a jun-26 y confirming de 33 M no anticipado [6]. </w:t>
      </w:r>
      <w:r>
        <w:rPr>
          <w:b/>
        </w:rPr>
        <w:t xml:space="preserve">Multa del CADE</w:t>
      </w:r>
      <w:r>
        <w:t xml:space="preserve"> (Brasil): provisión de 46 M a dic-25 (54 M en el puente de jun-26 según la nota semestral), recurrida [1, 6]. Anticipos reembolsables sin interés: 21,3 M. Pensiones y prejubilaciones: 44,4 M brutos [6]. Solo el préstamo del BEI (40 M dispuestos) y el de Solaris (180,7 M) llevan covenants [1].</w:t>
      </w:r>
    </w:p>
    <w:p>
      <w:pPr>
        <w:pStyle w:val="Heading1"/>
      </w:pPr>
      <w:r>
        <w:t xml:space="preserve">12. Asignación de capital</w:t>
      </w:r>
    </w:p>
    <w:p>
      <w:pPr>
        <w:pStyle w:val="Confianza"/>
        <w:spacing w:after="100"/>
      </w:pPr>
      <w:r>
        <w:t xml:space="preserve">Confianza: Media</w:t>
      </w:r>
    </w:p>
    <w:p>
      <w:pPr>
        <w:spacing w:after="100"/>
      </w:pPr>
      <w:r>
        <w:t xml:space="preserve">Dividendo «en línea con los resultados», sin cifra de payout comprometida: 1,52 EUR con cargo a 2025 (52,1 M, 36 % del beneficio), pagado en julio de 2026; 1,34 EUR en 2024 (44 %) [1, 6]. No hay recompras (solo autocartera del contrato de liquidez, 0,09 %) [1]. El Plan Estratégico 2026 reservaba unos 550 M para compras que no se hicieron, con un techo de DFN/EBITDA de 2,2x tras compras [15]. El nuevo plan 2027-2030 (4T26) fijará las prioridades; la política de remuneración aprobada en 2026 ya introduce TSR relativo y pago en acciones en el incentivo a largo plazo [8,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Bus &amp; Coach (Polonia), autobuses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(salida neta de caja de 171,7 M en 2018)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92,4 M sobre activos netos de 105,5 M; sin deterioro (94,2 M en 2025). EBIT de Autobuses: 13,7 M (2019), 41,1 (2020), -3,7 (2022), 75,1 M (2025, margen 6,3 %); 60 M en 1S26 [1, 3, 5,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EuroMaint (Suecia), mantenimiento ferroviario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9,7 M sobre activos netos de 41,1 M; 9,4 M en 2025, sin deterioro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 Reichshoffen (planta de Alstom en Alsacia, plataforma Coradia Polyvalent, PI de Talent 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Alstom de nov-2021, cerrado el 1-ago-22; la línea de compras del estado de flujos de 2022 fue una entrada neta de 33,8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77,8 M, sin deterioro; con el año completo habría aportado 138,0 M de ventas en 2022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2,67 % restante de Solaris (a SODENA)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pasa al 100 % de Solaris; -7,8 M de minoritarios [1].</w:t>
            </w:r>
          </w:p>
        </w:tc>
      </w:tr>
    </w:tbl>
    <w:p>
      <w:pPr>
        <w:spacing w:after="160" w:before="0"/>
      </w:pPr>
    </w:p>
    <w:p>
      <w:pPr>
        <w:spacing w:after="100"/>
      </w:pPr>
      <w:r>
        <w:t xml:space="preserve">Asignación de capital prudente y poco ambiciosa. En 2018-2025 CAF generó 238 M de FCF y gastó 233 M en compras y 242 M en dividendos, así que se financió con deuda y anticipos. Las tres compras salieron razonablemente: Solaris (198 M en 2018) pasó de pérdidas en 2022 a 75 M de EBIT en 2025 y su fondo de comercio no se ha deteriorado; EuroMaint (51 M) se ha integrado en los servicios, que contratan ya 1.714 M al año; Reichshoffen (2022) dio a CAF fábrica y plataforma en Francia sin salida de caja relevante [1, 3, 5]. El riesgo para el accionista está delante: el plan anterior apuntaba a compras de ≈ 550 M y a una DFN/EBITDA de 2,2x [15]; con la deuda neta en 0,5x según CAF, la tentación de una compra grande en el plan 2027-2030 es real. El ROIC solo ha superado el WACC en 2024-2025: una compra cara a 10-12x el EBITDA diluiría ese progreso.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Martínez Ojinaga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economista (Deusto) con MBA (Glasgow); carrera previa en el sector eléctrico, dirección de proyectos e interim management; consejero desde 2015 y consejero delegado desde el 1-sep-2021 [1]. Con él las ventas pasaron de 2.943 M EUR (2021) a 4.487 M EUR (2025) y la cartera a 16.235 M EUR, pero el margen EBIT quedó en 5,5 % frente al 5,6 % de 2021 (5,9 % en el 1S26) [8, 10, 15]. Tiene 12.500 acciones, compradas en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Economista (Deusto) que ha hecho toda su carrera en CAF: director general desde 1992 y consejero delegado de 2006 al 1-sep-2021, cuando pasó a presidente no ejecutivo; consejero desde 1991 [1]. Es consejero independiente de Viscofan y preside su Comisión de Auditoría [1]. No figura con acciones en el IAGC 2025 [1]. Reelegido en 2026 con un 82,40 % a favor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Aitor Galarza Rodríguez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económico-financiero y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Figura como director económico-financiero y de estrategia en el IAGC de 2021 (el primero revisado) y sigue en el de 2025: al menos cinco ejercicios sin cambio de director financiero [1, 44]. En ese periodo la deuda financiera neta / EBITDA bajó de 1,1x (2021) a 0,5x (2025 y 1S26) [8, 10, 15]. Su participación no se publica.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Baztarrica Lizarbe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secretaria; directora legal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Licenciada en Derecho y Económicas (ICADE E-3); toda su carrera en CAF; consejera ejecutiva desde 2016 y secretaria del consejo y de sus comisiones [1]. Tiene 17.040 acciones, compradas en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Iriarte Ibáñez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Vehículos (CAF Material Rodante)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(Tecnun) con MBA (IESE y UC Berkeley), ex McKinsey; vicepresidente del consejo de supervisión de Solaris desde 2018 y director de estrategia y transformación de CAF Rolling Stock desde 2020 [42]. Consejero delegado de Solaris de ene-2023 a jun-2025, cuando pasó a dirigir CAF Material Rodante [42, 43]. En esa etapa el margen EBIT de Autobuses subió de 0,9 % (1S22) a 4,3 % (2024) y 6,3 % (2025), el más alto desde la compra de Solaris en 2018 [10,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Agata Stańda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Autobuses (consejera delegada de Solaris)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Solaris desde feb-2020, donde fue miembro del consejo de dirección para estrategia y sostenibilidad; consejera delegada desde el 1-jul-2025; formada en la Universidad de Economía y Empresa de Poznań y en ESCP [43]. Solaris registró en el 1S26 sus cifras récord desde 2018 [8].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inicio de 2022 (antes de la guerra de Ucrania): ventas de Autobuses (Solaris) +10 % o más [39]. No se ha obtenido la guía completa del grupo.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grupo 3.165 M EUR (+8 %), Autobuses −3 %; margen EBIT 4,4 % (5,6 % en 2021); c.100 M EUR de autobuses sin entregar por falta de componentes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con contratación selectiva; ventas +10-15 %; mejora de rentabilidad frente a 2022; dividendo en línea con los resultados; deuda neta estable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4.775 M EUR (book-to-bill 1,2), ventas 3.825 M EUR (+21 %), EBIT 179 M EUR (+29 %) y margen 4,7 % (+0,3 p.p.); la empresa lo marca todo como cumplido [40].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en el entorno del +10 %; mejora de rentabilidad frente a 2023; dividendo en línea con los resultados; DFN/EBITDA estable [40].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1,1; ventas +10 %; EBIT +21 % con margen 5,1 % (4,7 % en 2023); resultado atribuible +16 %; DPA 1,34 EUR (+21 %); DFN/EBITDA 0,7x (0,9x en 2023)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con crecimiento cercano al doble dígito; mejora de rentabilidad frente a 2024; dividendo en línea con los resultados; DFN/EBITDA estable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1,3; ventas 4.487 M EUR (+7 %); EBIT 246 M EUR (+14 %) y margen 5,5 % (+0,4 p.p.); resultado atribuible +42 %; DPA propuesto 1,52 EUR (+14 %); DFN/EBITDA 0,5x. La empresa lo marca todo como cumplido, pero las ventas crecieron un 7 % frente al «cercano al doble dígito»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con crecimiento de un dígito alto frente a 2025; mejora de rentabilidad; dividendo en línea con los resultados; DFN/EBITDA estable (sin compras); reafirmada el 30-jul-2026 [8,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contratación 4.035 M EUR (book-to-bill 1,6), ventas 2.527 M EUR (+16 %), EBIT 150 M EUR (+32 %) con margen 5,9 % (+0,7 p.p.), DFN/EBITDA 0,5x. Ejercicio en curso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Estratégico 2026 (dic-2022)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2026: ventas c.4.800 M EUR (x1,6 sobre 2021, con un caso base de compras de c.550 M EUR; c.4.400 M EUR orgánicas); EBIT c.300 M EUR (x1,8) con margen ≥ 6,3 % (Ferroviario ≥ 6,2 %, Autobuses ≥ 6,4 %); DFN/EBITDA c.2,2x tras compras o c.1,2x sin ellas; dividendos en progresión con los resultados [10,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orgánicas de 4.400 M EUR superadas un año antes (4.487 M EUR en 2025) [10]; margen EBIT 5,5 % en 2025 (Ferroviario 5,2 %, Autobuses 6,3 %) y 5,9 % en el 1S26, por debajo del ≥ 6,3 %; EBIT 246 M EUR en 2025 frente a c.300 M EUR [8, 10]; las compras de c.550 M EUR no se hicieron y la DFN/EBITDA está en 0,5x [8, 10]. En feb-2026 la empresa etiquetó los objetivos de ventas y EBIT como «con M&amp;A»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el consejero delegado (Martínez Ojinaga, desde 2021) y el presidente no ejecutivo (Arizkorreta, consejero desde 1991) son de CAF, la sucesión de 2021 se anunció con cuatro meses de antelación y los relevos de Solaris (2023 y 2025) fueron internos [1, 42, 43]. La credibilidad es aceptable en las guías anuales (2023 y 2024 cumplidas; 2025 a medias: ventas +7 % frente a «cercano al doble dígito») y floja en el plan de medio plazo: las ventas orgánicas del Plan 2026 se cumplieron un año antes, pero el margen EBIT (5,5 % en 2025 frente a ≥ 6,3 %) y el EBIT (246 M frente a ≈ 300 M) no, y en febrero de 2026 la empresa reetiquetó esos objetivos como «con M&amp;A» [10, 15]. La alta dirección tiene poco capital (el consejero delegado, un 0,036 %) y el incentivo a largo plazo 2023-2026 se mide con EBIT y emisiones, no con caja ni rentabilidad del capital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(consejero delegado hasta el 1-sep-2021)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Martínez Ojinaga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1-sep-2021)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Baztarrica Lizarbe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secretaria; directora legal y de cumplimiento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Secretaria del consejo y de las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Idoia Zenarrutzabeitia Beldarrain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(propuesta por Kutxabank)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Domínguez de la Maza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Indumenta Pueri)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Begoña Beltrán de Heredia Villa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Julián Gracia Palacín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Carmen Allo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José Arrieta Sudupe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(más de 12 años en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 Miguel Arconada Echarri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(más de 12 años en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Andrés Arizkorreta García, Juan José Arrieta Sudupe, Luis Miguel Arconada Echarri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Social, S.A. (sociedad de los empleados de CAF)</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 de participación de los trabajadores (sus accionistas son empleados de CAF); sin consejero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continua: 24,04 % (cierre 2023), 23,75 % (2024), 23,33 % (2025) y 23,12 %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Bilbao Bizkaia Kutxa Fundación Bancaria (Kutxabank)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bancaria vasca: 3,00 % directo y 10,23 % a través de Kutxabank; propuso a la consejera dominical Zenarrutzabeitia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14,06 % (cierre 2023) al 13,23 % (cierre 2024) y sin cambio desde entonces (13,23 % a 30-jun-2026); la fundación tiene un 3 % directo desde dic-2024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 Privada Daniel Bravo Andreu (vía Danimar 1990,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familiar;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7-ene-2025 heredó la participación de Daniel Bravo Andreu (5,00 % al cierre de 2024); 5,23 %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Indumenta Pueri, S.L. (vía Global Portfolio Investments,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(grupo Mayoral); propuso al consejero dominical Domínguez de la Maza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(5,02 % en 2024, 2025 y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Instituto Vasco de Finanzas (vía Finkatze Kapitala Finkatuz, S.A.U.)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Instituto público del Gobierno Vasco;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(3,00 % en 2024, 2025 y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Independance AM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(inversor financiero);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participación significativa en el 1S26: no figuraba al cierre de 2025 y aparece con un 3,27 % a 30-jun-2026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(contrato de liquidez con Kutxabank Investment)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30.373 acciones al 31-dic-2025; solo operativa del contrato de liquidez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de administración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Martínez Ojinaga 0,036 %, Baztarrica 0,050 %, Arrieta 0,009 %, Beltrán de Heredia 0,001 %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0,916 M EUR en 2025 (+16,2 %), con el variable anual al 100 % [1]. El variable anual pesa BAI 30 % (con umbral de acceso), flujo de caja 25 %, ventas 15 %, contratación 15 % y métricas no financieras 15 % [1]. El incentivo a largo plazo 2023-2026, en metálico, mide un 85 % el EBIT agregado (objetivo 981,6 M EUR; tope del 124 % solo si el margen de 2026 supera la media de Alstom, Stadler y Talgo) y un 15 % las emisiones: sin ROIC, TSR ni caja [1]. La política 2027-2029 sube el fijo del consejero delegado de 510.000 a 600.000 EUR y anuncia un plan 2027-2030 pagado en acciones y con TSR relativo [38]. Hay clawback; la indemnización, solo del consejero delegado, tiene un tope de dos años de fijo [1, 38]. Ningún voto de remuneración bajó del 91 % a favor en tres juntas [35, 36, 37].</w:t>
      </w:r>
    </w:p>
    <w:p>
      <w:pPr>
        <w:pStyle w:val="Heading2"/>
      </w:pPr>
      <w:r>
        <w:t xml:space="preserve">Operaciones vinculadas, estructura de control y defensas</w:t>
      </w:r>
    </w:p>
    <w:p>
      <w:pPr>
        <w:spacing w:after="100"/>
      </w:pPr>
      <w:r>
        <w:t xml:space="preserve">Nadie controla CAF según el IAGC: no hay pactos parasociales comunicados ni acción concertada, y la sociedad declara que nadie ejerce control [1]. El núcleo estable es vasco: Cartera Social (empleados) 23,12 %, BBK-Kutxabank 13,23 % e Instituto Vasco de Finanzas 3,00 % suman un 39,35 % del capital a 30-jun-2026 [6], cerca de la mitad del capital que vota con asistencias del 80 % [1, 37]. Cartera Social no tiene consejero; Kutxabank e Indumenta Pueri, uno cada uno [1]. Una acción, un voto, sin clases ni límites; para asistir a la junta hacen falta 1.000 acciones agrupables, aunque se vota a distancia con una [1]. No hay medidas de neutralización ante una OPA [1]. Operaciones vinculadas con Kutxabank por 35,1 M EUR en 2025, sobre todo un crédito de 35 M EUR [1]. La junta de 2026 autorizó ampliar capital hasta la mitad en cinco años con posible exclusión del derecho preferente [6, 37].</w:t>
      </w:r>
    </w:p>
    <w:p>
      <w:pPr>
        <w:pStyle w:val="Heading2"/>
      </w:pPr>
      <w:r>
        <w:t xml:space="preserve">Señales de alerta</w:t>
      </w:r>
    </w:p>
    <w:p>
      <w:pPr>
        <w:pStyle w:val="ListParagraph"/>
        <w:numPr>
          <w:ilvl w:val="0"/>
          <w:numId w:val="2"/>
        </w:numPr>
        <w:spacing w:after="60"/>
      </w:pPr>
      <w:r>
        <w:t xml:space="preserve">Presidente no ejecutivo con 35 años en el consejo y 15 como consejero delegado (Arizkorreta, consejero desde 1991): reelegido en 2026 con un 17,59 % en contra [1, 37].</w:t>
      </w:r>
    </w:p>
    <w:p>
      <w:pPr>
        <w:pStyle w:val="ListParagraph"/>
        <w:numPr>
          <w:ilvl w:val="0"/>
          <w:numId w:val="2"/>
        </w:numPr>
        <w:spacing w:after="60"/>
      </w:pPr>
      <w:r>
        <w:t xml:space="preserve">Solo 3 independientes de 10 (30 %), por debajo del tercio que pide la Recomendación 17 del Código de Buen Gobierno; dos consejeros perdieron la independencia por superar 12 años (Arrieta desde 2008, Arconada desde 1992) y no hay consejero coordinador [1].</w:t>
      </w:r>
    </w:p>
    <w:p>
      <w:pPr>
        <w:pStyle w:val="ListParagraph"/>
        <w:numPr>
          <w:ilvl w:val="0"/>
          <w:numId w:val="2"/>
        </w:numPr>
        <w:spacing w:after="60"/>
      </w:pPr>
      <w:r>
        <w:t xml:space="preserve">La delegación para ampliar capital con exclusión del derecho preferente (junta de 2026) salió con un 25,63 % en contra; la reelección de los dos dominicales en 2024, con un 25,07 % en contra [35, 37].</w:t>
      </w:r>
    </w:p>
    <w:p>
      <w:pPr>
        <w:pStyle w:val="ListParagraph"/>
        <w:numPr>
          <w:ilvl w:val="0"/>
          <w:numId w:val="2"/>
        </w:numPr>
        <w:spacing w:after="60"/>
      </w:pPr>
      <w:r>
        <w:t xml:space="preserve">Operaciones vinculadas con Kutxabank (accionista del 13,23 % con consejera dominical) por 35,1 M EUR en 2025 y autorización para depositar hasta 50 M EUR de excedentes en el banco [1].</w:t>
      </w:r>
    </w:p>
    <w:p>
      <w:pPr>
        <w:pStyle w:val="ListParagraph"/>
        <w:numPr>
          <w:ilvl w:val="0"/>
          <w:numId w:val="2"/>
        </w:numPr>
        <w:spacing w:after="60"/>
      </w:pPr>
      <w:r>
        <w:t xml:space="preserve">La participación de los empleados (Cartera Social) baja cada año: del 24,04 % en 2023 al 23,12 % en jun-2026; y entra un inversor financiero nuevo (Independance AM, 3,27 %) [1, 2, 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(febrero de 2026, reafirmada el 7-may y el 30-jul): book-to-bill igual o superior a 1 con contratación selectiva, ventas con crecimiento de «un dígito alto» frente a 2025 (4.487 M), mejora de la rentabilidad en EBIT y resultado neto, dividendo en línea con los resultados y DFN/EBITDA estable (0,5x), sin operaciones inorgánicas [9, 10, 14]. El 1S26 ya da +16 % en ventas y +32 % en EBIT, con un 2S en el que Solaris entregará menos [8]. El consenso (MarketScreener, 9 analistas) está por encima de la guía: ventas de 4.964 M en 2026e (+10,6 %) y EBIT de 302 M (6,1 %) [47]. El Plan Estratégico 2027-2030 se presentará en el 4T26 y fijará los objetivos de medio plazo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6-oct-2026 (9 analistas)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6-oct-2026 (9 analistas)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6-oct-2026 (9 analistas)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55,40 – 80,00</w:t>
            </w:r>
          </w:p>
        </w:tc>
      </w:tr>
    </w:tbl>
    <w:p>
      <w:pPr>
        <w:spacing w:after="160" w:before="0"/>
      </w:pPr>
    </w:p>
    <w:p>
      <w:pPr>
        <w:pStyle w:val="Heading2"/>
      </w:pPr>
      <w:r>
        <w:t xml:space="preserve">Revisiones de estimaciones</w:t>
      </w:r>
    </w:p>
    <w:p>
      <w:pPr>
        <w:spacing w:after="100"/>
      </w:pPr>
      <w:r>
        <w:t xml:space="preserve">No hay datos gratuitos de la evolución de las estimaciones a 3 y 12 meses (ver huecos). Lo que sí se ve es el precio objetivo: la lista de CAF del 20-jul-2026 da una media de 69,22 EUR, con cinco precios de más de seis meses (Exane 56,0 y Bankinter 55,4 de febrero-marzo), y MarketScreener da 73,95 EUR el 6-oct con un máximo de 87,50 que no estaba en la lista de julio: hubo revisiones al alza tras el 1S26, que batió el consenso en un 15 % en EBIT [46, 48]. Renta 4 pasó de 62,2 EUR en febrero a 80,0 EUR en marzo [48, 71]. En los resultados de 2025 el EBIT quedó un 2 % por debajo del consenso (246 M frente a 251,5 M) por el margen ferroviario, y la deuda neta mucho mejor (188 M frente a 252 M) [71].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CAF ha sido una acción de dos tiempos. Hasta 2024 no hizo nada: a diez años sube un 8,0 % anual, como el IBEX (8,3 %), con una caída del 40,5 % entre noviembre de 2021 y septiembre de 2022, cuando la inflación se comió los márgenes de una cartera firmada a precio cerrado [15, 45]. Desde 2025 se ha revalorizado con fuerza: +68,5 % en 2025 y +32,9 % en 2026 hasta el 6-oct (IBEX +12,3 %), por tres hechos: la recuperación del margen de Solaris (de −0,5 % a 7,3 %), la contratación récord con SNCB (más de 1.700 M) y un 1S26 un 15 % por encima del consenso en EBIT [1, 8, 48]. Cotiza a 78,30 EUR, en máximos (79,70 el máximo de 52 semanas) y por encima del precio objetivo medio de los analistas (69,22 en la lista de CAF; 73,95 en MarketScreener) [45, 46, 48]. Beta de 0,91 y volatilidad del 28,9 %; liquidez escasa (≈ 1,9 M EUR al día) y sin posiciones cortas publicadas [45, 60].</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CAF ha cotizado de media a 6,8x el EBITDA de los últimos 12 meses (mínimo 4,8x, máximo 9,8x) y hoy lo hace a 8,2x, una prima del 21 % y el percentil 63 de su historia. El PER (15,6x) está en la media (16,0x), porque el beneficio ha crecido más que el EBITDA al bajar los gastos financieros. MarketScreener da el mismo patrón con el EBITDA del propio ejercicio: 4,4-6,3x en 2021-2025 y 7,1x con el precio actual sobre 2026e [47]. El cambio que lo justifica en parte es estructural: la deuda financiera neta ha bajado de 1,1x a 0,5x el EBITDA y Solaris ha dejado de perder dinero [1]. Lo que no ha cambiado es la conversión en caja, que es la razón histórica del descuento.</w:t>
      </w:r>
    </w:p>
    <w:p>
      <w:pPr>
        <w:pStyle w:val="Heading1"/>
      </w:pPr>
      <w:r>
        <w:t xml:space="preserve">18. Comparables cotizados</w:t>
      </w:r>
    </w:p>
    <w:p>
      <w:pPr>
        <w:pStyle w:val="Confianza"/>
        <w:spacing w:after="100"/>
      </w:pPr>
      <w:r>
        <w:t xml:space="preserve">Confianza: Media</w:t>
      </w:r>
    </w:p>
    <w:p>
      <w:pPr>
        <w:spacing w:after="100"/>
      </w:pPr>
      <w:r>
        <w:t xml:space="preserve">Fabricantes europeos de material rodante cotizados (Alstom, Stadler, Talgo), dos proveedores de componentes ferroviarios con margen mucho más alto (Knorr-Bremse, Wabtec) y dos fabricantes de vehículos comerciales con negocio de autobuses (Daimler Truck, Volvo) como referencia para Solaris [52, 53, 54, 55, 56, 57, 58]. Fuera: Siemens e Hitachi (Mobility y Rail pesan poco en grupos de más de 50.000 M de ventas), Iveco (cotiza anclada a la OPA de Tata Motors) y CRRC (mercado cerrado y sin datos comparables gratuitos) [68]. Daimler Truck con su liquidez neta industrial: con la deuda de su financiera saldría 10,1x en vez de 4,8x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Alstom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Stadler Rail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Talgo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Knorr-Bremse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Wabtec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Truck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Volvo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7,3x / 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 / 9,9x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15,8x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 1,2x / 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7,4 + 0,09 × crecimiento; R² = 0,03. El crecimiento explica poco los múltiplos de estos comparables (R² &lt; 0,3): la regresión no se usa en la valoración.</w:t>
      </w:r>
    </w:p>
    <w:p>
      <w:pPr>
        <w:spacing w:after="100"/>
      </w:pPr>
      <w:r>
        <w:t xml:space="preserve">CAF cotiza a 7,0x el EBITDA de los próximos 12 meses, en línea con la mediana del grupo (7,3x) y entre Alstom (4,8x) y Stadler (7,3x), sus rivales directos; a 12,4x el PER, por debajo de la mediana (15,8x) [52, 53, 54, 55, 56, 57, 58, 59]. Sin prima ni descuento, y con razón: crece más que la mediana (el consenso da +10,6 % en 2026 frente al 6,7 % de la mediana de los comparables a 12 meses), pero con menos margen EBITDA (8,1 % en los últimos 12 meses frente al 10,3 %) y una conversión en caja mucho peor [47]. Knorr-Bremse y Wabtec (10,5x y 16,2x) suben la media: son proveedores de componentes con márgenes del 16-22 % y no son referencia para un integrador. La regresión múltiplo-crecimiento no explica nada (R² de 0,03) y no se usa. La mediana de EV/EBITDA y PER da 90,84 EUR por acción; la usamos con un peso del 15 % y la contrastamos con la suma de partes, que da 67,18 EUR con múltiplos de fabricante para el ferrocarril y de camión para Solaris.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Bombardier Transportation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Alstom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referencia de 5.500 M EUR (parte baja del rango de 5.500-5.900 M), libre de caja y deuda; Alstom pagó 4.400 M tras 1.100 M de ajuste por la caja neta negativa de Bombardier Transportation a 31-dic-2020 [61]. Múltiplos no publicados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 Ground Transportation Systems (señalización ferroviaria)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Hitachi Rail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1.660 M EUR; ventas de 1.600 M EUR en 2020 (EV/ventas calculado); Hitachi estimaba un EV/EBIT «forward» de unas 10x al cierre [62]. Anuncio del 4-ago-2021.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Alstom Signaling North America (señalización convencional)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Knorr-Bremse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unos 690 M USD (648 M EUR al tipo del BCE del 19-abr-2024, 1,0653), anunciado en abril y cerrado en septiembre de 2024; parte del plan de desinversiones de 2.000 M de Alstom [51, 63]. Ventas y márgenes no publicados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Evident Inspection Technologies (inspección industrial)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Wabtec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industrial, no ferroviaria: múltiplos publicados (4,11x ventas y 12,0x EBITDA con sinergias) fuera del cálculo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Dellner Couplers (enganches y conexiones de trenes de pasajeros)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Wabtec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960 M USD en efectivo (879 M EUR al BCE del 18-mar-2025, 1,0918); ventas esperadas de 2025 de unos 250 M USD (EV/ventas calculado); 12,5x el EBITDA proyectado de 2025 ajustado por costes de la operación y 22 M USD de sinergias [51, 65]. Vendedor: EQT (no verificado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Defence (vehículos militares)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1.700 M EUR, anunciado a la vez que la oferta de Tata Motors sobre Iveco, que está condicionada a la separación del negocio de defensa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Group (camiones y autobuses, sin defensa)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Tata Motors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voluntaria recomendada por todas las acciones de Iveco por unos 3.800 M EUR (valor de las acciones, no valor empresa); con la venta de defensa, unos 5.500 M EUR para los accionistas [66]. Iveco cotizaba a 14,30 EUR el 6-oct-2026 [68]: la oferta seguía pendiente a la fecha de corte (prima y calendario no verificados en un documento original). Incluye Iveco Bus, competidor directo de Solaris.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Talgo (29,76 % del capital)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Consorcio de Sidenor, Gobierno Vasco (Finkatuz), BBK y Vital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29,76 % a Pegaso (Trilantic) y otros minoritarios por 156,67 M EUR, a 4,25 EUR por acción; el organismo público aporta además 45 M a una ampliación de capital [67]. Estimación propia: 100 % de las acciones ≈ 526 M (156,67 / 0,2976) + deuda neta de 404 M a 31-dic-2024 (MarketScreener) ≈ 930 M de valor empresa, 1,39x las ventas de 2024 (669 M) [54, 67]. Paquete minoritario sin OPA y con EBITDA de 2024 negativo: no es un precio de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 (autobuses)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197,98 M EUR por el 100 % de las acciones; activos netos adquiridos (definitivos) 105,54 M y fondo de comercio 92,44 M; consolidada desde el 4-sep-2018 [5]. Fuera de la ventana de 5-7 años; sirve de referencia del precio que pagó la propia CAF por su segmento de autobuses. Valor empresa no publicado de forma limpia en la nota (tabla de pasivos financieros desordenada en el PDF).</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157,03 – 354,87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CAF: las que tienen múltiplo publicado son de señalización o componentes (Thales GTS a 1,04x ventas; Dellner a 3,84x y 12,5x EBITDA con sinergias) o de inspección industrial (Evident, fuera del cálculo), con márgenes que doblan los de un integrador de trenes [62, 64, 65]. Aplicadas a las ventas de CAF dan valores sin sentido (181,76 EUR de mediana, más del doble del precio), así que pesan cero. Sí dicen algo del control: en Talgo, las instituciones vascas (Gobierno Vasco vía Finkatuz, BBK, Vital) entraron en 2025 junto a Sidenor para que el 29,76 % no saliera de España, a 1,39x ventas (estimación sobre un paquete minoritario) pese a las pérdidas [67]. En CAF, Cartera Social (23,12 %), BBK (13,23 %) y el Instituto Vasco de Finanzas (3,00 %) suman un 39,35 %: una OPA hostil no es realista, y el caso Talgo muestra que el bloque vasco actuaría para mantener el control [6, 67].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+10,0 % (4.935 M), entre la guía de «un dígito alto» y el consenso (+10,6 %, 4.964 M): el 1S26 ya creció un 16 % y el 2S tendrá menos entregas de Solaris [8, 47]. 2027e +7,5 % y 2028e +7,0 %, algo por debajo del consenso (+7,9 % y +7,5 %) [47]. La cartera respalda esas cifras: 17.743 M a jun-26 (3,7 veces las ventas de los últimos 12 meses), de la que CAF prevé ejecutar el 26 % en 2026 y el 29 % en 2027, más de 700 M firmados fuera de cartera y más de 10.000 M en opciones [1, 8]. Desde 2029 converge al 2,5 %: el mercado ferroviario mundial crece un 3,2 % anual según UNIFE (2026) y los autobuses urbanos de la UE ya son de cero emisiones en un 60 % de las matriculaciones, así que el empuje de Solaris se agota [24, 26].</w:t>
      </w:r>
    </w:p>
    <w:p>
      <w:pPr>
        <w:keepNext/>
        <w:spacing w:after="100"/>
      </w:pPr>
      <w:r>
        <w:rPr>
          <w:b/>
          <w:bCs/>
        </w:rPr>
        <w:t xml:space="preserve">Márgenes.</w:t>
      </w:r>
    </w:p>
    <w:p>
      <w:pPr>
        <w:spacing w:after="100"/>
      </w:pPr>
      <w:r>
        <w:t xml:space="preserve">Margen EBITDA del 8,4 % en 2026e (consenso 8,4 %; 8,2 % en el 1S26) y estable en el 8,4 % desde 2027e [8, 47]. Hasta la v3 subía al 8,5 % en 2027e y al 8,6 % desde 2028e; lo dejamos en el de 2026e por la prueba de sostenibilidad: con esa subida, el capital nuevo tendría que rendir un 18,1 %, frente a un ROIC del 13,6 % (12,8 % a margen constante), y la mejora no está demostrada. Con el 8,4 %, rinde un 16,7 %, dentro de 1,25 veces el ROIC. Queda medio punto por debajo del consenso de 2028 (8,9 %) [47]: CAF no ha superado el 8,7 % desde 2018 y la media de 2019-2025 es del 7,7 % [1, 2, 3, 4, 5]. Las razones para que mejore son reales (Solaris en el 7,3 % de margen EBIT, más servicios —4.615 M de cartera—, contratos nuevos con cláusulas de indexación desde 2022 [15]), pero el Ferroviario sigue en el 5,2 % de EBIT y la propia empresa reconoce contratos «aún impactados por la inflación» [1, 8]. Un 8,4 % de EBITDA es un margen EBIT de ≈ 6,0 %, por debajo del ≥ 6,3 % que prometía el Plan 2026 para este año [15]: si el plan 2027-2030 lo demuestra, es potencial que el base no recoge (≈ 21 EUR por acción por punto).</w:t>
      </w:r>
    </w:p>
    <w:p>
      <w:pPr>
        <w:keepNext/>
        <w:spacing w:after="100"/>
      </w:pPr>
      <w:r>
        <w:rPr>
          <w:b/>
          <w:bCs/>
        </w:rPr>
        <w:t xml:space="preserve">Inversión y circulante.</w:t>
      </w:r>
    </w:p>
    <w:p>
      <w:pPr>
        <w:spacing w:after="100"/>
      </w:pPr>
      <w:r>
        <w:t xml:space="preserve">Capex del 3,2 % de las ventas en 2026e y del 3,4 % en 2027e (talleres de Alemania y Reino Unido, nave de pruebas de Beasain, nueva nave de Solaris), y del 3,0 % desde 2029, por encima de la amortización (2,4-2,5 %) [8]. Incluye el 0,6 % de las ventas de pagos de arrendamientos, porque los pasivos por arrendamiento van en la deuda (NIIF 16) [1]. Circulante del motor del 10,0 % de las ventas en 2026e (9,0 % en 2025; el 1S26 consumió 130 M) y subida hasta el 12,0 % en 2029e: en 2022-2025 el circulante absorbió unos 21 céntimos por cada euro de ventas nuevas (320 M para 1.544 M más de ventas entre 2021 y 2025), y el Plan 2026 de CAF suponía un circulante del 5-7 % de las ventas con su propia definición, frente al ≈ 2 % de 2025 [1, 15]. Tipo impositivo del 27 % (29,8 % en 2025, 26 % en el 1S26) [1, 8].</w:t>
      </w:r>
    </w:p>
    <w:p>
      <w:pPr>
        <w:keepNext/>
        <w:spacing w:after="100"/>
      </w:pPr>
      <w:r>
        <w:rPr>
          <w:b/>
          <w:bCs/>
        </w:rPr>
        <w:t xml:space="preserve">Coste del capital.</w:t>
      </w:r>
    </w:p>
    <w:p>
      <w:pPr>
        <w:spacing w:after="100"/>
      </w:pPr>
      <w:r>
        <w:t xml:space="preserve">Tasa libre: bono español a 10 años al 4,10 % el 6-oct-2026 [49, 50]. Beta de 0,91 a cinco años mensual frente al IBEX, ajustada de Blume a 0,94 [45]. Prima de mercado del 5,5 % y prima adicional del 0,5 % por la concentración de la cartera en grandes contratos a precio cerrado (SNCB pesa ≈ 10 % de la cartera) y por la liquidez escasa (≈ 1,9 M EUR al día) [8, 45]. Coste de los fondos propios del 9,77 %. Coste de la deuda antes de impuestos del 4,5 % (intereses pagados de 38,1 M sobre 812-833 M de deuda media, un 4,6 %) [1]. Peso de la deuda del 26 % a valor de mercado (deuda bruta y arrendamientos frente a 2.682 M de capitalización). WACC del 8,11 %.</w:t>
      </w:r>
    </w:p>
    <w:p>
      <w:pPr>
        <w:keepNext/>
        <w:spacing w:after="100"/>
      </w:pPr>
      <w:r>
        <w:rPr>
          <w:b/>
          <w:bCs/>
        </w:rPr>
        <w:t xml:space="preserve">Valor terminal.</w:t>
      </w:r>
    </w:p>
    <w:p>
      <w:pPr>
        <w:spacing w:after="100"/>
      </w:pPr>
      <w:r>
        <w:t xml:space="preserve">Gordon con un crecimiento del 2,0 % nominal en EUR: inflación objetivo del BCE y crecimiento real casi nulo de un mercado que crece un 3,2 % nominal (UNIFE) en el que CAF no gana cuota [24]. El múltiplo implícito es de 7,1x el EBITDA de 2035, en línea con la mediana de los comparables (7,3x NTM) y con la media histórica de CAF (6,8x), lo que da coherencia al terminal. El valor terminal pesa un 63 %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 M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(ROIC 13,6 %)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r>
    </w:tbl>
    <w:p>
      <w:pPr>
        <w:spacing w:after="160" w:before="0"/>
      </w:pPr>
    </w:p>
    <w:p>
      <w:pPr>
        <w:spacing w:after="100"/>
      </w:pPr>
      <w:r>
        <w:t xml:space="preserve">La proyección reinvierte el 31 % del NOPAT. Con el ROIC del último ejercicio (13,6 %), eso financia un crecimiento del 4,2 % anual, frente al 5,0 % de ingresos proyectado. Supone que el capital nuevo rinde un 16,7 %.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CAF prevé ejecutar en 2026 el 26 % de los 17.743 M de jun-26 (≈ 4.600 M de los 4.935 M previstos) [8]. Autobuses entregó un 41 % más de unidades en el 1S26 y Ferroviario creció un 3 % [8]; el precio medio sube por la mezcla de cero emisiones (90 % de las entregas) y la indexación (reparto, estimación propia) [8,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29 % de la cartera de jun-26 se ejecuta en 2027 (≈ 5.150 M de los 5.305 M previstos) [8]; precio por las cláusulas de indexación de los contratos firmados desde 2022 [15]; otros, más servicios (4.615 M de cartera)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1,3x en 2025 y 1,6x en el 1S26, con más de 10.000 M en opciones de clientes [1, 8]; el consenso da +7,5 % [47].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hacia el mercado ferroviario mundial (+3,2 % anual previsto por UNIFE) [24] y menos empuje de Solaris, con el 60 % del autobús urbano de la UE ya de cero emisiones [26].</w:t>
            </w:r>
          </w:p>
        </w:tc>
      </w:tr>
    </w:tbl>
    <w:p>
      <w:pPr>
        <w:spacing w:after="160" w:before="0"/>
      </w:pPr>
    </w:p>
    <w:p>
      <w:pPr>
        <w:spacing w:after="100"/>
      </w:pPr>
      <w:r>
        <w:t xml:space="preserve">En parte, y el caso base ya queda dentro de lo financiable. El volumen, sí: los 17.743 M de cartera de jun-26 (3,7 años de ventas) cubren el 93-97 % de las ventas previstas para 2026-2027, y la reinversión (31 % del NOPAT, con el circulante subiendo del 9 % al 12 % de las ventas) financia un 4,2 % anual al ROIC del 13,6 %; el resto hasta el 4,4 % de 2027-2035 es precio (1,5 puntos de indexación en el puente), que no pide capital [1, 8, 15]. El margen no está demostrado: foso estrecho, concursos a precio cerrado y una inflación que en 2022 restó ≈ 1,5 puntos [15]. Por eso el base no lo sube: se queda en el 8,4 % de 2026e y el capital nuevo rinde un 16,7 %, dentro de 1,25 veces el ROIC (con el 8,6 % de la v3 eran un 18,1 %). Cuota, a mano (la publicada es solo ferroviaria): del 1,5 % a ≈ 1,7 % de un mercado de ≈ 312.000 M en 2035 [24].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(base: 8,4 %)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8,1 %)</w:t>
            </w:r>
          </w:p>
        </w:tc>
      </w:tr>
    </w:tbl>
    <w:p>
      <w:pPr>
        <w:spacing w:after="160" w:before="0"/>
      </w:pPr>
    </w:p>
    <w:p>
      <w:pPr>
        <w:spacing w:after="100"/>
      </w:pPr>
      <w:r>
        <w:t xml:space="preserve">El DCF da 81,56 EUR por acción, un 4,2 % por encima del precio de 78,30 EUR, con un rango de 69,80-97,83 EUR al mover el WACC y el crecimiento terminal medio punto. El valor terminal pesa un 63 %. La pregunta central es qué descuenta el precio, y el DCF inverso responde que casi lo mismo que nosotros. Con nuestro WACC del 8,11 %, el precio supone un crecimiento de las ventas del 3,6 % anual en 2027-2035 (nosotros, 4,4 %) o un margen EBITDA estable del 8,2 % (nosotros, 8,4 %; el 1S26 dio un 8,2 %). Dicho de otra forma, a 78,30 EUR la acción ofrece una rentabilidad anual del 8,3 %, dos décimas por encima del WACC y 1,1 puntos por encima del 7,20 % que resulta de la prima implícita del mercado (4,20 %) [73], con la que el DCF sube a 99,37 EUR. No es exigente: el mercado descuenta que la cartera récord se ejecuta y que el margen se queda donde está hoy, que es justo nuestro caso base desde que lo dejamos en el margen que la empresa puede financiar. Pero tampoco es barata: el potencial depende de un margen que CAF nunca ha demostrado, y cada punto de margen EBITDA vale ≈ 21 EUR por acción (60,41 EUR con un 7,4 %; 102,71 EUR con un 9,4 %); la historia de 2019-2025 está más cerca de la fila de abajo que de la de arriba.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2020-2022: un gran contrato a precio cerrado (SNCB, Nápoles o un proyecto en Oriente Medio) se tuerce por costes o por retrasos de homologación, Solaris pierde precio frente a Yutong y BYD (26,7 % del autobús eléctrico europeo) y el margen EBITDA cae al 6,9 %, por debajo del 7,3 % de 2020 y 2022 [1, 26]. El crecimiento queda dos puntos por debajo del base cada año y la prima de riesgo sube medio punto. El motor solo admite desplazamientos uniformes, así que el bajista es una pérdida de margen permanente, no un bache.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17.743 M se ejecuta al ritmo previsto por CAF (26 % en 2026, 29 % en 2027), las ventas crecen un 10 % en 2026 y un 7-7,5 % en 2027-2028, y el margen EBITDA sube del 7,8 % de 2025 al 8,4 % de 2026e por Solaris, los servicios y los contratos firmados después de la inflación, y se queda ahí: no suponemos más mejora que la que ya se ve (8,2 % en el 1S26), porque la reinversión prevista no la financia [1, 8]. El circulante sigue absorbiendo caja hasta el 12 %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nuevo plan 2027-2030 confirma un margen EBIT por encima del 6,5 % (EBITDA del 9,2 %, por debajo del 9,8 % de 2018), Solaris consolida un margen del 7 % con su nueva nave de 2.000 autobuses al año, y las opciones de más de 10.000 M se ejecutan (SNCB permite pasar de 54.000 a 170.000 plazas) [8, 69]. Crecimiento 1,5 puntos por encima del base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79,76 EUR (+1,9 %).</w:t>
      </w:r>
    </w:p>
    <w:p>
      <w:pPr>
        <w:spacing w:after="100"/>
      </w:pPr>
      <w:r>
        <w:t xml:space="preserve">Con nuestro WACC la asimetría ya no es favorable: el alcista (116,74 EUR) gana un 49,1 % y el bajista (39,18 EUR) pierde un 50,0 %, una relación de 0,98x. El valor ponderado por probabilidades es de 79,76 EUR, un 1,9 % por encima del precio. El bajista es verosímil, no cosmético: es un margen inferior al de 2020 y 2022 (7,3 %), con una cartera firmada a precio cerrado, y la sensibilidad del motor lo confirma (cada punto de margen EBITDA vale ≈ 21 EUR por acción). Con la prima del mercado (WACC del 7,20 %) la asimetría sube a 2,14x: por eso el Comprar es solo relativo. Para que compense comprar con nuestro coste de capital habría que creer en el alcista con más de un 25 % de probabilidad, y eso exige un margen que CAF no ha visto desde 2018.</w:t>
      </w:r>
    </w:p>
    <w:p>
      <w:pPr>
        <w:pStyle w:val="Heading1"/>
      </w:pPr>
      <w:r>
        <w:t xml:space="preserve">22. Suma de partes</w:t>
      </w:r>
    </w:p>
    <w:p>
      <w:pPr>
        <w:pStyle w:val="Confianza"/>
        <w:spacing w:after="100"/>
      </w:pPr>
      <w:r>
        <w:t xml:space="preserve">Confianza: Media</w:t>
      </w:r>
    </w:p>
    <w:p>
      <w:pPr>
        <w:spacing w:after="100"/>
      </w:pPr>
      <w:r>
        <w:t xml:space="preserve">La suma de partes da 67,18 EUR (55,17-79,17 EUR), un 14,2 % por debajo del precio: con múltiplos de fabricante y de camión, CAF no está barata. Sirve de contrapeso al DCF, que recoge el crecimiento de la cartera que los múltiplos de un año no ven. Pesa un 10 %. El reparto del EBITDA de 2026e entre segmentos es estimación propia; el total (411 M) cuadra con el del DCF (415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EBITDA 2026e: ventas de ≈ 3.430 M (+4 %) y margen EBITDA del 7,9 % (7,6 % en 2025, con EBIT del 5,3 % en el 1S26) [1, 8]. Múltiplo de 7,5x: la mediana de los fabricantes (Alstom 4,8x, Stadler 7,3x, Talgo 9,0x) con algo de prima por los servicios (4.615 M de cartera) [52, 53, 54].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ventas de ≈ 1.505 M (+27 %) y margen EBITDA del 9,3 % (8,3 % en 2025; EBIT del 7,3 % en el 1S26) [1, 8]. Múltiplo de 5,5x, entre Daimler Truck (4,1x) y Volvo (6,8x), los únicos cotizados con negocio de autobuses [57, 58].</w:t>
            </w:r>
          </w:p>
        </w:tc>
      </w:tr>
    </w:tbl>
    <w:p>
      <w:pPr>
        <w:spacing w:after="160" w:before="0"/>
      </w:pPr>
    </w:p>
    <w:p>
      <w:pPr>
        <w:spacing w:after="100"/>
      </w:pPr>
      <w:r>
        <w:rPr>
          <w:b/>
          <w:bCs/>
        </w:rPr>
        <w:t xml:space="preserve">Valor por acción por suma de partes:</w:t>
      </w:r>
      <w:r>
        <w:t xml:space="preserve"> 67,18 (-14,2 %); con ±1x en los múltiplos, 54,89 – 79,44.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80,97 EUR (+3,4 % sobre 78,30).</w:t>
      </w:r>
    </w:p>
    <w:p>
      <w:pPr>
        <w:spacing w:after="100"/>
      </w:pPr>
      <w:r>
        <w:t xml:space="preserve">El DCF pesa un 45 % porque es el único método que recoge una cartera de 3,7 años de ventas y obliga a decir qué margen y qué circulante tendrá CAF; los escenarios, un 30 %, para incorporar el riesgo de margen, que es el que manda; los comparables, un 15 %, y la suma de partes, un 10 %, como referencia de lo que paga hoy el mercado. Las transacciones pesan cero (son de componentes y señalización, con márgenes que doblan los de CAF). </w:t>
      </w:r>
      <w:r>
        <w:rPr>
          <w:b/>
        </w:rPr>
        <w:t xml:space="preserve">Puente</w:t>
      </w:r>
      <w:r>
        <w:t xml:space="preserve">: deuda financiera de 813,5 M, arrendamientos de 116,4 M y caja e inversiones de 637,2 M a jun-26 [6]. Los anticipos de clientes van al circulante porque se compensan con entregas (regla del puente); los anticipos reembolsables sin interés (21,3 M), la multa del CADE (54 M), el factoring sin recurso (72 M) y el dividendo pagado en julio (57,7 M, que la caja de junio aún incluía) van en otros ajustes: 205 M, 6,0 EUR por acción [6]. Pensiones netas de impuestos de 33,3 M y asociadas de 38,5 M (con el 43,35 % de Ferrocarriles Suburbanos de México, en venta) [6]. Si los anticipos volvieran al circulante del 5-7 % que suponía el Plan 2026 (≈ 2 % en 2025 con la definición de CAF), se consumirían ≈ 200 M más: ≈ 5,8 EUR por acción, estimación propia [15]. La dispersión es alta (de 67,18 EUR en la suma de partes a 90,84 EUR en comparables), pero todos los métodos menos la suma de partes quedan entre un 2 % y un 16 % por encima del precio. Con la prima implícita del mercado (4,20 %) [73], el DCF y los escenarios se recalculan con un WACC del 7,20 % y el valor objetivo sube a 94,34 EUR (+20,5 %).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de 2026 (ventas +«un dígito alto», mejora del margen) con un 2S de Solaris más normal tras un 1S récord (entregas +41 %); y del circulante, que subió de 87 a 235 M en el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(antes del 31-dic)</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del Plan Estratégico 2027-2030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los objetivos de margen, circulante y dividendo y el tamaño de las compras; el plan anterior reservaba ≈ 550 M para M&amp;A que no se usaron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y entrada en cartera de El Cairo (rehabilitación y mantenimiento de metro) y Belgrado (cercanías), más de 700 M anunciados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17.743 M más ≈ 4 %; confirma la contratación de 2026 por encima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nuevo plan: el mercado pedirá crecimiento y margen EBIT por encima del 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Prototipo del AM30 para SNCB (contrato base de más de 1.700 M firmado en el 1T26)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hito técnico del mayor contrato de la historia de CAF; los retrasos de homologación son la fuente típica de sobrecostes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pago del dividendo del ejercicio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sigue a los resultados (1,52 EUR del ejercicio 2025, payout del 36 %)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Sobrecostes o retrasos en un gran contrato a precio cerrado (SNCB, Nápoles,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por cada punto de margen EBITDA permanente (81,56 → 60,41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indexación o revisión de precios en los contratos nuevos desde 2022 (≈ 2/3 de la cartera cubierta en jun-22) [15]; provisión de contratos onerosos de 70 M y 386 M de garantías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ferroviario por debajo del 5 % en un semestre; dotación a contratos onerosos por encima de 70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circulante sigue absorbiendo la caja (anticipos que bajan, cobros que se retrasan)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 5,8 EUR) si el circulante de CAF vuelve al 5-7 % del Plan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Factoring sin recurso y anticipos en contratos nuevos; liquidez de 1.379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Cash flow de CAF negativo en 9M26 o en el ejercicio; activos por contrato netos por encima de 400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autobús eléctrico (Yutong, BYD) y presión de precio en Solaris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Solaris vuelve a un margen EBIT del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Polonia, cuota del 58 % en hidrógeno, Reglamento de subvenciones extranjeras [27,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Solaris en eléctrico europeo por debajo del 7 %; book-to-bill de Autobuses por debajo de 0,8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en el Plan 2027-2030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se paga 10-12x EBITDA con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solo supera el WACC desde 2024; DFN/EBITDA de 0,5x según CAF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DFN/EBITDA por encima de 1,5x en el plan o caso base de M&amp;A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e Israel (tranvía de Jerusalén, Tel Aviv)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ve impacto material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o provisiones en proyectos de Israel; exclusiones de inversores por la base de datos de la ONU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en Brasil (CADE, Ministerio Público de São Paulo, Mato Grosso)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 (multa de 54 M ya restada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Provisionado y recurrido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firme o bloqueo de cobros en Brasil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por encima de los analistas tras un +49 % en un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hasta el precio objetivo medio (69,22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en línea con los comparables (7,0x EV/EBITDA NTM)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2027-2030 con margen por debajo del consenso</w:t>
            </w:r>
          </w:p>
        </w:tc>
      </w:tr>
    </w:tbl>
    <w:p>
      <w:pPr>
        <w:spacing w:after="160" w:before="0"/>
      </w:pPr>
    </w:p>
    <w:p>
      <w:pPr>
        <w:pStyle w:val="Heading2"/>
      </w:pPr>
      <w:r>
        <w:t xml:space="preserve">Pre-mortem</w:t>
      </w:r>
    </w:p>
    <w:p>
      <w:pPr>
        <w:spacing w:after="100"/>
      </w:pPr>
      <w:r>
        <w:t xml:space="preserve">Octubre de 2029: CAF cotiza a 47 EUR y hemos perdido un 40 %. La historia más probable empieza en el nuevo plan de diciembre de 2026: un objetivo de margen EBIT del 7 % y una compra en servicios o señalización de unos 600 M pagada a 11x el EBITDA, financiada con deuda. En 2027 arranca la fabricación del AM30 de SNCB y la homologación se retrasa un año, como suele pasar con plataformas nuevas en una red nueva; CAF dota provisiones por penalizaciones y el margen ferroviario vuelve al 4 %. A la vez, Yutong y BYD ganan los concursos de autobús eléctrico en Italia y España con precios un 15 % más bajos, y Solaris, con la nueva nave de Polonia ya en marcha, vuelve a un margen del 3 %. El circulante, que en 2026 ya había subido 150 M en un semestre, sigue creciendo: la deuda neta ajustada pasa de 1,4x a 2,5x el EBITDA y el dividendo se congela. El mercado vuelve a pagar 5x el EBITDA, el múltiplo de 2023-2024. Los indicadores que lo habrían anticipado: el cash flow de CAF negativo en 2026, el margen EBIT ferroviario por debajo del 5 % y el book-to-bill de Autobuses por debajo de 0,8.</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(B en 2024 y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(AA en 2024; A en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 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66/100 (60 en 2024; objetivo 2026: 70)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80/100, medalla Oro (79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rPr>
          <w:b/>
        </w:rPr>
        <w:t xml:space="preserve">Taxonomía europea</w:t>
      </w:r>
      <w:r>
        <w:t xml:space="preserve">: el 86,5 % de la cifra de negocios de 2025 está alineado con la taxonomía de la UE (82,1 % en 2024 y 80,2 % en 2023), y el 88,0 % en el 1S26, por encima del objetivo del 84 % del Plan 2026 [1, 14]. El transporte colectivo electrificado es actividad verde por definición, lo que abre financiación vinculada y concursos con criterios climáticos.</w:t>
      </w:r>
    </w:p>
    <w:p>
      <w:pPr>
        <w:spacing w:after="100"/>
      </w:pPr>
      <w:r>
        <w:rPr>
          <w:b/>
        </w:rPr>
        <w:t xml:space="preserve">Emisiones</w:t>
      </w:r>
      <w:r>
        <w:t xml:space="preserve">: los alcances 1 y 2 bajan un 30,3 % frente a 2019 y el alcance 3 por uso del producto un 43,4 %; la senda está validada por SBTi (−55 % en alcances 1 y 2 a 2030 y cero neto en 2045) [1]. En Solaris, el 86 % de las unidades vendidas en 2025 fueron de cero o bajas emisiones [1].</w:t>
      </w:r>
    </w:p>
    <w:p>
      <w:pPr>
        <w:spacing w:after="100"/>
      </w:pPr>
      <w:r>
        <w:rPr>
          <w:b/>
        </w:rPr>
        <w:t xml:space="preserve">Seguridad laboral</w:t>
      </w:r>
      <w:r>
        <w:t xml:space="preserve">: índice de frecuencia de 13,8 en 2025 y 14,4 en el 1S26, peor que el objetivo de 13,5 para 2026 [1, 14]. </w:t>
      </w:r>
      <w:r>
        <w:rPr>
          <w:b/>
        </w:rPr>
        <w:t xml:space="preserve">Derechos humanos</w:t>
      </w:r>
      <w:r>
        <w:t xml:space="preserve">: por el tranvía de Jerusalén (contrato de 114 tranvías, en fabricación), la ONU incluyó a CAF en sept-2025 en su base de datos de empresas ligadas a los asentamientos [1].</w:t>
      </w:r>
    </w:p>
    <w:p>
      <w:pPr>
        <w:pStyle w:val="Heading2"/>
      </w:pPr>
      <w:r>
        <w:t xml:space="preserve">Controversias</w:t>
      </w:r>
    </w:p>
    <w:p>
      <w:pPr>
        <w:spacing w:after="100"/>
      </w:pPr>
      <w:r>
        <w:rPr>
          <w:b/>
        </w:rPr>
        <w:t xml:space="preserve">Brasil (CADE)</w:t>
      </w:r>
      <w:r>
        <w:t xml:space="preserve">: multa de 167,1 M BRL (28,3 M EUR al 30-jun-2026) a CAF Brasil en jul-2019 por cártel en licitaciones de São Paulo, provisionada en 2019 y recurrida. El Ministerio Público de São Paulo logró en ene-2026 una cautelar que bloqueaba cobros, después anulada [6]. </w:t>
      </w:r>
      <w:r>
        <w:rPr>
          <w:b/>
        </w:rPr>
        <w:t xml:space="preserve">Mato Grosso</w:t>
      </w:r>
      <w:r>
        <w:t xml:space="preserve">: multa de 96,2 M BRL (16,3 M EUR) al consorcio del tranvía de Cuiabá (CAF tiene el 36,8 %), suspendida por un acuerdo de jul-2024 [6]. </w:t>
      </w:r>
      <w:r>
        <w:rPr>
          <w:b/>
        </w:rPr>
        <w:t xml:space="preserve">España (CNMC)</w:t>
      </w:r>
      <w:r>
        <w:t xml:space="preserve">: resolución del 30-sep-2021 que sanciona con 1,7 M EUR a CAF Signalling por sumarse en 2015 al cártel de señalización iniciado en 2002. Está recurrida ante la Audiencia Nacional, con el pago y la prohibición de contratar suspendidos y sin provisión [6]. </w:t>
      </w:r>
      <w:r>
        <w:rPr>
          <w:b/>
        </w:rPr>
        <w:t xml:space="preserve">Jerusalén</w:t>
      </w:r>
      <w:r>
        <w:t xml:space="preserve">: inclusión en sept-2025 en la base de datos A/HRC/60/19 de la ONU, que CAF rechaza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calendario de cobros explica los 148 M de aumento del circulante del 1S26 y qué nivel de circulante sobre ventas da por bueno CAF para 2027-2030?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2022-2025 el FCF fue casi nulo por el circulante; el Plan 2026 suponía un 5-7 % de las ventas frente al ≈ 2 %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SNCB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margen y con qué cláusulas de revisión de precios y de penalización por retraso se firmó el contrato de SNCB (más de 1.700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 10 % de la cartera y una plataforma nueva en una red donde CAF no tenía trenes.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ferroviario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ferroviaria sigue «impactada por la inflación» y cuándo termina de ejecutarse?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 ferroviario está en el 5,2-5,3 % frente al 7,6 % de 2018; cada punto de margen EBITDA del grupo vale ≈ 21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Solaris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EBIT del 7,3 % del 1S26 es mezcla de entregas y cuánto es sostenible con el reparto «normal» del 2S?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aporta casi todo el crecimiento del beneficio; en 2022 perdió dinero.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M&amp;A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2027-2030 incluirá un caso base de compras como el de 2022 (≈ 550 M) y con qué techo de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solo supera el WACC desde 2024; una compra cara lo devolvería por debajo.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provisiones de garantías crecen más que las ventas (269 M en 2021, 386 M en 2025) y qué parte se ha revertido sin usar?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un colchón prudente o una reserva para alisar resultados: cambia la lectura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los cinco mayores contratos en la cartera de 17.743 M y en el margen previsto?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 solo publica que los cinco principales son el 15 % de los saldos pendientes de cobro.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Accionariado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política tiene Cartera Social sobre su 23,12 % (que baja cada año) y hay algún acuerdo con BBK o el Gobierno Vasco ante una operación?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bloque vasco y de empleados (39,35 %) decide cualquier operación corporativa.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23 controles correctos y 7 explicados. Fuentes: 73 (42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11: deterioros u otros resultados entre EBITDA y EBIT; explícalo en el comentario. Explicación: CAF incluye en su EBITDA el «deterioro y resultado por enajenación del inmovilizado» (−10,6 M en 2018); el dato es el publicado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-9: deterioros u otros resultados entre EBITDA y EBIT; explícalo en el comentario. Explicación: Misma causa: +8,9 M de deterioro y enajenación del inmovilizado en 2020 dentro del EBITDA de CAF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 (¿asociadas o extraordinarios?). Explicación: La diferencia es el resultado de las sociedades por puesta en equivalencia (−4,2 M en 2020), que CAF no incluye en el resultado financiero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-6 (¿asociadas o extraordinarios?). Explicación: Puesta en equivalencia de +5,6 M en 2022, fuera del resultado financiero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16,7 % frente a un ROIC de 13,6 %: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9,0 % real: genera una variación de circulante de 88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0,03: el crecimiento no explica los múltiplos de estos comparables; no uses el valor de la regresión. Explicación: R² de 0,03: la muestra mezcla fabricantes de trenes de margen bajo (Alstom, Stadler, Talgo), proveedores de componentes de margen alto (Knorr-Bremse, Wabtec) y camiones (Daimler Truck, Volvo); el múltiplo lo explica el margen, no el crecimiento.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7,0x a 8,2x según qué comparable se quite (78,71 a 93,27 por acción): la muestra es frágil; explícalo y no le des mucho peso. Explicación: La mediana del EV/EBITDA NTM va de 7,0x a 8,2x según el comparable que se quite. Por eso los comparables pesan un 15 % y se acompañan de una suma de partes con múltiplos por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(12,0x → 7,3x), Knorr-Bremse (13,7x → 10,5x): el salto implica un crecimiento del EBITDA que no cuadra con el de las ventas. ¿EBITDA de proveedores distintos, o un cambio de perímetro? Explicación: En Stadler el consenso espera pasar de 3.679 a 5.378 M CHF de ventas (24 % anualizado) y de 278,5 a 460 M de EBITDA, que baja su múltiplo de 12,0x a 7,3x; en Knorr-Bremse, que el margen EBITDA suba del 16,5 % de 2025 al 19,4 % (1.292 a 1.685 M). Son expectativas del consenso, no cambios de definición. Todo es de MarketScreener, mismo proveedor para LTM y NTM [53, 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(42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sobrecostes por contrato 2018-2026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provisiones y contratos onerosos de las cuentas 2019, 2021, 2023, 2024 y 2025; 2) búsqueda de 'sobrecoste', 'pérdida', 'inflación', 'Reino Unido', 'Países Bajos' en informes de gestión y presentaciones; 3) segmentos y partidas no recurrentes de cada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CAF no publica pérdidas por contrato; en calidad.extra van los impactos agregados identificables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pagado por CAF Reichshoffen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2.e de las cuentas 2023 (solo el ajuste del PPA y el fondo de comercio); 2) estado de flujos de 2022 (entrada neta de 33,8 M); 3) búsqueda de 'contraprestación' en las cuentas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(estaría en las cuentas de 2022, no descargadas)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de flujos semestrales 1S26 y 1S25; 2) nota de arrendamientos semestral (no da las salidas de caja del semestre); 3) presentación 1S26 (cash flow de CAF de 12 M,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componentes van en financieros.extra.ltm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15 de las cuentas 2025 (calendario sin vida media); 2) búsqueda de 'vida media'; 3) derivable del calendario de vencimientos (no se calcula)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(mercado ferroviario)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WRMS 2026 de UNIFE: solo hay resumen de prensa, sin cuotas por fabricante; 2) presentaciones de Alstom, Stadler y Siemens: no publican cuotas del mercado mundial; 3) derivarlo con las ventas de los competidores: falta CRRC (el mayor fabricante), cuyas cuentas no he leído; sin CRRC, Alstom + Siemens Mobility + Hitachi + Stadler + CAF suman ≈ 21 % del mercado de 220.600 M EUR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Talgo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Talgo de 2025: no descargada; 2) Bankinter: 403; 3) Onda Vasca: da ventas (618 M) y pérdida neta (100 M), pero no el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Bus: ingresos y margen del segmento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Iveco Group del 12-feb-2026: solo cifras consolidadas; 2) copia de GlobeNewswire: no desglosa el segmento Bus; 3) Sustainable Bus: solo entregas (+4 % en Europa)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Yutong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Yutong (cninfo): no descargado; 2) resumen de Weekly on Stock: ventas y beneficio neto, no el resultado de explotación; 3) no derivable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regulación: CEF, Net-Zero Industry Act y liberalización ferroviaria en España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1S26 de CAF: no los mencionan; 2) Plan Estratégico 2026: no los cita; 3) no busqué fuentes externas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entrada de los empleados en el capital (Cartera Social) y de salida a bolsa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2019: solo el porcentaje (24,87 %); 2) página de historia de cafmobility.com: 404; 3) Wikipedia: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(Directivos.aspx, NIF A20001020): HTTP 403 con descargar.mjs; 2) MarketScreener, ficha de la empresa y del director financiero: sin tabla de operaciones legible; 3) derivarlo comparando las participaciones del consejo en los IAGC 2024 y 2025: solo Arrieta sube del 0,003 % al 0,009 % durante 2025, sin fecha ni importe (anotado en extra)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y guía completa de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(presentaciones-inversores): solo cuelga las presentaciones anuales desde la de 2022; 2) presentación de resultados 2022: solo recoge la guía inicial de ventas de Solaris (+10 % o más); 3) Plan Estratégico 2026 (retrospectiva): no recoge la guía anual de 2021 ni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la alta dirección no consejera (Galarza, Iriarte, Stańda)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(C.1.14 solo da nombres y remuneración agregada); 2) CNMV, registro de directivos (403); 3) MarketScreener (sin datos de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(Galarza, director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2021 y 2025 (figura en ambos, sin fecha de nombramiento); 2) búsqueda web y MarketScreener (sin fecha de inicio); 3) informe anual 2019 ya descargado (A_cnmv2019): no lo nombra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(2021: primer IAGC revisado en que figura)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las estimaciones de BPA y EBITDA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de CAF: los gráficos se cargan con JavaScript y la descarga no trae los datos; 2) web de CAF «Cobertura y consenso»: solo publica el consenso del 1S26 (20-jul-2026), no la serie anual; 3) contraste de precios objetivo: la lista de CAF (20-jul) y MarketScreener (6-oct) muestran al menos una subida (máximo de 80,0 a 87,5 EUR), pero no la revisión de BPA/EBITDA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hechos indirectos en consenso.extra: sorpresa del 1S26 y subida del precio objetivo máximo)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da 9 analistas, media 73,95 y rango 60,00-87,50, pero el desglose comprar/mantener/vender se dibuja con JavaScript; 2) web de CAF: desglose completo de 13 entidades, pero a 20-jul-2026; 3) Investing/Stock Analysis no consultados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lista de CAF del 20-jul-2026 (13 analistas) y MarketScreener como contraste en consenso.extra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CNMV, notificaciones de posiciones cortas de CAF (ES0121975009): la página no muestra ninguna posición publicada (≥ 0,5 %); 2) búsqueda de un listado consolidado de posiciones cortas de la CNMV: no aparece un fichero descargable; 3) Stock Analysis (estadísticas de CAF): no da posición corta para valores españoles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(ninguna posición ≥ 0,5 % publicada; dicho en bolsa.extra)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(valoración de CAF): da múltiplos del mismo ejercicio, no de los 12 meses siguientes; 2) web de CAF: publica «cotización media/EBITDA ajustado» y PER sobre cotización media del año, tampoco NTM; 3) Yahoo/Investing: sin series históricas gratuitas de múltiplos a futuro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LTM con los precios de cierre; los del proveedor van en multiplos_historicos.extra)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Alstom-Bombardier Transportation, Knorr-Bremse-Alstom Signaling NA y Tata-Iveco (prima)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Alstom y Hitachi en sus webs: 404 en las URL probadas; 2) Railway Gazette y Railway Age: 503 y 403; Knorr-Bremse (EQS): página sin texto; 3) prensa secundaria (Cleary Gottlieb, Trains, De Brauw): dan el precio pero no las ventas ni el EBITDA del objetivo ni la prima de Tata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(múltiplos a null; precio y fuente en el comentario de cada operación)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 a 30-jun-2026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tablas semestrales: el texto descargado solo trae la anual y la trimestral, con el EBITDA trimestral vacío en la mayoría; 2) Stock Analysis: da EV y ROIC de 12 meses pero no el EBITDA del mismo proveedor que el NTM; 3) informes semestrales de cada comparable: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LTM = último ejercicio cerrado (2025; Alstom a mar-2026), igual para todos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(1S24, 2S24 y 1S25)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CAF «Cobertura y consenso de analistas»: solo publica la versión vigente (consenso del 1S26); 2) MarketScreener: el historial de sorpresas se dibuja con JavaScript; 3) notas de Renta 4: solo se localizaron la de resultados de 2025 (EBIT un 2 % por debajo del consenso) y la previa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(2S25 «En línea» y 1S26 «Superior» sí constan)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consolidado 2025 (informe de gestión, IAGC, IARC y cuentas anuales consolidadas 2025 con 2024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https://admin.cafmobility.com/uploads/Informe_de_gestion_memoria_consolidada_2025_eecff279c2.pdf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2024 (con 2023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https://admin.cafmobility.com/uploads/CCAA_Consolidadas_2024_6e4e69fc31.pdf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del ejercicio 2023 del Grupo CAF consolidado (con 2022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https://admin.cafmobility.com/uploads/Informe_anual_del_ejercicio_2023_del_Grupo_CAF_consolidado_ES_fe904fcad9.pdf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del ejercicio 2021 del Grupo CAF consolidado (con 2020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https://admin.cafmobility.com/uploads/Informe_anual_del_ejercicio_2021_del_Grupo_CAF_consolidado_ES_383ba78a17.pdf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2019 (sociedad matriz y cuentas anuales consolidadas 2019 con 2018 comparativo), remitido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y estados financieros semestrales resumidos consolidados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https://admin.cafmobility.com/uploads/Memoria_semestral_consolidada_2026_CNMV_d2ed25850c.pdf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financiera intermedia 1er semestre 2026 (formato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https://admin.cafmobility.com/uploads/Informe_1er_semestre_2026_info_financiera_intermedia_9e65f984c7.pdf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https://admin.cafmobility.com/uploads/Presentacion_de_Resultados_1_S_2026_012ba86755.pdf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https://admin.cafmobility.com/uploads/Presentacion_de_Resultados_1_T_2026_9993fe0b2d.pdf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https://admin.cafmobility.com/uploads/Presentacion_de_Resultados_FY_2025_e0bccdc8b6.pdf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https://admin.cafmobility.com/uploads/Presentacion_de_Resultados_1_S_2025_9419686bc9.pdf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y estados financieros semestrales 2024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https://admin.cafmobility.com/uploads/Informe_de_Gestion_y_Estados_Financieros_semestral_2024_ES_921348d62b.pdf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https://www.cafmobility.com/accionistas-inversores/informacion-economico-financiera/presentaciones-inversores/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Estratégico 2026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https://admin.cafmobility.com/uploads/Plan_Estrategico_2026_c13c54f857.pdf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e informe de gestión consolidados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(depositadas en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https://www.cnmv.es/portal/Consultas/EE/InformacionFinanciera.aspx?nif=A20001020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2023 (nota sobre los activos de CAF Reichshoffen comprados a Alstom)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https://www.cafmobility.com/accionistas-inversores/informacion-economico-financiera/informe-auditoria-cuentas-anuales-auditadas-informe-gestion-memoria-anual/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Alstom's Fiscal Year 2025/26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https://www.alstom.com/press-releases-news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https://www.siemens.com/global/en/company/investor-relations.html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https://www.stadlerrail.com/en/investor-relations/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Announces Consolidated Financial Results for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Release: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Daimler Truck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https://www.daimlertruck.com/en/investors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Volvo Group – Report on the fourth quarter and full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 Volvo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https://www.volvogroup.com/en/investors.html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rail market grows. European suppliers get less of it (World Rail Market Study 2026 de UNIFE)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Rail Agenda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https://www.therailagenda.com/p/world-rail-market-grows-european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rail supply market sees steady growth amid geopolitical challenges (World Rail Market Study 2024 de UNIFE)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Railway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https://www.globalrailwayreview.com/global-rail-supply-market-sees-steady-growth-amid-geopolitical-challenges/328630.article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electric bus market grew nearly 50% to 11,607 units in 2025 (datos de DVV Media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Sustainable Bus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https://www.sustainable-bus.com/news/electric-bus-market-europe-2025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summarises 2025: sales growth, strong position in e-mobility and expansion into new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https://www.solarisbus.com/en/press/solaris-summarises-2025-sales-growth-strong-position-in-e-mobility-and-expansion-into-new-markets-2410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commercial vehicle registrations: vans -8.8%, trucks -6.2%, buses +7.5%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https://www.acea.auto/cv-registrations/new-commercial-vehicle-registrations-vans-8-8-trucks-6-2-buses-7-5-in-2025/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Talgo perdió 100 millones en 2025, un 6,7 % menos que el año anterior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https://www.ondavasca.com/talgo-perdio-100-millones-en-2025-un-67-menos-que-el-ano-anterior/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宇通客车 2025 年年度报告 (resumen de las cifras clave del informe anual de Yutong)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Weekly on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https://static.weeklyonstock.com/26/0331/zbf090433.html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launches first investigation under Foreign Subsidies Regulation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https://public-buyers-community.ec.europa.eu/news/commission-launches-first-investigation-under-foreign-subsidies-regulation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Clean Vehicles Directive (Directiva 2019/1161): objetivos por Estado miembro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MOVE)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https://transport.ec.europa.eu/transport-themes/clean-transport/clean-and-energy-efficient-vehicles/clean-vehicles-directive_en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Construcciones y Auxiliar de Ferrocarriles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https://es.wikipedia.org/wiki/Construcciones_y_Auxiliar_de_Ferrocarriles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 (CHF, JPY, SEK, CNY,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https://data-api.ecb.europa.eu/service/data/EXR/D.CHF+JPY+SEK+USD+CNY.EUR.SP00.A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15-jun-2024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https://admin.cafmobility.com/uploads/1_Acuerdos_adoptados_de_la_Junta_General_Ordinaria_2024_42fc331e56.pdf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14-jun-2025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https://admin.cafmobility.com/uploads/Acuerdos_adoptados_JGO_2025_7081ddba1c.pdf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13-jun-2026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https://admin.cafmobility.com/uploads/Acuerdos_adoptados_JGO_2026_Web_vf_CAST_f05cb98483.pdf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motivada del Consejo sobre la Política de Remuneraciones de los Consejeros 2027-2029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https://admin.cafmobility.com/uploads/Propuesta_motivada_del_Consejo_de_Administracion_relativa_a_la_Politica_de_Remuneraciones_de_los_Consejeros_aplicable_a_los_ejer_b2a90fb318.pdf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https://admin.cafmobility.com/uploads/Resultados_2022_1_8a84647a80.pdf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https://admin.cafmobility.com/uploads/Resultados_anuales_2023_1_f3f6118321.pdf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https://admin.cafmobility.com/uploads/Resultados_2024_e57f02c4b1.pdf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Javier Iriarte new CEO of Solaris Bus &amp; Coach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https://solarisbus.com/en/press/javier-iriarte-new-ceo-of-solaris-bus-coach-1894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Agata Stańda nombrada consejera delegada de Solaris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https://www.electrive.com/es/2025/07/04/agata-standa-nombrada-consejera-delegada-de-solaris/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2021 (incluye IAGC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https://admin.cafmobility.com/uploads/Cuentas_Anuales_consolidadas_del_ejercicio_2021_210c8d5176.pdf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CAF.MC, ^IBEX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https://finance.yahoo.com/quote/CAF.MC/history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analistas de CAF: recomendación media, número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https://www.marketscreener.com/quote/stock/CONSTRUCCIONES-Y-AUXILIAR-32078325/consensus/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estimaciones 2026-2028 (cuenta, deuda neta, flujos, por acción) y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https://www.marketscreener.com/quote/stock/CONSTRUCCIONES-Y-AUXILIAR-32078325/valuation/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y consenso de analistas (13 entidades; consenso 1S26 de 11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https://www.cafmobility.com/accionistas-inversores/informacion-general/cobertura-consenso-analistas/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Bond Yield Historical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 (eurofxref-hist)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https://www.marketscreener.com/quote/stock/ALSTOM-4607/valuation/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https://www.marketscreener.com/quote/stock/STADLER-RAIL-AG-57143111/valuation/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Talgo: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https://www.marketscreener.com/quote/stock/TALGO-S-A-22148977/valuation/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Knorr-Bremse: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https://www.marketscreener.com/quote/stock/KNORR-BREMSE-AG-46576463/valuation/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https://www.marketscreener.com/quote/stock/WESTINGHOUSE-AIR-BRAKE-TE-14842/valuation/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Daimler Truck: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https://www.marketscreener.com/quote/stock/DAIMLER-TRUCK-HOLDING-AG-130552528/valuation/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Volvo: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https://www.marketscreener.com/quote/stock/VOLVO-30049521/valuation/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Alstom, Stadler, Talgo, Knorr-Bremse, Wabtec, Daimler Truck, Volvo y CAF (rentabilidad sobre el capital invertido,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https://stockanalysis.com/quote/etr/KBX/statistics/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Construcciones y Auxiliar de Ferrocarriles,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https://www.cnmv.es/portal/Consultas/EE/PosicionesCortas?nif=A20001020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Completes €4.4 Billion Acquisition of Bombardier Transportation (nota del despacho asesor de Alstom)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https://www.clearygottlieb.com/news-and-insights/news-listing/alstom-completes-4-4-billion-acquisition-of-bombardier-transportation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Rail enters into agreement to acquire Thales Ground Transportation Systems business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https://www.hitachi.com/New/cnews/month/2021/08/210804.pdf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completes sale of North American signal business to Knorr-Bremse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Trains News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https://www.trains.com/trn/news-reviews/news-wire/alstom-completes-sale-of-north-american-signal-business-to-knorr-bremse/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to Acquire Evident's Inspection Technologies Division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https://www.wabteccorp.com/newsroom/press-releases/wabtec-to-acquire-evident-s-inspection-technologies-division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to Acquire Dellner Couplers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https://www.wabteccorp.com/newsroom/press-releases/wabtec-to-acquire-dellner-couplers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advises Iveco Group on the recommended public offer by Tata Motors and the concurrent sale of its defence business, together valued at EUR 5.5bn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Blackstone Westbroek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https://www.debrauw.com/matters/de-brauw-advises-iveco-group-on-the-recommended-public-offer-by-tata-motors-and-the-concurrent-sale-of-its-defence-business-together-valued-at-eur-5-5bn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Sidenor, Gobierno vasco, BBK y Vital cierran la compra del 29,7 % de Talgo por 156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elDiario.es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https://www.eldiario.es/euskadi/sidenor-gobierno-vasco-bbk-vital-cierran-compra-30-talgo-156-millones-euros_1_12749561.amp.html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Group: cotización, capitalización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https://www.marketscreener.com/quote/stock/IVECO-GROUP-N-V-131301260/valuation/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wins Belgium’s SNCB AM30 train fleet (preferred bidder; calendario del prototipo y de la entrada en servicio)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Railway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https://www.railway-technology.com/news/caf-belgiums-sncb-am30-train-fleet/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(la sociedad no ha solicitado calificación crediticia)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2025 en línea en términos generales (resultados frente a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https://www.r4.com/articulos-y-analisis/valores/caf-2025-en-linea-en-terminos-generales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previo 1S26, solidez operativa (estimaciones de Renta 4 y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https://www.r4.com/articulos-y-analisis/valores/caf-previo-1s26-solidez-operativa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87,2 %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cotizada (Bolsas de Madrid y Bilbao, mercado continuo; CAF.MC en Yahoo) y cuentas en EUR, NIIF-UE, ejercicio natural [1]. La cuenta va por naturaleza: el «coste de ventas» son aprovisionamientos ± variación de existencias, y el EBITDA es el que publica CAF (EBIT + amortización − deterioro y resultado por enajenación del inmovilizado), que difiere de EBIT + amortización en hasta 10,6 M según el año [1, 2, 3, 4, 5]. La serie empieza en 2018: Solaris entra en septiembre de 2018 (cuatro meses en la cuenta), EuroMaint en julio de 2019 y CAF Reichshoffen en agosto de 2022, así que el crecimiento de 2018-2023 no es orgánico [3, 5]. El circulante del motor (existencias + clientes con activos por contrato − proveedores con pasivos por contrato) no es la «inversión en circulante» de CAF, que además resta provisiones y otros pasivos: 405 M frente a ≈ 87 M en 2025 [1]. El precio es el cierre del 6-oct-2026 (78,30 EUR) [45]. Los comparables extranjeros se pasan a EUR al tipo del BCE del 6-oct-2026 [51]. No se han leído transcripciones de las conferencias (CAF no las publica) ni el informe de auditoría de 2025 [1]. El análisis se interrumpió el 6-oct por la noche y se retomó el 7-oct con la misma fecha de corte; nada posterior al 6-oct entra en las cifras.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Construcciones y Auxiliar de Ferrocarriles, S.A. (CAF)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(69,80 – 97,83)</c:v>
                </c:pt>
                <c:pt idx="5">
                  <c:v>Escenarios (bajista – alcista) (39,18 – 116,74)</c:v>
                </c:pt>
                <c:pt idx="6">
                  <c:v>Suma de partes (54,89 – 79,44)</c:v>
                </c:pt>
                <c:pt idx="7">
                  <c:v>DCF con la prima implícita del mercado (4,2 %)</c:v>
                </c:pt>
                <c:pt idx="8">
                  <c:v>Precio actual (78,30)</c:v>
                </c:pt>
              </c:strCache>
            </c:strRef>
          </c:cat>
          <c:val>
            <c:numRef>
              <c:f>Hoja1!$B$2:$B$10</c:f>
              <c:numCache>
                <c:formatCode>#,##0</c:formatCode>
                <c:ptCount val="9"/>
                <c:pt idx="0">
                  <c:v>49.9</c:v>
                </c:pt>
                <c:pt idx="1">
                  <c:v>55.4</c:v>
                </c:pt>
                <c:pt idx="2">
                  <c:v>62.15</c:v>
                </c:pt>
                <c:pt idx="3">
                  <c:v>78.84</c:v>
                </c:pt>
                <c:pt idx="4">
                  <c:v>69.8</c:v>
                </c:pt>
                <c:pt idx="5">
                  <c:v>39.18</c:v>
                </c:pt>
                <c:pt idx="6">
                  <c:v>54.89</c:v>
                </c:pt>
                <c:pt idx="7">
                  <c:v>88.82</c:v>
                </c:pt>
                <c:pt idx="8">
                  <c:v>77.91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(69,80 – 97,83)</c:v>
                </c:pt>
                <c:pt idx="5">
                  <c:v>Escenarios (bajista – alcista) (39,18 – 116,74)</c:v>
                </c:pt>
                <c:pt idx="6">
                  <c:v>Suma de partes (54,89 – 79,44)</c:v>
                </c:pt>
                <c:pt idx="7">
                  <c:v>DCF con la prima implícita del mercado (4,2 %)</c:v>
                </c:pt>
                <c:pt idx="8">
                  <c:v>Precio actual (78,30)</c:v>
                </c:pt>
              </c:strCache>
            </c:strRef>
          </c:cat>
          <c:val>
            <c:numRef>
              <c:f>Hoja1!$C$2:$C$10</c:f>
              <c:numCache>
                <c:formatCode>#,##0</c:formatCode>
                <c:ptCount val="9"/>
                <c:pt idx="0">
                  <c:v>29.800000000000004</c:v>
                </c:pt>
                <c:pt idx="1">
                  <c:v>24.6</c:v>
                </c:pt>
                <c:pt idx="2">
                  <c:v>52.309999999999995</c:v>
                </c:pt>
                <c:pt idx="3">
                  <c:v>39.42</c:v>
                </c:pt>
                <c:pt idx="4">
                  <c:v>28.03</c:v>
                </c:pt>
                <c:pt idx="5">
                  <c:v>77.56</c:v>
                </c:pt>
                <c:pt idx="6">
                  <c:v>24.549999999999997</c:v>
                </c:pt>
                <c:pt idx="7">
                  <c:v>23.370000000000005</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Ferroviario</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1887.731</c:v>
                </c:pt>
                <c:pt idx="1">
                  <c:v>1947.55</c:v>
                </c:pt>
                <c:pt idx="2">
                  <c:v>2037.174</c:v>
                </c:pt>
                <c:pt idx="3">
                  <c:v>2221.832</c:v>
                </c:pt>
                <c:pt idx="4">
                  <c:v>2469.758</c:v>
                </c:pt>
                <c:pt idx="5">
                  <c:v>3005.911</c:v>
                </c:pt>
                <c:pt idx="6">
                  <c:v>3284.68</c:v>
                </c:pt>
                <c:pt idx="7">
                  <c:v>3303.771</c:v>
                </c:pt>
              </c:numCache>
            </c:numRef>
          </c:val>
        </c:ser>
        <c:ser>
          <c:idx val="1"/>
          <c:order val="1"/>
          <c:tx>
            <c:strRef>
              <c:f>Hoja1!$C$1</c:f>
              <c:strCache>
                <c:ptCount val="1"/>
                <c:pt idx="0">
                  <c:v>Autobuses (Solaris)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160.688</c:v>
                </c:pt>
                <c:pt idx="1">
                  <c:v>650.105</c:v>
                </c:pt>
                <c:pt idx="2">
                  <c:v>725.298</c:v>
                </c:pt>
                <c:pt idx="3">
                  <c:v>720.853</c:v>
                </c:pt>
                <c:pt idx="4">
                  <c:v>695.712</c:v>
                </c:pt>
                <c:pt idx="5">
                  <c:v>819.374</c:v>
                </c:pt>
                <c:pt idx="6">
                  <c:v>926.863</c:v>
                </c:pt>
                <c:pt idx="7">
                  <c:v>1182.763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Ferroviario</c:v>
                </c:pt>
                <c:pt idx="1">
                  <c:v>Autobuses (Solaris)</c:v>
                </c:pt>
              </c:strCache>
            </c:strRef>
          </c:cat>
          <c:val>
            <c:numRef>
              <c:f>Hoja1!$B$2:$B$3</c:f>
              <c:numCache>
                <c:formatCode>General</c:formatCode>
                <c:ptCount val="2"/>
                <c:pt idx="0">
                  <c:v>73.6</c:v>
                </c:pt>
                <c:pt idx="1">
                  <c:v>26.4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España</c:v>
                </c:pt>
                <c:pt idx="1">
                  <c:v>Italia</c:v>
                </c:pt>
                <c:pt idx="2">
                  <c:v>Francia</c:v>
                </c:pt>
                <c:pt idx="3">
                  <c:v>Países nórdicos</c:v>
                </c:pt>
                <c:pt idx="4">
                  <c:v>Alemania</c:v>
                </c:pt>
                <c:pt idx="5">
                  <c:v>Resto de Europa (Reino Unido 5,7; Polonia 5,7; Benelux 4,7; otros 6,1)</c:v>
                </c:pt>
                <c:pt idx="6">
                  <c:v>América</c:v>
                </c:pt>
                <c:pt idx="7">
                  <c:v>APAC y resto del mundo</c:v>
                </c:pt>
              </c:strCache>
            </c:strRef>
          </c:cat>
          <c:val>
            <c:numRef>
              <c:f>Hoja1!$B$2:$B$9</c:f>
              <c:numCache>
                <c:formatCode>0"%"</c:formatCode>
                <c:ptCount val="8"/>
                <c:pt idx="0">
                  <c:v>11.68</c:v>
                </c:pt>
                <c:pt idx="1">
                  <c:v>10.6</c:v>
                </c:pt>
                <c:pt idx="2">
                  <c:v>9.76</c:v>
                </c:pt>
                <c:pt idx="3">
                  <c:v>9.25</c:v>
                </c:pt>
                <c:pt idx="4">
                  <c:v>7.17</c:v>
                </c:pt>
                <c:pt idx="5">
                  <c:v>22.14</c:v>
                </c:pt>
                <c:pt idx="6">
                  <c:v>10.88</c:v>
                </c:pt>
                <c:pt idx="7">
                  <c:v>18.52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al año (media trienal del WRMS; el año es el central del trienio))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2022</c:v>
                </c:pt>
                <c:pt idx="2">
                  <c:v>2024</c:v>
                </c:pt>
                <c:pt idx="3">
                  <c:v>2030e</c:v>
                </c:pt>
              </c:strCache>
            </c:strRef>
          </c:cat>
          <c:val>
            <c:numRef>
              <c:f>Hoja1!$B$2:$B$5</c:f>
              <c:numCache>
                <c:formatCode>#,##0</c:formatCode>
                <c:ptCount val="4"/>
                <c:pt idx="0">
                  <c:v>176500</c:v>
                </c:pt>
                <c:pt idx="1">
                  <c:v>201800</c:v>
                </c:pt>
                <c:pt idx="2">
                  <c:v>220600</c:v>
                </c:pt>
                <c:pt idx="3">
                  <c:v>267000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CAF</c:v>
                </c:pt>
                <c:pt idx="1">
                  <c:v>Alstom</c:v>
                </c:pt>
                <c:pt idx="2">
                  <c:v>Siemens Mobility</c:v>
                </c:pt>
                <c:pt idx="3">
                  <c:v>Hitachi Rail</c:v>
                </c:pt>
                <c:pt idx="4">
                  <c:v>Stadler Rail</c:v>
                </c:pt>
                <c:pt idx="5">
                  <c:v>Talgo</c:v>
                </c:pt>
                <c:pt idx="6">
                  <c:v>Daimler Buses (Mercedes-Benz, Setra)</c:v>
                </c:pt>
                <c:pt idx="7">
                  <c:v>Volvo Buses</c:v>
                </c:pt>
                <c:pt idx="8">
                  <c:v>Yutong Bus</c:v>
                </c:pt>
              </c:strCache>
            </c:strRef>
          </c:cat>
          <c:val>
            <c:numRef>
              <c:f>Hoja1!$B$2:$B$10</c:f>
              <c:numCache>
                <c:formatCode>0.0"%"</c:formatCode>
                <c:ptCount val="9"/>
                <c:pt idx="0">
                  <c:v>5.5</c:v>
                </c:pt>
                <c:pt idx="1">
                  <c:v>6.1</c:v>
                </c:pt>
                <c:pt idx="2">
                  <c:v>8.8</c:v>
                </c:pt>
                <c:pt idx="3">
                  <c:v>8.2</c:v>
                </c:pt>
                <c:pt idx="4">
                  <c:v>4.4</c:v>
                </c:pt>
                <c:pt idx="6">
                  <c:v>10</c:v>
                </c:pt>
                <c:pt idx="7">
                  <c:v>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2048.419</c:v>
                </c:pt>
                <c:pt idx="1">
                  <c:v>2597.655</c:v>
                </c:pt>
                <c:pt idx="2">
                  <c:v>2762.472</c:v>
                </c:pt>
                <c:pt idx="3">
                  <c:v>2942.685</c:v>
                </c:pt>
                <c:pt idx="4">
                  <c:v>3165.47</c:v>
                </c:pt>
                <c:pt idx="5">
                  <c:v>3825.285</c:v>
                </c:pt>
                <c:pt idx="6">
                  <c:v>4211.543</c:v>
                </c:pt>
                <c:pt idx="7">
                  <c:v>4486.534</c:v>
                </c:pt>
                <c:pt idx="8">
                  <c:v>4935</c:v>
                </c:pt>
                <c:pt idx="9">
                  <c:v>5305</c:v>
                </c:pt>
                <c:pt idx="10">
                  <c:v>5677</c:v>
                </c:pt>
                <c:pt idx="11">
                  <c:v>5989</c:v>
                </c:pt>
                <c:pt idx="12">
                  <c:v>6258</c:v>
                </c:pt>
                <c:pt idx="13">
                  <c:v>6509</c:v>
                </c:pt>
                <c:pt idx="14">
                  <c:v>6737</c:v>
                </c:pt>
                <c:pt idx="15">
                  <c:v>6939</c:v>
                </c:pt>
                <c:pt idx="16">
                  <c:v>7112</c:v>
                </c:pt>
                <c:pt idx="17">
                  <c:v>7290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201.478</c:v>
                </c:pt>
                <c:pt idx="1">
                  <c:v>205.826</c:v>
                </c:pt>
                <c:pt idx="2">
                  <c:v>201.49</c:v>
                </c:pt>
                <c:pt idx="3">
                  <c:v>254.804</c:v>
                </c:pt>
                <c:pt idx="4">
                  <c:v>232.181</c:v>
                </c:pt>
                <c:pt idx="5">
                  <c:v>285.675</c:v>
                </c:pt>
                <c:pt idx="6">
                  <c:v>324.987</c:v>
                </c:pt>
                <c:pt idx="7">
                  <c:v>349.524</c:v>
                </c:pt>
                <c:pt idx="8">
                  <c:v>415</c:v>
                </c:pt>
                <c:pt idx="9">
                  <c:v>446</c:v>
                </c:pt>
                <c:pt idx="10">
                  <c:v>477</c:v>
                </c:pt>
                <c:pt idx="11">
                  <c:v>503</c:v>
                </c:pt>
                <c:pt idx="12">
                  <c:v>526</c:v>
                </c:pt>
                <c:pt idx="13">
                  <c:v>547</c:v>
                </c:pt>
                <c:pt idx="14">
                  <c:v>566</c:v>
                </c:pt>
                <c:pt idx="15">
                  <c:v>583</c:v>
                </c:pt>
                <c:pt idx="16">
                  <c:v>597</c:v>
                </c:pt>
                <c:pt idx="17">
                  <c:v>612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50.4</c:v>
                </c:pt>
                <c:pt idx="1">
                  <c:v>47.2</c:v>
                </c:pt>
                <c:pt idx="2">
                  <c:v>45</c:v>
                </c:pt>
                <c:pt idx="3">
                  <c:v>46</c:v>
                </c:pt>
                <c:pt idx="4">
                  <c:v>45.3</c:v>
                </c:pt>
                <c:pt idx="5">
                  <c:v>43.1</c:v>
                </c:pt>
                <c:pt idx="6">
                  <c:v>45.2</c:v>
                </c:pt>
                <c:pt idx="7">
                  <c:v>46.7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9.8</c:v>
                </c:pt>
                <c:pt idx="1">
                  <c:v>7.9</c:v>
                </c:pt>
                <c:pt idx="2">
                  <c:v>7.3</c:v>
                </c:pt>
                <c:pt idx="3">
                  <c:v>8.7</c:v>
                </c:pt>
                <c:pt idx="4">
                  <c:v>7.3</c:v>
                </c:pt>
                <c:pt idx="5">
                  <c:v>7.5</c:v>
                </c:pt>
                <c:pt idx="6">
                  <c:v>7.7</c:v>
                </c:pt>
                <c:pt idx="7">
                  <c:v>7.8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7</c:v>
                </c:pt>
                <c:pt idx="1">
                  <c:v>4.8</c:v>
                </c:pt>
                <c:pt idx="2">
                  <c:v>4.4</c:v>
                </c:pt>
                <c:pt idx="3">
                  <c:v>5.6</c:v>
                </c:pt>
                <c:pt idx="4">
                  <c:v>4.4</c:v>
                </c:pt>
                <c:pt idx="5">
                  <c:v>4.7</c:v>
                </c:pt>
                <c:pt idx="6">
                  <c:v>5.1</c:v>
                </c:pt>
                <c:pt idx="7">
                  <c:v>5.5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2.1</c:v>
                </c:pt>
                <c:pt idx="1">
                  <c:v>1</c:v>
                </c:pt>
                <c:pt idx="2">
                  <c:v>0.3</c:v>
                </c:pt>
                <c:pt idx="3">
                  <c:v>2.9</c:v>
                </c:pt>
                <c:pt idx="4">
                  <c:v>1.6</c:v>
                </c:pt>
                <c:pt idx="5">
                  <c:v>2.3</c:v>
                </c:pt>
                <c:pt idx="6">
                  <c:v>2.5</c:v>
                </c:pt>
                <c:pt idx="7">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10.9</c:v>
                </c:pt>
                <c:pt idx="1">
                  <c:v>9.4</c:v>
                </c:pt>
                <c:pt idx="2">
                  <c:v>4.5</c:v>
                </c:pt>
                <c:pt idx="3">
                  <c:v>8.5</c:v>
                </c:pt>
                <c:pt idx="4">
                  <c:v>16.3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c:v>
                </c:pt>
                <c:pt idx="1">
                  <c:v>193</c:v>
                </c:pt>
                <c:pt idx="2">
                  <c:v>179</c:v>
                </c:pt>
                <c:pt idx="3">
                  <c:v>187</c:v>
                </c:pt>
                <c:pt idx="4">
                  <c:v>220</c:v>
                </c:pt>
                <c:pt idx="5">
                  <c:v>211</c:v>
                </c:pt>
                <c:pt idx="6">
                  <c:v>196</c:v>
                </c:pt>
                <c:pt idx="7">
                  <c:v>202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74</c:v>
                </c:pt>
                <c:pt idx="1">
                  <c:v>74</c:v>
                </c:pt>
                <c:pt idx="2">
                  <c:v>69</c:v>
                </c:pt>
                <c:pt idx="3">
                  <c:v>66</c:v>
                </c:pt>
                <c:pt idx="4">
                  <c:v>73</c:v>
                </c:pt>
                <c:pt idx="5">
                  <c:v>49</c:v>
                </c:pt>
                <c:pt idx="6">
                  <c:v>60</c:v>
                </c:pt>
                <c:pt idx="7">
                  <c:v>62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312</c:v>
                </c:pt>
                <c:pt idx="1">
                  <c:v>263</c:v>
                </c:pt>
                <c:pt idx="2">
                  <c:v>240</c:v>
                </c:pt>
                <c:pt idx="3">
                  <c:v>233</c:v>
                </c:pt>
                <c:pt idx="4">
                  <c:v>293</c:v>
                </c:pt>
                <c:pt idx="5">
                  <c:v>246</c:v>
                </c:pt>
                <c:pt idx="6">
                  <c:v>241</c:v>
                </c:pt>
                <c:pt idx="7">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234.19900000000007</c:v>
                </c:pt>
                <c:pt idx="1">
                  <c:v>-23.72500000000001</c:v>
                </c:pt>
                <c:pt idx="2">
                  <c:v>50.411000000000016</c:v>
                </c:pt>
                <c:pt idx="3">
                  <c:v>47.11600000000001</c:v>
                </c:pt>
                <c:pt idx="4">
                  <c:v>-39.51100000000001</c:v>
                </c:pt>
                <c:pt idx="5">
                  <c:v>-52.461999999999996</c:v>
                </c:pt>
                <c:pt idx="6">
                  <c:v>16.914</c:v>
                </c:pt>
                <c:pt idx="7">
                  <c:v>4.604000000000013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43.462</c:v>
                </c:pt>
                <c:pt idx="1">
                  <c:v>24.745</c:v>
                </c:pt>
                <c:pt idx="2">
                  <c:v>9.012</c:v>
                </c:pt>
                <c:pt idx="3">
                  <c:v>85.92</c:v>
                </c:pt>
                <c:pt idx="4">
                  <c:v>52.188</c:v>
                </c:pt>
                <c:pt idx="5">
                  <c:v>89.158</c:v>
                </c:pt>
                <c:pt idx="6">
                  <c:v>103.255</c:v>
                </c:pt>
                <c:pt idx="7">
                  <c:v>146.259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7.3</c:v>
                </c:pt>
                <c:pt idx="1">
                  <c:v>6</c:v>
                </c:pt>
                <c:pt idx="2">
                  <c:v>5.9</c:v>
                </c:pt>
                <c:pt idx="3">
                  <c:v>9.7</c:v>
                </c:pt>
                <c:pt idx="4">
                  <c:v>6.7</c:v>
                </c:pt>
                <c:pt idx="5">
                  <c:v>9</c:v>
                </c:pt>
                <c:pt idx="6">
                  <c:v>11.2</c:v>
                </c:pt>
                <c:pt idx="7">
                  <c:v>13.6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8.1</c:v>
                </c:pt>
                <c:pt idx="1">
                  <c:v>8.1</c:v>
                </c:pt>
                <c:pt idx="2">
                  <c:v>8.1</c:v>
                </c:pt>
                <c:pt idx="3">
                  <c:v>8.1</c:v>
                </c:pt>
                <c:pt idx="4">
                  <c:v>8.1</c:v>
                </c:pt>
                <c:pt idx="5">
                  <c:v>8.1</c:v>
                </c:pt>
                <c:pt idx="6">
                  <c:v>8.1</c:v>
                </c:pt>
                <c:pt idx="7">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5.8</c:v>
                </c:pt>
                <c:pt idx="1">
                  <c:v>3.3</c:v>
                </c:pt>
                <c:pt idx="2">
                  <c:v>1.3</c:v>
                </c:pt>
                <c:pt idx="3">
                  <c:v>12.6</c:v>
                </c:pt>
                <c:pt idx="4">
                  <c:v>6.9</c:v>
                </c:pt>
                <c:pt idx="5">
                  <c:v>10.9</c:v>
                </c:pt>
                <c:pt idx="6">
                  <c:v>11.9</c:v>
                </c:pt>
                <c:pt idx="7">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2.09</c:v>
                </c:pt>
                <c:pt idx="1">
                  <c:v>2.9</c:v>
                </c:pt>
                <c:pt idx="2">
                  <c:v>2.37</c:v>
                </c:pt>
                <c:pt idx="3">
                  <c:v>1.85</c:v>
                </c:pt>
                <c:pt idx="4">
                  <c:v>2.11</c:v>
                </c:pt>
                <c:pt idx="5">
                  <c:v>1.63</c:v>
                </c:pt>
                <c:pt idx="6">
                  <c:v>1.07</c:v>
                </c:pt>
                <c:pt idx="7">
                  <c:v>0.87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178.174</c:v>
                </c:pt>
                <c:pt idx="1">
                  <c:v>295.595</c:v>
                </c:pt>
                <c:pt idx="2">
                  <c:v>41.782</c:v>
                </c:pt>
                <c:pt idx="3">
                  <c:v>68.65</c:v>
                </c:pt>
                <c:pt idx="4">
                  <c:v>71.685</c:v>
                </c:pt>
                <c:pt idx="5">
                  <c:v>136.667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171.664</c:v>
                </c:pt>
                <c:pt idx="1">
                  <c:v>51.035</c:v>
                </c:pt>
                <c:pt idx="2">
                  <c:v>0</c:v>
                </c:pt>
                <c:pt idx="3">
                  <c:v>9.527</c:v>
                </c:pt>
                <c:pt idx="4">
                  <c:v>0</c:v>
                </c:pt>
                <c:pt idx="5">
                  <c:v>0</c:v>
                </c:pt>
                <c:pt idx="6">
                  <c:v>0.441</c:v>
                </c:pt>
                <c:pt idx="7">
                  <c:v>0.635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24.18</c:v>
                </c:pt>
                <c:pt idx="1">
                  <c:v>27.552</c:v>
                </c:pt>
                <c:pt idx="2">
                  <c:v>0.821</c:v>
                </c:pt>
                <c:pt idx="3">
                  <c:v>29.086</c:v>
                </c:pt>
                <c:pt idx="4">
                  <c:v>36.23</c:v>
                </c:pt>
                <c:pt idx="5">
                  <c:v>32.586</c:v>
                </c:pt>
                <c:pt idx="6">
                  <c:v>41.509</c:v>
                </c:pt>
                <c:pt idx="7">
                  <c:v>50.09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1.384</c:v>
                </c:pt>
                <c:pt idx="5">
                  <c:v>0</c:v>
                </c:pt>
                <c:pt idx="6">
                  <c:v>0</c:v>
                </c:pt>
                <c:pt idx="7">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3</c:v>
                </c:pt>
                <c:pt idx="1">
                  <c:v>2</c:v>
                </c:pt>
                <c:pt idx="2">
                  <c:v>2</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Cartera Social, S.A. (sociedad de los empleados de CAF)</c:v>
                </c:pt>
                <c:pt idx="1">
                  <c:v>Bilbao Bizkaia Kutxa Fundación Bancaria (Kutxabank)</c:v>
                </c:pt>
                <c:pt idx="2">
                  <c:v>Fundació Privada Daniel Bravo Andreu (vía Danimar 1990, S.L.)</c:v>
                </c:pt>
                <c:pt idx="3">
                  <c:v>Indumenta Pueri, S.L. (vía Global Portfolio Investments, S.L.)</c:v>
                </c:pt>
                <c:pt idx="4">
                  <c:v>Instituto Vasco de Finanzas (vía Finkatze Kapitala Finkatuz, S.A.U.)</c:v>
                </c:pt>
                <c:pt idx="5">
                  <c:v>Independance AM</c:v>
                </c:pt>
                <c:pt idx="6">
                  <c:v>Autocartera (contrato de liquidez con Kutxabank Investment)</c:v>
                </c:pt>
                <c:pt idx="7">
                  <c:v>Consejeros (en conjunto)</c:v>
                </c:pt>
              </c:strCache>
            </c:strRef>
          </c:cat>
          <c:val>
            <c:numRef>
              <c:f>Hoja1!$B$2:$B$9</c:f>
              <c:numCache>
                <c:formatCode>0.0"%"</c:formatCode>
                <c:ptCount val="8"/>
                <c:pt idx="0">
                  <c:v>23.12</c:v>
                </c:pt>
                <c:pt idx="1">
                  <c:v>13.23</c:v>
                </c:pt>
                <c:pt idx="2">
                  <c:v>5.23</c:v>
                </c:pt>
                <c:pt idx="3">
                  <c:v>5.02</c:v>
                </c:pt>
                <c:pt idx="4">
                  <c:v>3</c:v>
                </c:pt>
                <c:pt idx="5">
                  <c:v>3.27</c:v>
                </c:pt>
                <c:pt idx="6">
                  <c:v>0.09</c:v>
                </c:pt>
                <c:pt idx="7">
                  <c:v>0.096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49.9</c:v>
                </c:pt>
                <c:pt idx="1">
                  <c:v>-10.8</c:v>
                </c:pt>
                <c:pt idx="2">
                  <c:v>5.9</c:v>
                </c:pt>
                <c:pt idx="3">
                  <c:v>13.3</c:v>
                </c:pt>
                <c:pt idx="4">
                  <c:v>-4.3</c:v>
                </c:pt>
                <c:pt idx="5">
                  <c:v>-6.8</c:v>
                </c:pt>
                <c:pt idx="6">
                  <c:v>-27.6</c:v>
                </c:pt>
                <c:pt idx="7">
                  <c:v>23</c:v>
                </c:pt>
                <c:pt idx="8">
                  <c:v>7.2</c:v>
                </c:pt>
                <c:pt idx="9">
                  <c:v>68.5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8.3</c:v>
                </c:pt>
                <c:pt idx="1">
                  <c:v>9.8</c:v>
                </c:pt>
                <c:pt idx="2">
                  <c:v>9.1</c:v>
                </c:pt>
                <c:pt idx="3">
                  <c:v>6.8</c:v>
                </c:pt>
                <c:pt idx="4">
                  <c:v>6.1</c:v>
                </c:pt>
                <c:pt idx="5">
                  <c:v>5.6</c:v>
                </c:pt>
                <c:pt idx="6">
                  <c:v>4.8</c:v>
                </c:pt>
                <c:pt idx="7">
                  <c:v>6.7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6.8</c:v>
                </c:pt>
                <c:pt idx="1">
                  <c:v>6.8</c:v>
                </c:pt>
                <c:pt idx="2">
                  <c:v>6.8</c:v>
                </c:pt>
                <c:pt idx="3">
                  <c:v>6.8</c:v>
                </c:pt>
                <c:pt idx="4">
                  <c:v>6.8</c:v>
                </c:pt>
                <c:pt idx="5">
                  <c:v>6.8</c:v>
                </c:pt>
                <c:pt idx="6">
                  <c:v>6.8</c:v>
                </c:pt>
                <c:pt idx="7">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CAF</c:v>
                </c:pt>
                <c:pt idx="1">
                  <c:v>Alstom</c:v>
                </c:pt>
                <c:pt idx="2">
                  <c:v>Stadler Rail</c:v>
                </c:pt>
                <c:pt idx="3">
                  <c:v>Talgo</c:v>
                </c:pt>
                <c:pt idx="4">
                  <c:v>Knorr-Bremse</c:v>
                </c:pt>
                <c:pt idx="5">
                  <c:v>Wabtec</c:v>
                </c:pt>
                <c:pt idx="6">
                  <c:v>Daimler Truck</c:v>
                </c:pt>
                <c:pt idx="7">
                  <c:v>Volvo</c:v>
                </c:pt>
              </c:strCache>
            </c:strRef>
          </c:cat>
          <c:val>
            <c:numRef>
              <c:f>Hoja1!$B$2:$B$9</c:f>
              <c:numCache>
                <c:formatCode>0.0"x"</c:formatCode>
                <c:ptCount val="8"/>
                <c:pt idx="0">
                  <c:v>7</c:v>
                </c:pt>
                <c:pt idx="1">
                  <c:v>4.8</c:v>
                </c:pt>
                <c:pt idx="2">
                  <c:v>7.3</c:v>
                </c:pt>
                <c:pt idx="3">
                  <c:v>9</c:v>
                </c:pt>
                <c:pt idx="4">
                  <c:v>10.5</c:v>
                </c:pt>
                <c:pt idx="5">
                  <c:v>16.2</c:v>
                </c:pt>
                <c:pt idx="6">
                  <c:v>4.1</c:v>
                </c:pt>
                <c:pt idx="7">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CAF</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6.8</c:v>
                </c:pt>
              </c:numCache>
            </c:numRef>
          </c:xVal>
          <c:yVal>
            <c:numRef>
              <c:f>Hoja1!$C$2</c:f>
              <c:numCache>
                <c:formatCode>0.0"x"</c:formatCode>
                <c:ptCount val="1"/>
                <c:pt idx="0">
                  <c:v>7</c:v>
                </c:pt>
              </c:numCache>
            </c:numRef>
          </c:yVal>
          <c:smooth val="0"/>
        </c:ser>
        <c:ser>
          <c:idx val="1"/>
          <c:order val="1"/>
          <c:tx>
            <c:strRef>
              <c:f>Hoja1!$A$3</c:f>
              <c:strCache>
                <c:ptCount val="1"/>
                <c:pt idx="0">
                  <c:v>Alstom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5.6</c:v>
                </c:pt>
              </c:numCache>
            </c:numRef>
          </c:xVal>
          <c:yVal>
            <c:numRef>
              <c:f>Hoja1!$C$3</c:f>
              <c:numCache>
                <c:formatCode>0.0"x"</c:formatCode>
                <c:ptCount val="1"/>
                <c:pt idx="0">
                  <c:v>4.8</c:v>
                </c:pt>
              </c:numCache>
            </c:numRef>
          </c:yVal>
          <c:smooth val="0"/>
        </c:ser>
        <c:ser>
          <c:idx val="2"/>
          <c:order val="2"/>
          <c:tx>
            <c:strRef>
              <c:f>Hoja1!$A$4</c:f>
              <c:strCache>
                <c:ptCount val="1"/>
                <c:pt idx="0">
                  <c:v>Stadler Rail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7.3</c:v>
                </c:pt>
              </c:numCache>
            </c:numRef>
          </c:yVal>
          <c:smooth val="0"/>
        </c:ser>
        <c:ser>
          <c:idx val="3"/>
          <c:order val="3"/>
          <c:tx>
            <c:strRef>
              <c:f>Hoja1!$A$5</c:f>
              <c:strCache>
                <c:ptCount val="1"/>
                <c:pt idx="0">
                  <c:v>Talgo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16.1</c:v>
                </c:pt>
              </c:numCache>
            </c:numRef>
          </c:xVal>
          <c:yVal>
            <c:numRef>
              <c:f>Hoja1!$C$5</c:f>
              <c:numCache>
                <c:formatCode>0.0"x"</c:formatCode>
                <c:ptCount val="1"/>
                <c:pt idx="0">
                  <c:v>9</c:v>
                </c:pt>
              </c:numCache>
            </c:numRef>
          </c:yVal>
          <c:smooth val="0"/>
        </c:ser>
        <c:ser>
          <c:idx val="4"/>
          <c:order val="4"/>
          <c:tx>
            <c:strRef>
              <c:f>Hoja1!$A$6</c:f>
              <c:strCache>
                <c:ptCount val="1"/>
                <c:pt idx="0">
                  <c:v>Knorr-Bremse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10.5</c:v>
                </c:pt>
              </c:numCache>
            </c:numRef>
          </c:yVal>
          <c:smooth val="0"/>
        </c:ser>
        <c:ser>
          <c:idx val="5"/>
          <c:order val="5"/>
          <c:tx>
            <c:strRef>
              <c:f>Hoja1!$A$7</c:f>
              <c:strCache>
                <c:ptCount val="1"/>
                <c:pt idx="0">
                  <c:v>Wabtec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16.2</c:v>
                </c:pt>
              </c:numCache>
            </c:numRef>
          </c:yVal>
          <c:smooth val="0"/>
        </c:ser>
        <c:ser>
          <c:idx val="6"/>
          <c:order val="6"/>
          <c:tx>
            <c:strRef>
              <c:f>Hoja1!$A$8</c:f>
              <c:strCache>
                <c:ptCount val="1"/>
                <c:pt idx="0">
                  <c:v>Daimler Truck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3.5</c:v>
                </c:pt>
              </c:numCache>
            </c:numRef>
          </c:xVal>
          <c:yVal>
            <c:numRef>
              <c:f>Hoja1!$C$8</c:f>
              <c:numCache>
                <c:formatCode>0.0"x"</c:formatCode>
                <c:ptCount val="1"/>
                <c:pt idx="0">
                  <c:v>4.1</c:v>
                </c:pt>
              </c:numCache>
            </c:numRef>
          </c:yVal>
          <c:smooth val="0"/>
        </c:ser>
        <c:ser>
          <c:idx val="7"/>
          <c:order val="7"/>
          <c:tx>
            <c:strRef>
              <c:f>Hoja1!$A$9</c:f>
              <c:strCache>
                <c:ptCount val="1"/>
                <c:pt idx="0">
                  <c:v>Volvo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6.7</c:v>
                </c:pt>
              </c:numCache>
            </c:numRef>
          </c:xVal>
          <c:yVal>
            <c:numRef>
              <c:f>Hoja1!$C$9</c:f>
              <c:numCache>
                <c:formatCode>0.0"x"</c:formatCode>
                <c:ptCount val="1"/>
                <c:pt idx="0">
                  <c:v>6.8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Bombardier Transportation</c:v>
                </c:pt>
                <c:pt idx="1">
                  <c:v>Thales Ground Transportation Systems (señalización ferroviaria)</c:v>
                </c:pt>
                <c:pt idx="2">
                  <c:v>Alstom Signaling North America (señalización convencional)</c:v>
                </c:pt>
                <c:pt idx="3">
                  <c:v>Evident Inspection Technologies (inspección industrial)</c:v>
                </c:pt>
                <c:pt idx="4">
                  <c:v>Dellner Couplers (enganches y conexiones de trenes de pasajeros)</c:v>
                </c:pt>
                <c:pt idx="5">
                  <c:v>Iveco Defence (vehículos militares)</c:v>
                </c:pt>
                <c:pt idx="6">
                  <c:v>Iveco Group (camiones y autobuses, sin defensa)</c:v>
                </c:pt>
                <c:pt idx="7">
                  <c:v>Talgo (29,76 % del capital)</c:v>
                </c:pt>
                <c:pt idx="8">
                  <c:v>Solaris Bus &amp; Coach (autobuses)</c:v>
                </c:pt>
              </c:strCache>
            </c:strRef>
          </c:cat>
          <c:val>
            <c:numRef>
              <c:f>Hoja1!$B$2:$B$10</c:f>
              <c:numCache>
                <c:formatCode>0.0"x"</c:formatCode>
                <c:ptCount val="9"/>
                <c:pt idx="4">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89</c:v>
                </c:pt>
                <c:pt idx="1">
                  <c:v>103</c:v>
                </c:pt>
                <c:pt idx="2">
                  <c:v>121</c:v>
                </c:pt>
                <c:pt idx="3">
                  <c:v>162</c:v>
                </c:pt>
                <c:pt idx="4">
                  <c:v>206</c:v>
                </c:pt>
                <c:pt idx="5">
                  <c:v>218</c:v>
                </c:pt>
                <c:pt idx="6">
                  <c:v>229</c:v>
                </c:pt>
                <c:pt idx="7">
                  <c:v>240</c:v>
                </c:pt>
                <c:pt idx="8">
                  <c:v>250</c:v>
                </c:pt>
                <c:pt idx="9">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1213</c:v>
                </c:pt>
                <c:pt idx="1">
                  <c:v>2083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39.18</c:v>
                </c:pt>
                <c:pt idx="1">
                  <c:v>81.56</c:v>
                </c:pt>
                <c:pt idx="2">
                  <c:v>116.74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(69,80 – 97,83)</c:v>
                </c:pt>
                <c:pt idx="5">
                  <c:v>Escenarios (bajista – alcista) (39,18 – 116,74)</c:v>
                </c:pt>
                <c:pt idx="6">
                  <c:v>Suma de partes (54,89 – 79,44)</c:v>
                </c:pt>
                <c:pt idx="7">
                  <c:v>DCF con la prima implícita del mercado (4,2 %)</c:v>
                </c:pt>
                <c:pt idx="8">
                  <c:v>Precio actual (78,30)</c:v>
                </c:pt>
              </c:strCache>
            </c:strRef>
          </c:cat>
          <c:val>
            <c:numRef>
              <c:f>Hoja1!$B$2:$B$10</c:f>
              <c:numCache>
                <c:formatCode>#,##0</c:formatCode>
                <c:ptCount val="9"/>
                <c:pt idx="0">
                  <c:v>49.9</c:v>
                </c:pt>
                <c:pt idx="1">
                  <c:v>55.4</c:v>
                </c:pt>
                <c:pt idx="2">
                  <c:v>62.15</c:v>
                </c:pt>
                <c:pt idx="3">
                  <c:v>78.84</c:v>
                </c:pt>
                <c:pt idx="4">
                  <c:v>69.8</c:v>
                </c:pt>
                <c:pt idx="5">
                  <c:v>39.18</c:v>
                </c:pt>
                <c:pt idx="6">
                  <c:v>54.89</c:v>
                </c:pt>
                <c:pt idx="7">
                  <c:v>88.82</c:v>
                </c:pt>
                <c:pt idx="8">
                  <c:v>77.91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(69,80 – 97,83)</c:v>
                </c:pt>
                <c:pt idx="5">
                  <c:v>Escenarios (bajista – alcista) (39,18 – 116,74)</c:v>
                </c:pt>
                <c:pt idx="6">
                  <c:v>Suma de partes (54,89 – 79,44)</c:v>
                </c:pt>
                <c:pt idx="7">
                  <c:v>DCF con la prima implícita del mercado (4,2 %)</c:v>
                </c:pt>
                <c:pt idx="8">
                  <c:v>Precio actual (78,30)</c:v>
                </c:pt>
              </c:strCache>
            </c:strRef>
          </c:cat>
          <c:val>
            <c:numRef>
              <c:f>Hoja1!$C$2:$C$10</c:f>
              <c:numCache>
                <c:formatCode>#,##0</c:formatCode>
                <c:ptCount val="9"/>
                <c:pt idx="0">
                  <c:v>29.800000000000004</c:v>
                </c:pt>
                <c:pt idx="1">
                  <c:v>24.6</c:v>
                </c:pt>
                <c:pt idx="2">
                  <c:v>52.309999999999995</c:v>
                </c:pt>
                <c:pt idx="3">
                  <c:v>39.42</c:v>
                </c:pt>
                <c:pt idx="4">
                  <c:v>28.03</c:v>
                </c:pt>
                <c:pt idx="5">
                  <c:v>77.56</c:v>
                </c:pt>
                <c:pt idx="6">
                  <c:v>24.549999999999997</c:v>
                </c:pt>
                <c:pt idx="7">
                  <c:v>23.370000000000005</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