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United Therapeutics Corporation</w:t>
      </w:r>
    </w:p>
    <w:p>
      <w:pPr>
        <w:spacing w:after="60"/>
        <w:rPr>
          <w:color w:val="52514E"/>
          <w:sz w:val="22"/>
          <w:szCs w:val="22"/>
        </w:rPr>
      </w:pPr>
      <w:r>
        <w:rPr>
          <w:color w:val="52514E"/>
          <w:sz w:val="22"/>
          <w:szCs w:val="22"/>
        </w:rPr>
        <w:t xml:space="preserve">UTHR · Nasdaq Global Select Market · ISIN US91307C1027 · Salud</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21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553,88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521,76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-5,8 % (base +6,3 %)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485,24 USD · mercado 538,10</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25.035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-2,7x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United Therapeutics Corporation</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UTHR / US91307C1027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Nasdaq Global Select Market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 (SPY)</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Salud / Biotecnología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Silver Spring (Maryland) y Research Triangle Park (Carolina del Norte) · 1996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www.unither.com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553,88 (20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409,07 – 609,35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25.035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20.985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367 M USD/día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521,76 USD</w:t>
      </w:r>
      <w:r>
        <w:t xml:space="preserve"> frente a 553,88 · Rentabilidad a 12 meses </w:t>
      </w:r>
      <w:r>
        <w:rPr>
          <w:b/>
          <w:bCs/>
        </w:rPr>
        <w:t xml:space="preserve">-5,8 % (base +6,3 %)</w:t>
      </w:r>
      <w:r>
        <w:t xml:space="preserve"> · Valor intrínseco 485,24 USD · con la prima implícita del mercado: 538,10 (-2,8 %) · Alcista / bajista +6,3 % / -33,3 %</w:t>
      </w:r>
    </w:p>
    <w:p>
      <w:pPr>
        <w:spacing w:after="100"/>
      </w:pPr>
      <w:r>
        <w:rPr>
          <w:b/>
        </w:rPr>
        <w:t xml:space="preserve">La recomendación y por qué.</w:t>
      </w:r>
      <w:r>
        <w:t xml:space="preserve"> Mantener, con convicción baja. El objetivo a 12 meses es de 521,76 USD (nuestro BPA de 2028e × el PER de la regla común), un −5,8 % de rentabilidad ponderada y un +6,3 % en el caso base, frente a un precio de 553,88 USD (cierre del 20-oct-2026). El valor intrínseco (485,24 USD) queda un 12,4 % por debajo y el objetivo medio de los analistas (662,07) un 20 % por encima. La razón principal: tras la sentencia contra Yutrepia y el acuerdo con Liquidia, el precio ya paga una FPI aprobada y bien lanzada (18,6 veces nuestro BPA de 2027e frente a una mediana adelantada de 14,0), mientras los genéricos de Orenitram y Tyvaso nebulizado llegan en 2027. La convicción es baja porque las reglas discrepan (Vender con nuestro WACC, Mantener con la prima del mercado); la subiría a favor la aprobación de la FPI en abril de 2027 o un precio por debajo de 453,70 USD.</w:t>
      </w:r>
    </w:p>
    <w:p>
      <w:pPr>
        <w:spacing w:after="100"/>
      </w:pPr>
      <w:r>
        <w:rPr>
          <w:b/>
        </w:rPr>
        <w:t xml:space="preserve">El negocio.</w:t>
      </w:r>
      <w:r>
        <w:t xml:space="preserve"> Vende cuatro formas del treprostinil para la hipertensión pulmonar y un anticuerpo oncológico infantil, el 95 % en EE. UU., con un margen operativo del 46,9 % y un ROIC del 53,6 % frente a un WACC del 10,5 % [1]: calidad «Sí» (+43 puntos). La sostenibilidad del crecimiento es «Sí»: proyectamos un 7,9 % anual, la mitad del histórico, sin apenas capital, y la cuota implícita (31 % de HAP más FPI en 2030e) se apoya en dos ensayos positivos en FPI [19, 23]. Lo vulnerable son las patentes: Orenitram y Tyvaso nebulizado tienen genéricos en 2027-2028, y Tyvaso DPI pierde las suyas en 2030-2035 [1].</w:t>
      </w:r>
    </w:p>
    <w:p>
      <w:pPr>
        <w:spacing w:after="100"/>
      </w:pPr>
      <w:r>
        <w:rPr>
          <w:b/>
        </w:rPr>
        <w:t xml:space="preserve">Finanzas.</w:t>
      </w:r>
      <w:r>
        <w:t xml:space="preserve"> Ventas planas en 2026 (−2 % en el 1S), tras crecer un 17 % anual en 2021-2025, por Yutrepia y Winrevair [3, 4]. Sin deuda y con 3.803 M USD de caja e inversiones a 30-jun-2026, después de recomprar 4.000 M desde 2024 [2, 9, 10]. El flujo libre fue el 85 % del beneficio en 2021-2025; el capex de las granjas de órganos lo frena (526 M en 2025).</w:t>
      </w:r>
    </w:p>
    <w:p>
      <w:pPr>
        <w:spacing w:after="100"/>
      </w:pPr>
      <w:r>
        <w:rPr>
          <w:b/>
        </w:rPr>
        <w:t xml:space="preserve">Equipo y gobierno.</w:t>
      </w:r>
      <w:r>
        <w:t xml:space="preserve"> La fundadora, Martine Rothblatt, preside y dirige desde 1996. Es corporación de beneficio público desde 2021: el consejo debe equilibrar a los pacientes con el accionista, lo que hace improbable una oferta y explica el gasto en órganos [1]. Los directivos vendieron 1.442 M USD en 12 meses (905 M la fundadora), casi todo ejercicio de opciones con planes 10b5-1 [26]: restan, pero no son una señal nueva.</w:t>
      </w:r>
    </w:p>
    <w:p>
      <w:pPr>
        <w:spacing w:after="100"/>
      </w:pPr>
      <w:r>
        <w:rPr>
          <w:b/>
        </w:rPr>
        <w:t xml:space="preserve">Valoración.</w:t>
      </w:r>
      <w:r>
        <w:t xml:space="preserve"> El DCF da 505,50 USD (−8,7 %) y el DCF inverso descuenta un 10,1 % de crecimiento anual frente al 7,9 % de nuestro base. Con la prima del mercado (4,2 %), el DCF sube a 569,42 USD. La regla a 12 meses baja el PER de 18,6 a 16,9 veces y el bajista a 8,9; con la regla v2 de control (historia al cierre, mediana de 17,5), la ponderada sería +0,2 % y el base +10,1 %: tampoco llega a Comprar. Nuestro BPA de 2027e queda un 6 % por debajo del consenso por el margen [30].</w:t>
      </w:r>
    </w:p>
    <w:p>
      <w:pPr>
        <w:spacing w:after="100"/>
      </w:pPr>
      <w:r>
        <w:rPr>
          <w:b/>
        </w:rPr>
        <w:t xml:space="preserve">Riesgos y catalizadores.</w:t>
      </w:r>
      <w:r>
        <w:t xml:space="preserve"> El riesgo de mayor impacto es la FDA en FPI (finales de abril de 2027: el bajista, −33 %); después, Yutrepia y Winrevair en HAP y los genéricos de 2027 (−8 a −12 %). El riesgo de la IA es bajo (±2 %). Catalizadores: resultados del 3T26 (≈ 28-oct), cobro de Liquidia (330 M en tres plazos) y la decisión de la FPI; el sentimiento de los foros es positivo, como el de los analistas.</w:t>
      </w:r>
    </w:p>
    <w:p>
      <w:pPr>
        <w:spacing w:after="100"/>
      </w:pPr>
      <w:r>
        <w:rPr>
          <w:b/>
        </w:rPr>
        <w:t xml:space="preserve">Qué cambiaría la decisión.</w:t>
      </w:r>
      <w:r>
        <w:t xml:space="preserve"> Comprar por debajo de 453,70 USD; Mantener entre 453,70 y 579,73; Vender por encima de 579,73. La aprobación de la FPI con etiqueta amplia, o una recompra nueva de más de 1.500 M, mejorarían el objetivo; un retraso de la FDA o Yutrepia por encima de 250 M por trimestre lo empeorarían.</w:t>
      </w:r>
    </w:p>
    <w:p>
      <w:r>
        <w:br w:type="page"/>
      </w:r>
    </w:p>
    <w:p>
      <w:pPr>
        <w:pStyle w:val="Heading1"/>
      </w:pPr>
      <w:r>
        <w:t xml:space="preserve">Resumen ejecutivo</w:t>
      </w:r>
    </w:p>
    <w:p>
      <w:pPr>
        <w:spacing w:after="100"/>
      </w:pPr>
      <w:r>
        <w:rPr>
          <w:b/>
          <w:bCs/>
        </w:rPr>
        <w:t xml:space="preserve">Recomendación: Mantener</w:t>
      </w:r>
      <w:r>
        <w:t xml:space="preserve"> · Convicción: Baja · Horizonte: 12 meses · Objetivo a 12 meses: </w:t>
      </w:r>
      <w:r>
        <w:rPr>
          <w:b/>
          <w:bCs/>
        </w:rPr>
        <w:t xml:space="preserve">521,76 USD</w:t>
      </w:r>
      <w:r>
        <w:t xml:space="preserve"> (rentabilidad -5,8 % (base +6,3 %)) · Valor intrínseco: 485,24 USD (-12,4 % sobre 553,88) · con la prima implícita del mercado: 538,10 (-2,8 %)</w:t>
      </w:r>
    </w:p>
    <w:p>
      <w:pPr>
        <w:spacing w:after="100"/>
      </w:pPr>
      <w:r>
        <w:t xml:space="preserve">United Therapeutics ha construido sobre una sola molécula, el treprostinil, un negocio de 3.183 M USD de ventas, con un 46,9 % de margen operativo, un ROIC del 53,6 % y sin deuda [1]. Lo hace valioso que cada nueva forma (inyectable, oral, nebulizada, en polvo) ha alargado la vida del producto y ha abierto indicaciones: tras la PH-ILD, ahora la FPI, con dos ensayos positivos y decisión de la FDA a finales de abril de 2027 [19, 21, 23].</w:t>
      </w:r>
    </w:p>
    <w:p>
      <w:pPr>
        <w:spacing w:after="100"/>
      </w:pPr>
      <w:r>
        <w:t xml:space="preserve">El precio (553,88 USD) descuenta mucho de eso: 18,6 veces nuestro BPA de 2027e, frente a una mediana de 14,0 veces en cinco años, y un crecimiento del 10,1 % anual hasta 2033 según el DCF inverso, frente al 7,9 % de nuestro base. La subida de un 12 % en el último mes recoge la sentencia contra Yutrepia y el acuerdo con Liquidia [12, 18].</w:t>
      </w:r>
    </w:p>
    <w:p>
      <w:pPr>
        <w:spacing w:after="100"/>
      </w:pPr>
      <w:r>
        <w:t xml:space="preserve">El mercado acierta en que la FPI es un mercado grande (4.046 M USD en los siete grandes [15]) y en que la PH-ILD queda protegida hasta 2042. Se equivoca, creemos, en el precio que pone a la transición de 2027-2028: los genéricos de Orenitram y Tyvaso nebulizado se llevarán ventas al mismo tiempo que se lanza la FPI, y Yutrepia sigue en HAP. Para invertir a este precio hay que creer en un lanzamiento en FPI rápido y en que el PER se quede en 18-20 veces.</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521,76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8,9x × 30,69 = 273,14 · 16,9x × 34,84 = 588,80 · 16,9x × 37,65 = 636,29</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 / 6,3 %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662,07 (nuestro base -11,1 %)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485,24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 / -33,3 %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0,19x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9,7 % frente a 10,5 % y 9,5 %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9,5 %)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538,10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0,76x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(2027e-2033e)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10,1 % frente a 4,9 %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(6,8 %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Vender, relativa Mantener))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453,70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453,70 y 579,73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579,73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453,70 USD: Comprar (ponderada ≥ 15 %, base ≥ 12 % y valor intrínseco por encima).</w:t>
      </w:r>
    </w:p>
    <w:p>
      <w:pPr>
        <w:pStyle w:val="ListParagraph"/>
        <w:numPr>
          <w:ilvl w:val="0"/>
          <w:numId w:val="2"/>
        </w:numPr>
        <w:spacing w:after="60"/>
      </w:pPr>
      <w:r>
        <w:t xml:space="preserve">Precio por encima de 579,73 USD: Vender (ponderada ≤ −10 %).</w:t>
      </w:r>
    </w:p>
    <w:p>
      <w:pPr>
        <w:pStyle w:val="ListParagraph"/>
        <w:numPr>
          <w:ilvl w:val="0"/>
          <w:numId w:val="2"/>
        </w:numPr>
        <w:spacing w:after="60"/>
      </w:pPr>
      <w:r>
        <w:t xml:space="preserve">Aprobación de la FPI con etiqueta amplia en abril de 2027: revisar al alza el BPA de 2028e.</w:t>
      </w:r>
    </w:p>
    <w:p>
      <w:pPr>
        <w:pStyle w:val="ListParagraph"/>
        <w:numPr>
          <w:ilvl w:val="0"/>
          <w:numId w:val="2"/>
        </w:numPr>
        <w:spacing w:after="60"/>
      </w:pPr>
      <w:r>
        <w:t xml:space="preserve">Carta de respuesta completa de la FDA en FPI: Vender.</w:t>
      </w:r>
    </w:p>
    <w:p>
      <w:pPr>
        <w:pStyle w:val="ListParagraph"/>
        <w:numPr>
          <w:ilvl w:val="0"/>
          <w:numId w:val="2"/>
        </w:numPr>
        <w:spacing w:after="60"/>
      </w:pPr>
      <w:r>
        <w:t xml:space="preserve">Nueva recompra de más de 1.500 M USD: revisar al alza (≈ +3 % de BPA).</w:t>
      </w:r>
    </w:p>
    <w:p>
      <w:pPr>
        <w:pStyle w:val="Heading2"/>
      </w:pPr>
      <w:r>
        <w:t xml:space="preserve">Dónde discrepamos del mercado</w:t>
      </w:r>
    </w:p>
    <w:p>
      <w:pPr>
        <w:keepNext/>
        <w:spacing w:after="100"/>
      </w:pPr>
      <w:r>
        <w:rPr>
          <w:b/>
          <w:bCs/>
        </w:rPr>
        <w:t xml:space="preserve">Lo que descuenta el precio.</w:t>
      </w:r>
    </w:p>
    <w:p>
      <w:pPr>
        <w:spacing w:after="100"/>
      </w:pPr>
      <w:r>
        <w:t xml:space="preserve">Que la FPI se aprueba en abril de 2027 y que el BPA pasa de 26,6 USD en 2026 a ≈ 32 en 2027 (consenso) y sigue subiendo, con el PER en 18-20 veces; el objetivo medio de los analistas (662 USD) está un 20 % por encima del precio.</w:t>
      </w:r>
    </w:p>
    <w:p>
      <w:pPr>
        <w:keepNext/>
        <w:spacing w:after="100"/>
      </w:pPr>
      <w:r>
        <w:rPr>
          <w:b/>
          <w:bCs/>
        </w:rPr>
        <w:t xml:space="preserve">Lo que creemos nosotros.</w:t>
      </w:r>
    </w:p>
    <w:p>
      <w:pPr>
        <w:spacing w:after="100"/>
      </w:pPr>
      <w:r>
        <w:t xml:space="preserve">Coincidimos en 2026 y en que la FPI se aprobará; discrepamos en 2027 (29,77 frente a 31,72) por los costes de lanzamiento y los genéricos, y en el múltiplo: la empresa siempre ha cotizado a 9-15 veces el beneficio siguiente porque siempre ha tenido genéricos a la vista, y eso no cambia.</w:t>
      </w:r>
    </w:p>
    <w:p>
      <w:pPr>
        <w:keepNext/>
        <w:spacing w:after="100"/>
      </w:pPr>
      <w:r>
        <w:rPr>
          <w:b/>
          <w:bCs/>
        </w:rPr>
        <w:t xml:space="preserve">Por qué podemos tener razón.</w:t>
      </w:r>
    </w:p>
    <w:p>
      <w:pPr>
        <w:spacing w:after="100"/>
      </w:pPr>
      <w:r>
        <w:t xml:space="preserve">Los genéricos de Orenitram tienen fecha (junio y diciembre de 2027) y el de Tyvaso nebulizado está autorizado [2]. Yutrepia vende 170 M por trimestre en HAP [17]. La historia adelantada (8,9-18,3 veces) muestra que el mercado ya ha pagado menos por esta misma incertidumbre.</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553,8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1.045,73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492,33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Calidad excepcional</w:t>
      </w:r>
      <w:r>
        <w:t xml:space="preserve">: ROIC del 53,6 % y margen operativo del 46,9 %, sin deuda.</w:t>
      </w:r>
    </w:p>
    <w:p>
      <w:pPr>
        <w:pStyle w:val="ListParagraph"/>
        <w:numPr>
          <w:ilvl w:val="0"/>
          <w:numId w:val="2"/>
        </w:numPr>
        <w:spacing w:after="60"/>
      </w:pPr>
      <w:r>
        <w:rPr>
          <w:b/>
        </w:rPr>
        <w:t xml:space="preserve">FPI</w:t>
      </w:r>
      <w:r>
        <w:t xml:space="preserve">: dos ensayos de fase 3 positivos (+111,8 mL de FVC conjunto) y decisión de la FDA en abril de 2027.</w:t>
      </w:r>
    </w:p>
    <w:p>
      <w:pPr>
        <w:pStyle w:val="ListParagraph"/>
        <w:numPr>
          <w:ilvl w:val="0"/>
          <w:numId w:val="2"/>
        </w:numPr>
        <w:spacing w:after="60"/>
      </w:pPr>
      <w:r>
        <w:rPr>
          <w:b/>
        </w:rPr>
        <w:t xml:space="preserve">PH-ILD protegida</w:t>
      </w:r>
      <w:r>
        <w:t xml:space="preserve">: Yutrepia retira la PH-ILD y Liquidia paga 330,4 M USD.</w:t>
      </w:r>
    </w:p>
    <w:p>
      <w:pPr>
        <w:pStyle w:val="ListParagraph"/>
        <w:numPr>
          <w:ilvl w:val="0"/>
          <w:numId w:val="2"/>
        </w:numPr>
        <w:spacing w:after="60"/>
      </w:pPr>
      <w:r>
        <w:rPr>
          <w:b/>
        </w:rPr>
        <w:t xml:space="preserve">Recompras</w:t>
      </w:r>
      <w:r>
        <w:t xml:space="preserve">: 4.000 M USD desde 2024; las acciones diluidas bajan de 48,5 a 45,2 M.</w:t>
      </w:r>
    </w:p>
    <w:p>
      <w:pPr>
        <w:pStyle w:val="ListParagraph"/>
        <w:numPr>
          <w:ilvl w:val="0"/>
          <w:numId w:val="2"/>
        </w:numPr>
        <w:spacing w:after="60"/>
      </w:pPr>
      <w:r>
        <w:rPr>
          <w:b/>
        </w:rPr>
        <w:t xml:space="preserve">Ralinepag</w:t>
      </w:r>
      <w:r>
        <w:t xml:space="preserve">: −55 % de riesgo de empeoramiento en HAP; NDA presentada.</w:t>
      </w:r>
    </w:p>
    <w:p>
      <w:pPr>
        <w:pStyle w:val="Heading2"/>
      </w:pPr>
      <w:r>
        <w:t xml:space="preserve">En contra</w:t>
      </w:r>
    </w:p>
    <w:p>
      <w:pPr>
        <w:pStyle w:val="ListParagraph"/>
        <w:numPr>
          <w:ilvl w:val="0"/>
          <w:numId w:val="2"/>
        </w:numPr>
        <w:spacing w:after="60"/>
      </w:pPr>
      <w:r>
        <w:rPr>
          <w:b/>
        </w:rPr>
        <w:t xml:space="preserve">Caro frente a su historia</w:t>
      </w:r>
      <w:r>
        <w:t xml:space="preserve">: 18,6 veces el BPA de 2027e frente a una mediana adelantada de 14,0.</w:t>
      </w:r>
    </w:p>
    <w:p>
      <w:pPr>
        <w:pStyle w:val="ListParagraph"/>
        <w:numPr>
          <w:ilvl w:val="0"/>
          <w:numId w:val="2"/>
        </w:numPr>
        <w:spacing w:after="60"/>
      </w:pPr>
      <w:r>
        <w:rPr>
          <w:b/>
        </w:rPr>
        <w:t xml:space="preserve">Genéricos en 2027-2028</w:t>
      </w:r>
      <w:r>
        <w:t xml:space="preserve">: Orenitram (497 M) y Tyvaso nebulizado (586 M) expuestos.</w:t>
      </w:r>
    </w:p>
    <w:p>
      <w:pPr>
        <w:pStyle w:val="ListParagraph"/>
        <w:numPr>
          <w:ilvl w:val="0"/>
          <w:numId w:val="2"/>
        </w:numPr>
        <w:spacing w:after="60"/>
      </w:pPr>
      <w:r>
        <w:rPr>
          <w:b/>
        </w:rPr>
        <w:t xml:space="preserve">Competencia en HAP</w:t>
      </w:r>
      <w:r>
        <w:t xml:space="preserve">: Yutrepia vende 170 M por trimestre y Winrevair 588 M (+75 %).</w:t>
      </w:r>
    </w:p>
    <w:p>
      <w:pPr>
        <w:pStyle w:val="ListParagraph"/>
        <w:numPr>
          <w:ilvl w:val="0"/>
          <w:numId w:val="2"/>
        </w:numPr>
        <w:spacing w:after="60"/>
      </w:pPr>
      <w:r>
        <w:rPr>
          <w:b/>
        </w:rPr>
        <w:t xml:space="preserve">Ventas paradas</w:t>
      </w:r>
      <w:r>
        <w:t xml:space="preserve">: −2 % en el 1S26.</w:t>
      </w:r>
    </w:p>
    <w:p>
      <w:pPr>
        <w:pStyle w:val="ListParagraph"/>
        <w:numPr>
          <w:ilvl w:val="0"/>
          <w:numId w:val="2"/>
        </w:numPr>
        <w:spacing w:after="60"/>
      </w:pPr>
      <w:r>
        <w:rPr>
          <w:b/>
        </w:rPr>
        <w:t xml:space="preserve">Órganos</w:t>
      </w:r>
      <w:r>
        <w:t xml:space="preserve">: ≈ 1.000 M de capex desde 2023 sin ventas.</w:t>
      </w:r>
    </w:p>
    <w:p>
      <w:pPr>
        <w:pStyle w:val="Heading2"/>
      </w:pPr>
      <w:r>
        <w:t xml:space="preserve">Qué tiene que pasar para que la tesis funcione</w:t>
      </w:r>
    </w:p>
    <w:p>
      <w:pPr>
        <w:spacing w:after="100"/>
      </w:pPr>
      <w:r>
        <w:t xml:space="preserve">La tesis depende de que la FPI se apruebe en abril de 2027 y se lance deprisa mientras los genéricos de Orenitram y Tyvaso nebulizado restan ventas. La señal en contra sería una carta de respuesta completa de la FDA, Yutrepia por encima de 250 M por trimestre o unas ventas de 2027 por debajo de 3.400 M.</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Tyvaso DPI</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330 M por trimestre (+4 % en el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Caída interanual</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producto más grande y con patentes más largas.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Yutrepia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170,4 M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250 M por trimestre</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la pérdida en HAP.</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Decisión de la FDA en FPI</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Finales de abril de 2027</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Retraso o rechazo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crecimiento de 2027-2030.</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Orenitram tras el genérico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125 M por trimestre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60 M en el 4T27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Velocidad de la erosión.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Margen operativo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42,0 %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40 %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Costes de lanzamiento y de órganos.</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14,1x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19,8x / 18,0x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15,0x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-2,5x · -2,7x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Martine Rothblatt, fundadora de SiriusXM, creó United Therapeutics en 1996 para buscar un tratamiento para la hipertensión arterial pulmonar (HAP) de su hija [1]. Compró a Glaxo los derechos del treprostinil y construyó sobre esa molécula toda la empresa: Remodulin en infusión (2002), Tyvaso nebulizado (2009), Orenitram oral (2013) y Tyvaso DPI en polvo seco con la tecnología de MannKind (2022) [1]. Diversificó con Unituxin para el neuroblastoma (2015) y, desde 2011, con un programa de órganos: pulmones ex vivo, riñones y corazones de cerdo modificados genéticamente y órganos fabricados (Miromatrix, 2023) [1]. En 2021 se convirtió en la primera biofarmacéutica cotizada con forma de corporación de beneficio público (PBC) y ese año amplió Tyvaso a la PH-ILD [1]. De 2025 a 2026 pasó de defender el treprostinil frente a Yutrepia y Winrevair a una nueva ola de cartera: TETON-1 y TETON-2 en FPI y ralinepag en HAP, y cerró la guerra judicial con Liquidia en octubre de 2026 [12, 19, 20, 23].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Martine Rothblatt funda United Therapeutics; salida al Nasdaq en 1999.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Aprobación de Remodulin (treprostinil en infusión) para la HAP.</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Aprobación de Tyvaso nebulizado.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Aprobación de Orenitram, el primer prostaciclínico oral.</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Llega el genérico de Remodulin (Sandoz); pérdida neta por cargos extraordinarios.</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Conversión en corporación de beneficio público; Tyvaso aprobado en PH-ILD.</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Aprobación y lanzamiento de Tyvaso DPI (licencia de MannKind).</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Llegan Winrevair (Merck, marzo de 2024) y Yutrepia (Liquidia, junio de 2025); 2.000 M USD en recompras.</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TETON-2 y TETON-1 positivos en FPI; ralinepag cumple su objetivo en HAP; solicitudes a la FDA presentadas.</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Sentencia favorable en la patente 327 (30-sep) y acuerdo con Liquidia (14-oct): Yutrepia sale de la PH-ILD.</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United Therapeutics vende cinco medicamentos para enfermedades raras, casi todo en EE. UU. (95,4 % de las ventas en 2025) [1]. Cuatro son formas de un mismo principio activo, el treprostinil, un análogo de la prostaciclina para la hipertensión arterial pulmonar (HAP) y para la hipertensión pulmonar por enfermedad pulmonar intersticial (PH-ILD): Tyvaso DPI (polvo seco inhalado, 1.292,5 M USD en 2025), Tyvaso nebulizado (585,7 M), Remodulin en infusión continua (526,8 M) y Orenitram oral (496,9 M) [1]. El quinto es Unituxin, un anticuerpo para el neuroblastoma infantil (226,8 M) [1]. Vende a dos farmacias especializadas, Accredo y CVS Specialty, que reparten el producto a los pacientes [1]. Tiene en revisión de la FDA Tyvaso nebulizado para la fibrosis pulmonar idiopática (FPI, decisión a finales de abril de 2027) y ralinepag, un agonista oral de una toma al día, para la HAP [3, 21]. Además invierte en un programa de órganos de cerdo modificados para trasplante (riñón y corazón en ensayos clínicos) y órganos fabricados, sin ventas [1, 22].</w:t>
      </w:r>
    </w:p>
    <w:p>
      <w:pPr>
        <w:pStyle w:val="Heading2"/>
      </w:pPr>
      <w:r>
        <w:t xml:space="preserve">Cómo gana dinero</w:t>
      </w:r>
    </w:p>
    <w:p>
      <w:pPr>
        <w:spacing w:after="100"/>
      </w:pPr>
      <w:r>
        <w:t xml:space="preserve">Es un negocio de patentes y de márgenes altísimos: el coste de ventas fue el 12 % de los ingresos en 2025 y el margen operativo el 46,9 % [1]. Los ingresos son recurrentes: los pacientes de HAP toman el tratamiento de por vida y se cobra por unidad dispensada, con subidas de precio anuales (en el 2T26 el precio sumó 9,4 M a Tyvaso DPI) [3]. El margen depende de tres cosas: la mezcla (Tyvaso DPI paga un 10 % de regalía a MannKind), los descuentos públicos (Medicaid, 340B y Medicare) y el gasto en I+D, que incluye los órganos y fue el 17 % de las ventas [1]. El apalancamiento operativo es alto en las dos direcciones: con las ventas planas en 2026 el margen operativo cayó al 42 % [3]. Sin estacionalidad relevante, salvo las compras de los distribuidores.</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Tyvaso DPI</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Tyvaso nebulizado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Remodulin</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Orenitram</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Unituxin</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Adcirca y otros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29"/>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Tyvaso DPI</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Tyvaso nebulizado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Remodulin</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Orenitram</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Unituxin</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Adcirca y otros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Dos distribuidores concentran el 87 % de los ingresos (Accredo el 51 % y CVS Specialty el 36 % en 2025), pero el riesgo de crédito y de negociación es bajo: son intermediarios que cobran una comisión por servicio y el que decide es el médico y la aseguradora [1]. Los pacientes son crónicos (decenas de miles en EE. UU.; la PH-ILD afecta al menos a 30.000) y la HAP se trata de por vida, con tasas de abandono bajas salvo progresión [1]. Poder de precios demostrado: subidas anuales que en el 2T26 sumaron 9,4 M en Tyvaso DPI y compensaron parte de la caída de volumen del Tyvaso nebulizado [3]. El poder de precios es menor que antes: Medicare negocia ya precios de fármacos con años en el mercado (IRA) y Tyvaso y Remodulin compiten con alternativas [1].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Tyvaso DPI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1.033,6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1.292,5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2T26: 326,6 M (+4 %), con precio +9,4 M y volumen +6,9 M [1,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Tyvaso nebulizado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154,4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126,0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 volumen en EE. UU. de 37,6 M por la competencia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Remodulin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134,7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126,3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en EE. UU. −12,3 M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Orenitram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123,9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125,7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Genéricos autorizados desde junio y diciembre de 2027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 los dos distribuidores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Accredo 51 % y CVS Specialty 36 % de los ingresos [1].</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son los fármacos para la hipertensión pulmonar (HAP y PH-ILD) y, si se aprueba Tyvaso, para la fibrosis pulmonar idiopática. Usamos la HAP de IMARC (8.400 M USD en 2025, 8.800 M en 2026), que es la definición más estrecha y reciente, y la contrastamos con la de Coherent para toda la hipertensión pulmonar (8.690 M en 2025, TCAC del 7,3 % hasta 2032) [13, 14]. A ese perímetro sumamos la FPI de los siete grandes mercados (4.045,7 M en 2025, IMARC), porque desde 2027 Tyvaso puede competir en ella [15]. Con ese perímetro conjunto (12.446 M en 2025) la cuota de la empresa es del 25,6 % (3.182,7 M); en la HAP sola, de cerca del 35 %.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12.450 M USD en 2025: HAP 8.400 M [13] más FPI en los 7 grandes mercados 4.046 M [15]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HAP + FPI; 2027e-2030e con las TCAC de IMARC))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Diagnóstico y tratamiento combinado en la HAP</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 de HAP de 8.400 M en 2025 a 12.100 M en 2034 (TCAC 4,05 %) [13].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Nuevas indicaciones de la prostaciclina inhalada (PH-ILD, FPI)</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TETON-1 +130,1 mL de FVC frente a placebo; FPI de 4.046 M en los 7 grandes mercados [15, 19].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Nuevos mecanismos (sotatercept)</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Winrevair vendió 588 M en el 2T26 (+75 %); se usa sobre todo encima de la prostaciclina, pero puede retrasarla [1, 16].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Genéricos del treprostinil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Remodulin genérico desde 2019; Tyvaso nebulizado genérico autorizado desde enero de 2026 (sin aprobar aún); Orenitram desde junio de 2027 [2].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Precios públicos (IRA, Medicare)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Negociación de precios de Medicare y descuentos obligatorios del 10-20 % en la parte D desde 2025 [1].</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Yutrepia (170,4 M de ventas en el 2T26) y Winrevair (588 M) han parado el crecimiento de la empresa en 2026 [3, 16, 17].</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Dos distribuidores con el 87 % de las ventas, pero el poder real lo tienen las aseguradoras y Medicare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MannKind fabrica parte de Tyvaso DPI y cobra un 10 % de regalía; el resto se fabrica en casa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Barreras regulatorias altas, pero las formulaciones 505(b)(2) del treprostinil (Yutrepia) entran con ensayos pequeños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Sotatercept, selexipag y combinaciones orales pueden retrasar o sustituir la prostaciclina [1].</w:t>
            </w:r>
          </w:p>
        </w:tc>
      </w:tr>
    </w:tbl>
    <w:p>
      <w:pPr>
        <w:spacing w:after="160" w:before="0"/>
      </w:pPr>
    </w:p>
    <w:p>
      <w:pPr>
        <w:pStyle w:val="Heading2"/>
      </w:pPr>
      <w:r>
        <w:t xml:space="preserve">Ciclo</w:t>
      </w:r>
    </w:p>
    <w:p>
      <w:pPr>
        <w:spacing w:after="100"/>
      </w:pPr>
      <w:r>
        <w:t xml:space="preserve">Es un mercado de enfermedades raras sin ciclo económico: la demanda depende del diagnóstico y de los lanzamientos. En 2008-09 y en 2020 las ventas de la empresa siguieron creciendo; el bache de 2018-2019 (ingresos de 1.725 a 1.449 M) lo causó el genérico de Remodulin y la competencia de Uptravi, no la economía [1]. Hoy el mercado crece (inhalados un 40 % desde el lanzamiento de Yutrepia, según Liquidia) y el riesgo es de cuota y de patentes, no de ciclo [17].</w:t>
      </w:r>
    </w:p>
    <w:p>
      <w:pPr>
        <w:pStyle w:val="Heading2"/>
      </w:pPr>
      <w:r>
        <w:t xml:space="preserve">Regulación</w:t>
      </w:r>
    </w:p>
    <w:p>
      <w:pPr>
        <w:spacing w:after="100"/>
      </w:pPr>
      <w:r>
        <w:t xml:space="preserve">Tres frentes con fechas. (1) FDA: decisión sobre Tyvaso en FPI a finales de abril de 2027 y sobre ralinepag en 2027 (NDA presentada en el 3T26) [3, 21]. (2) Genéricos: el acuerdo con Watson permite Tyvaso nebulizado genérico desde enero de 2026 si la FDA lo aprueba; Actavis y ANI pueden vender Orenitram genérico desde junio y diciembre de 2027; las patentes de fabricación del treprostinil vencen en 2028 y las de Tyvaso DPI en 2030 y 2035; la de PH-ILD (327) en 2042 [1, 2]. (3) Precios: la IRA permite a Medicare negociar precios y castiga las subidas por encima de la inflación [1].</w:t>
      </w:r>
    </w:p>
    <w:p>
      <w:pPr>
        <w:pStyle w:val="Heading2"/>
      </w:pPr>
      <w:r>
        <w:t xml:space="preserve">Tendencias y disrupción</w:t>
      </w:r>
    </w:p>
    <w:p>
      <w:pPr>
        <w:spacing w:after="100"/>
      </w:pPr>
      <w:r>
        <w:t xml:space="preserve">La prostaciclina pasa de inyectada a inhalada y oral: Tyvaso DPI y Yutrepia crecen y el nebulizado y Remodulin caen [3]. Sotatercept (Merck) se ha convertido en el gran crecimiento de la HAP (588 M en un trimestre) y se usa sobre todo en pacientes ya tratados con prostaciclina, lo que de momento suma más que resta, pero sus ensayos en fases tempranas pueden adelantar su uso [1, 16]. La FPI se abre a fármacos nuevos (TETON, nerandomilast) [19]. La empresa gana con la inhalación y la FPI; pierde con los genéricos orales y nebulizados. El programa de órganos (tercera granja abierta el 20-oct-2026) es una opción a más de cinco años [22].</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Líder mundial en prostaciclinas para la HAP y única aprobada en PH-ILD en inhalación tras el acuerdo con Liquidia; 25,6 % del perímetro HAP + FPI de 2025 y cerca del 35 % de la HAP sola [12, 13, 15].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847"/>
        <w:gridCol w:w="953"/>
        <w:gridCol w:w="1059"/>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Merck (Winrevair)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MRK</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Winrevair (sotatercept), inhibidor de la activina en inyección subcutánea: 588 M en el 2T26 (+75 %); combina con la prostaciclina [16].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Liquidia (Yutrepia)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LQDA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Treprostinil en polvo seco; 170,4 M de ventas en el 2T26 (686,8 M anualizados) y 74,7 M de beneficio; desde el acuerdo, solo HAP [12, 17].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Johnson &amp; Johnson (Actelion)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JNJ</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Uptravi (selexipag), Opsumit y Opsynvi: el rival oral de Orenitram y de ralinepag [1].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Genéricos del treprostinil (Sandoz y otros)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Varios</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Remodulin genérico desde 2019; Tyvaso nebulizado (Watson) y Orenitram (Actavis, ANI) autorizados por acuerdos [2].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Boehringer Ingelheim (Ofev) y Roche (Esbriet)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Alemania y Suiza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antifibróticos de la FPI con los que Tyvaso se combinará (TETON permitía tratamiento de fondo) [19].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aplica a un fármaco.</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Pacientes crónicos estables que no se cambian sin motivo, pero Yutrepia captó 5.000 pacientes en 13 meses [6].</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Patente 327 de PH-ILD hasta 2042, confirmada el 30-sep-2026; Tyvaso DPI hasta 2030-2035; datos de TETON y ralinepag [1, 8].</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 de ventas del 12 % y escala comercial en treprostinil; los genéricos la anulan en las formas sin patente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 nicho (decenas de miles de pacientes) donde dos o tres proveedores de inhalados bastan [1].</w:t>
            </w:r>
          </w:p>
        </w:tc>
      </w:tr>
    </w:tbl>
    <w:p>
      <w:pPr>
        <w:spacing w:after="160" w:before="0"/>
      </w:pPr>
    </w:p>
    <w:p>
      <w:pPr>
        <w:pStyle w:val="Heading2"/>
      </w:pPr>
      <w:r>
        <w:t xml:space="preserve">Amenazas</w:t>
      </w:r>
    </w:p>
    <w:p>
      <w:pPr>
        <w:spacing w:after="100"/>
      </w:pPr>
      <w:r>
        <w:t xml:space="preserve">Tres amenazas con fecha. (1) Genéricos: Orenitram (496,9 M en 2025) puede tener genérico desde junio de 2027 y Tyvaso nebulizado desde que la FDA apruebe el de Watson; las patentes de fabricación vencen en 2028 [1, 2]. (2) Yutrepia en HAP: sigue vendiendo en HAP sin limitación y Liquidia espera más de 1.000 M de ventas en 2027 [12, 17]. (3) Sotatercept: si se adelanta en la línea de tratamiento, retrasa la prostaciclina. Probabilidad alta de erosión del treprostinil a partir de 2027-2028; el foso depende de la PH-ILD (patente hasta 2042), de la FPI y de ralinepag.</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3.183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27,86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w:t>
            </w:r>
          </w:p>
        </w:tc>
      </w:tr>
    </w:tbl>
    <w:p>
      <w:pPr>
        <w:spacing w:after="160" w:before="0"/>
      </w:pPr>
    </w:p>
    <w:p>
      <w:pPr>
        <w:spacing w:after="100"/>
      </w:pPr>
      <w:r>
        <w:t xml:space="preserve">Crecimiento anual compuesto 2021-2025: ingresos </w:t>
      </w:r>
      <w:r>
        <w:rPr>
          <w:b/>
          <w:bCs/>
        </w:rPr>
        <w:t xml:space="preserve">17,2 %</w:t>
      </w:r>
      <w:r>
        <w:t xml:space="preserve">, EBITDA </w:t>
      </w:r>
      <w:r>
        <w:rPr>
          <w:b/>
          <w:bCs/>
        </w:rPr>
        <w:t xml:space="preserve">27,5 %</w:t>
      </w:r>
      <w:r>
        <w:t xml:space="preserve">, BPA </w:t>
      </w:r>
      <w:r>
        <w:rPr>
          <w:b/>
          <w:bCs/>
        </w:rPr>
        <w:t xml:space="preserve">29,0 %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crecieron de 1.685,5 M USD en 2021 a 3.182,7 M en 2025 (TCAC del 17 %), todo orgánico salvo la compra de Miromatrix (89,2 M en 2023, sin ventas relevantes) [1, 7]. El motor fue Tyvaso: Tyvaso DPI pasó de 731,1 M en 2023 a 1.292,5 M en 2025 (+25 % en 2025) y el Tyvaso nebulizado se quedó plano (585,7 M); Orenitram subió un 14 % (496,9 M) y Remodulin cayó un 2 % (526,8 M) [1]. En 2026 el crecimiento se ha parado: 781,5 M en el 1T (−2 %) y 783,3 M en el 2T (−2 %) por la competencia de Yutrepia y Winrevair, con caídas de volumen en Tyvaso nebulizado (−37,6 M en el 2T) y Remodulin (−12,3 M) compensadas en parte por precio [3, 4]. El margen operativo fue del 46,9 % en 2025 y del 42,0 % en el primer semestre de 2026: más coste de ventas (reservas de inventario de Tyvaso DPI, 133,4 M en el 1T) y más I+D de órganos y cardiopulmonar [2, 3, 4]. El resultado financiero (intereses de 4.700 M de caja e inversiones) sumó 221,4 M en 2025 y baja en 2026 tras pagar 2.000 M en recompras [2, 5].</w:t>
      </w:r>
    </w:p>
    <w:p>
      <w:pPr>
        <w:pStyle w:val="Heading2"/>
      </w:pPr>
      <w:r>
        <w:t xml:space="preserve">Ajustes y partidas no recurrentes</w:t>
      </w:r>
    </w:p>
    <w:p>
      <w:pPr>
        <w:spacing w:after="100"/>
      </w:pPr>
      <w:r>
        <w:t xml:space="preserve">La empresa no publica cifras ajustadas: BPA y márgenes son US GAAP [1]. Partidas no recurrentes: deterioro de inmovilizado de 21,7 M en el 2T25 (dentro de gastos generales; se devuelve al EBITDA de 2025) [3]; en 2026, pérdidas no realizadas de 48,2 M en acciones cotizadas en el primer semestre (resultado financiero) y un tipo impositivo del 12 % en el semestre por el beneficio fiscal de las opciones ejercidas [2, 3]. El acuerdo con Liquidia del 14-oct-2026 dará en el 4T26 un ingreso no recurrente de 175 M netos (185 M a cobrar menos 10 M a pagar) y 145,4 M más en 2027 por las ventas a PH-ILD hasta el cambio de etiqueta [12]: no entran en el BPA de la regla a 12 meses. Pagos en acciones (opciones y RSU): 147,7 M en 2025 (4,6 % de las ventas), restados en el EBITDA [7].</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8"/>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el 2T26 (5-ago-2026) la dirección cambió el foco del trimestre, que caía un 2 %, a la cartera: «acabamos de presentar dos de las solicitudes más importantes de la historia de las enfermedades pulmonares raras», ralinepag en comprimidos para la HAP y Tyvaso nebulizado para la fibrosis pulmonar idiopática (FPI), con aprobaciones posibles en 2027 que llama «catalizadores de varios miles de millones», y anunció para final de año la solicitud de ralinepag inhalado y la NDA de treprostinil en nebulizador de niebla fina [3]. El presidente y director de operaciones dijo que Tyvaso DPI terminó el trimestre en máximos de inicios, derivaciones y pacientes, y la empresa reconoció por escrito que «la disponibilidad de terapias competidoras afectó negativamente» a Tyvaso nebulizado, Tyvaso DPI y Remodulin [3]. En el 1T26 (6-may) el mensaje fue el mismo: crecimiento parado y catalizadores clínicos (ralinepag cumplió su objetivo en marzo; TETON-1 en marzo) [4]. El BPA del 2T (7,27 USD) batió al consenso por el tipo impositivo del 11 %, no por las ventas, que quedaron por debajo [3]. No hemos leído las transcripciones completas (de pago): las preguntas de los analistas no se recogen aquí.</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7.167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7.364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7.880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4.697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-4.697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7.096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6,6x</w:t>
            </w:r>
          </w:p>
        </w:tc>
      </w:tr>
    </w:tbl>
    <w:p>
      <w:pPr>
        <w:spacing w:after="160" w:before="0"/>
      </w:pPr>
    </w:p>
    <w:p>
      <w:pPr>
        <w:pStyle w:val="Nota"/>
        <w:spacing w:after="100"/>
      </w:pPr>
      <w:r>
        <w:t xml:space="preserve">Días de inventario y de pago calculados sobre el coste de ventas.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El balance es de caja neta: 4.697,0 M USD a fin de 2025 y 3.803,4 M a 30-jun-2026, tras 1.500 M de recompras aceleradas en marzo [2, 9]. Desde 2024 la empresa ha dedicado 4.000 M a recompras en dos años y medio (1.000 M en 2024, 1.000 M en 2025, 2.000 M en 2026), financiadas con caja libre y con la venta de inversiones; los intereses cobrados caen con ellas (31,5 M en el 2T26 frente a 51,3 M un año antes) [3, 10]. El circulante comercial (clientes + existencias − proveedores) es del 16-17 % de las ventas: dos distribuidores (Accredo, 51 %, y CVS Specialty, 36 %, en 2025) pagan a unos 40 días [1]. El inmovilizado neto casi se ha duplicado en dos años (1.045 M en 2023, 1.930 M a 30-jun-2026) por las granjas libres de patógenos para órganos de cerdo y la fabricación de Tyvaso DPI [2].</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2021-2025: FCF </w:t>
      </w:r>
      <w:r>
        <w:rPr>
          <w:b/>
          <w:bCs/>
        </w:rPr>
        <w:t xml:space="preserve">4.005</w:t>
      </w:r>
      <w:r>
        <w:t xml:space="preserve">, conversión </w:t>
      </w:r>
      <w:r>
        <w:rPr>
          <w:b/>
          <w:bCs/>
        </w:rPr>
        <w:t xml:space="preserve">85 %</w:t>
      </w:r>
      <w:r>
        <w:t xml:space="preserve"> del beneficio neto; adquisiciones 89, dividendos 0, recompras 2.000.</w:t>
      </w:r>
    </w:p>
    <w:p>
      <w:pPr>
        <w:spacing w:after="100"/>
      </w:pPr>
      <w:r>
        <w:t xml:space="preserve">La conversión es alta: flujo operativo de 1.561,2 M USD en 2025 (117 % del beneficio neto) y de 776,9 M en el primer semestre de 2026 [1, 2]. El capex se ha disparado: 526,0 M en 2025 (16,5 % de las ventas, frente al 6-9 % de 2021-2024) y 208,8 M en el semestre más 104,1 M de altas sin pago [1, 2]: la empresa no separa mantenimiento de crecimiento, pero la mayor parte son las tres granjas de cerdos modificados para xenotrasplante (Virginia 2024, Minnesota agosto de 2026, Texas octubre de 2026) y la capacidad de Tyvaso DPI [2]; estimación propia: el capex de mantenimiento está cerca de la amortización (85,6 M, 2,7 % de las ventas). Caja libre de 2025: 1.035 M. Usos acumulados 2021-2025: 2.000 M en recompras, 89 M en compras de empresas, sin dividendos [7].</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Ernst &amp; Young LLP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(cuentas de 2025 y control interno), con un asunto clave sobre las estimaciones de descuentos y devoluciones de los precios públicos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22,20</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Cuentas sencillas: sin deuda, sin compras grandes y con ingresos de producto vendidos a dos distribuidores [1]. Lo que exige juicio es el paso de ventas brutas a netas (descuentos de Medicaid, Medicare y 340B), que el auditor revisa como asunto clave, y las reservas de inventario (en el 1T26 el coste de ventas subió a 133,4 M por reservas de Tyvaso DPI y en el 2T por pérdidas estimadas en un contrato de suministro) [1, 2, 3]. La remuneración en acciones es moderada (147,7 M, 11 % del beneficio neto de 2025) y ya no hay el plan de seguimiento de la acción pagado en caja (STAP) que movía el gasto entre años hasta 2024 [7, 8]. La dilución por opciones es alta: 45,8 M de acciones diluidas frente a 42,6 M básicas en el 2T26 (7,5 %), porque la cúpula tiene muchas opciones en el dinero [3]. El tipo impositivo de 2026 (12 % en el semestre) está rebajado por el ejercicio de esas opciones [3]. Lectura de los indicadores del motor: Altman y Piotroski se leen sin reparos con caja neta; el Beneish no tiene ajustes que hacer.</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Dilución por opciones de la cúpula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3,2 M de acciones de diferencia entre básicas y diluidas en el 2T26; los directivos ejercieron y vendieron unos 1.440 M USD en 12 meses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Reservas de inventario de Tyvaso DPI</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Subieron el coste de ventas del 1T26 (133,4 M frente a 92,5 M) y del 2T26 (7,5 M de pérdidas estimadas en un contrato de suministro) [3, 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Tipo impositivo bajo por opciones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 en el 2T26 frente al 24 % un año antes: beneficio fiscal no recurrente que infla el BPA de 2026 [3].</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1.178</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1.310</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1.611</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1.891</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2.200</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32 M en 2025 (el 1 % del capital invertido medio); ha subido más de un 5 % en 1 de 4 años: compras pequeñas. ROIC publicado 53,6 %; sin fondo de comercio, 54,4 %. El ROIC sin fondo de comercio mide el rendimiento del negocio operativo; decide el publicado (§4.1) y la cifra sin fondo de comercio es dato para una excepción razonada.</w:t>
      </w:r>
    </w:p>
    <w:p>
      <w:pPr>
        <w:spacing w:after="100"/>
      </w:pPr>
      <w:r>
        <w:rPr>
          <w:b/>
          <w:bCs/>
        </w:rPr>
        <w:t xml:space="preserve">ROIC incremental</w:t>
      </w:r>
      <w:r>
        <w:t xml:space="preserve"> (variación del NOPAT sobre variación del capital invertido en el periodo): 71,8 % · </w:t>
      </w:r>
      <w:r>
        <w:rPr>
          <w:b/>
          <w:bCs/>
        </w:rPr>
        <w:t xml:space="preserve">WACC</w:t>
      </w:r>
      <w:r>
        <w:t xml:space="preserve">: 10,5 %.</w:t>
      </w:r>
    </w:p>
    <w:p>
      <w:pPr>
        <w:spacing w:after="100"/>
      </w:pPr>
      <w:r>
        <w:t xml:space="preserve">United Therapeutics crea mucho valor: el ROIC fue del 53,6 % en 2025 frente a un WACC del 10,5 %, y ha estado por encima del 37 % desde 2021. Lo mueve el margen, no la rotación: un 46,9 % de margen operativo con un capital invertido de ≈ 2.200 M USD que es, sobre todo, fábricas y las granjas de órganos; la caja (4.697 M en 2025) no cuenta como capital [1]. El ROIC incremental (71,8 % en 2021-2025) dice que el crecimiento de Tyvaso DPI se hizo casi sin capital, porque la fabricación del polvo la hace en parte MannKind. El ROE (19,7 %) es mucho menor que el ROIC por la caja acumulada. La tendencia es a la baja: el capex se disparó a 526 M en 2025 por las granjas de xenotrasplante, que aún no venden nada, y el ROIC bajará si el programa de órganos no llega a ventas antes de 2030. Frente a los comparables (Vertex, Regeneron, Neurocrine), es de los más rentables del grupo [30].</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-3.803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-247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-4.050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e inversiones financieras de 3.803,4 M USD a 30-jun-2026 (1.803,2 de efectivo, 859,1 de inversiones corrientes y 1.141,1 no corrientes) y línea de crédito no dispuesta de 2.500 M hasta abril de 2031 [2]. Después del balance: 477,6 M de la ASR de septiembre y 22,4 M de recompras en el 3T26 [10], y 175 M netos a cobrar de Liquidia en 30 días hábiles desde el 14-oct (con carta de crédito) más 145,4 M en enero y abril de 2027 [12].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calificación crediticia pública: no tiene bonos emitidos y la única financiación es la línea bancaria sin disponer [2].</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t xml:space="preserve">Sin deuda financiera desde el 2T25: se devolvieron 300 M de la línea de 2022 con la nueva línea de 2.500 M, que se repagó en el mismo trimestre [1, 2]. Los arrendamientos son operativos (US GAAP: fuera de la deuda). En otros pasivos no corrientes (212,0 M a 30-jun-2026) están el plan de pensiones complementario de directivos (SERP), contraprestaciones contingentes de compras del programa de órganos y pasivos fiscales [2]. Las ASR dejan un contrato a plazo: en la de septiembre de 2026 se entregó el 75 % de las acciones y el resto se liquida en el 4T26 (puede recibir más acciones o, en casos limitados, pagar) [10]. Litigios: el acuerdo con Liquidia cierra los seis pleitos y obliga a la empresa a pagar 10 M [12]; las demandas contra un antiguo directivo por secretos comerciales siguen [12]. La licencia de Adcirca de Lilly vence el 31-dic-2026 y obliga a recomprar el producto caducado de los distribuidores [1].</w:t>
      </w:r>
    </w:p>
    <w:p>
      <w:pPr>
        <w:pStyle w:val="Heading1"/>
      </w:pPr>
      <w:r>
        <w:t xml:space="preserve">12. Asignación de capital</w:t>
      </w:r>
    </w:p>
    <w:p>
      <w:pPr>
        <w:pStyle w:val="Confianza"/>
        <w:spacing w:after="100"/>
      </w:pPr>
      <w:r>
        <w:t xml:space="preserve">Confianza: Media</w:t>
      </w:r>
    </w:p>
    <w:p>
      <w:pPr>
        <w:spacing w:after="100"/>
      </w:pPr>
      <w:r>
        <w:t xml:space="preserve">No paga dividendo. La prioridad declarada es reinvertir en la cartera (FPI, ralinepag, órganos) y devolver el exceso con recompras: ASR de 1.000 M USD en 2024 y otra de 1.000 M en agosto de 2025; en marzo de 2026, un programa de 2.000 M con una ASR de 1.500 M (2,76 M de acciones de entrega inicial) y, el 8-sep-2026, una ASR de 477,6 M que agota la autorización (más 22,4 M en mercado) [9, 10, 11]. Tras eso no hay recompra autorizada pendiente. La caja (3.803 M a 30-jun-2026, sin deuda) y una línea de crédito no dispuesta de 2.500 M hasta 2031 permiten otra ronda si el consejo la aprueba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Miromatrix Medical (riñón y hígado fabricados con matrices de cerdo)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ventas: ensayo de fase 1 del hígado extracorpóreo terminado en enero de 2026; es una opción de I+D, no un negocio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2019</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Licencia de ralinepag (Arena Pharmaceuticals)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Llevada a gasto de I+D (pérdida de 2,39 USD por acción en 2019); el ensayo ADVANCE OUTCOMES redujo un 55 % el riesgo de empeoramiento y la NDA se presentó en el 3T26: si se aprueba, debe pagar 250 M a Arena por la versión inhalada y 150 M por la primera aprobación en Europa o Japón de la oral [1, 20].</w:t>
            </w:r>
          </w:p>
        </w:tc>
      </w:tr>
    </w:tbl>
    <w:p>
      <w:pPr>
        <w:spacing w:after="160" w:before="0"/>
      </w:pPr>
    </w:p>
    <w:p>
      <w:pPr>
        <w:spacing w:after="100"/>
      </w:pPr>
      <w:r>
        <w:t xml:space="preserve">Buena asignadora de capital con un matiz. De 2021 a 2025 generó 4.005 M USD de flujo libre (85 % del beneficio) y devolvió 2.000 M con recompras, a precios de 280-480 USD, por debajo del de hoy; en 2026 ha recomprado otros 2.000 M a ≈ 500-545 USD [9, 10]. Las acciones diluidas han bajado de 48,5 M en 2024 a ≈ 45,2 M. Las compras han sido pequeñas y de I+D (ralinepag, Miromatrix), y ralinepag ha salido bien. El matiz es el programa de órganos: ≈ 1.000 M de capex desde 2023 en tres granjas de cerdos y laboratorios, más la I+D, para un mercado que no existe todavía [1, 22]. La fundadora lo defiende como misión (la empresa es corporación de beneficio público); para el accionista es una opción cara con un retorno a más de cinco años. La dilución de las opciones (≈ 3,2 M de acciones, 7 %) es alta para una empresa de este tamaño [2].</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Martine Rothblatt</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Fundadora, presidenta y consejera delegada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Fundó SiriusXM y United Therapeutics (1996). Ha llevado la empresa de cero a 3.182,7 M USD de ventas en 2025 con cuatro formas del treprostinil y la ha convertido en corporación de beneficio público; impulsa el programa de órganos [1, 24].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Michael Benkowitz</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director de operaciones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Entró en 2011 como vicepresidente ejecutivo de desarrollo organizativo y es presidente y director de operaciones desde 2016; lleva ventas, acceso al mercado, fabricación y, desde 2025, la fabricación comercial y la perfusión pulmonar ex vivo [24].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James Edgemond</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y tesorero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Entró en 2013 como tesorero y es director financiero desde marzo de 2015; antes, controller y tesorero de Clark Construction Group [24].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Paul Mahon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y director jurídico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jurídico; ha llevado los litigios con Liquidia hasta la sentencia del 30-sep-2026 y el acuerdo del 14-oct [24].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Christopher Patusky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Vicepresidente del consejo y consejero independiente coordinador</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2002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Fundador de Patusky Associates; consejero desde 2002 [24].</w:t>
            </w:r>
          </w:p>
        </w:tc>
      </w:tr>
    </w:tbl>
    <w:p>
      <w:pPr>
        <w:spacing w:after="160" w:before="0"/>
      </w:pPr>
    </w:p>
    <w:p>
      <w:pPr>
        <w:spacing w:after="100"/>
      </w:pPr>
      <w:r>
        <w:t xml:space="preserve">Equipo muy estable: la fundadora lleva 30 años, el presidente diez y el director financiero once [24]. La empresa no da guía anual de ventas ni de beneficio, así que la credibilidad se mide con la cartera: TETON-2, TETON-1 y ralinepag cumplieron su objetivo principal en siete meses y las dos solicitudes a la FDA se presentaron en plazo (verano de 2026) [1]. El riesgo es de sucesión: Rothblatt tiene 71 años y es a la vez presidenta y consejera delegada; el proxy dice que hay plan de sucesión, sin nombre [24].</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14,2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Martine Rothblatt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 y consejera delegada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Christopher Patusky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consejero coordinador</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Christopher Causey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Nombramientos y Gobierno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Richard Giltner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Ray Kurzweil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Jan Malcolm</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Linda Maxwell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Nilda Mesa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Judy Olian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Louis Sullivan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Tommy Thompson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Kevin Tracey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Victor Dzau</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92 %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con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2,9 %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23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(cuentas de 2025 y control interno), con un asunto clave sobre las estimaciones de descuentos y devoluciones de los precios públicos [1].</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0,86 / ventas 1.427,91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Declarado a 10-abr-2026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Avoro Capital Advisors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especializado en biotecnología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Declarado a 10-abr-2026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Martine Rothblatt (con opciones ejercitables)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Fundadora y consejera delegada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Ejerce y vende opciones con plan 10b5-1 (905 M USD vendidos en 12 meses)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Wellington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Declarado a 10-abr-2026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Consejeros y directivos (16 personas)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Insiders (con opciones)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21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Martine Rothblatt (consejera delegada)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1.709.075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905,16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21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James Edgemond (director financiero)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398.267</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211,57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21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Michael Benkowitz (presidente)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419.440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197,44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21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Paul Mahon (director jurídico)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113,74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21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Martine Rothblatt (consejera delegada)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0,86</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18,04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1,55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12,14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97,1 %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La consejera delegada cobró 18,0 M USD en 2025 (23,0 M en 2024): 1,5 M de fijo, 4,3 M de variable anual y 12,1 M en opciones y unidades de acciones [24]. El variable a largo plazo es 100 % por objetivos a tres años: las opciones dependen del margen de caja a tres años y las unidades de acciones, al 50 % del crecimiento de ingresos y al 50 % de hitos de I+D [24]. Premia la rentabilidad (margen de caja) y la cartera; no tiene objetivo de rentabilidad para el accionista. La remuneración se aprobó con el 97,1 % de los votos en 2026 (más del 95 % en 2025) [24, 25]. Ratio con el empleado medio: 76 a 1 [24]. Tiene política de recuperación (clawback) [24]. El plan de acciones de 2026 (1,5 M de acciones nuevas) solo tuvo el 71,2 % a favor [25].</w:t>
      </w:r>
    </w:p>
    <w:p>
      <w:pPr>
        <w:pStyle w:val="Heading2"/>
      </w:pPr>
      <w:r>
        <w:t xml:space="preserve">Operaciones vinculadas, estructura de control y defensas</w:t>
      </w:r>
    </w:p>
    <w:p>
      <w:pPr>
        <w:spacing w:after="100"/>
      </w:pPr>
      <w:r>
        <w:t xml:space="preserve">No hay accionista de control: la fundadora tiene un 6,5 % contando opciones y el primer accionista es BlackRock (12,5 %) [24]. Una acción, un voto; elección anual de todos los consejeros con mayoría; acceso de los accionistas a proponer consejeros [24]. La defensa singular es la forma jurídica: como corporación de beneficio público de Delaware, el consejo debe equilibrar el interés del accionista con el propósito público (terapias y órganos) y eso le da argumentos para rechazar una oferta o para gastar en órganos aunque no rinda a corto plazo [1]. Consejo largo en el cargo: seis consejeros llevan más de 15 años; la renovación ha empezado (Tracey y Dzau en 2026) [24, 27, 28].</w:t>
      </w:r>
    </w:p>
    <w:p>
      <w:pPr>
        <w:pStyle w:val="Heading2"/>
      </w:pPr>
      <w:r>
        <w:t xml:space="preserve">Señales de alerta</w:t>
      </w:r>
    </w:p>
    <w:p>
      <w:pPr>
        <w:pStyle w:val="ListParagraph"/>
        <w:numPr>
          <w:ilvl w:val="0"/>
          <w:numId w:val="2"/>
        </w:numPr>
        <w:spacing w:after="60"/>
      </w:pPr>
      <w:r>
        <w:t xml:space="preserve">Ventas de directivos de 1.442 M USD en 12 meses, casi todas ejercicio y venta de opciones con planes 10b5-1; la consejera delegada vendió 905 M [26].</w:t>
      </w:r>
    </w:p>
    <w:p>
      <w:pPr>
        <w:pStyle w:val="ListParagraph"/>
        <w:numPr>
          <w:ilvl w:val="0"/>
          <w:numId w:val="2"/>
        </w:numPr>
        <w:spacing w:after="60"/>
      </w:pPr>
      <w:r>
        <w:t xml:space="preserve">Presidenta y consejera delegada a la vez, con 71 años y sin sucesor nombrado [24].</w:t>
      </w:r>
    </w:p>
    <w:p>
      <w:pPr>
        <w:pStyle w:val="ListParagraph"/>
        <w:numPr>
          <w:ilvl w:val="0"/>
          <w:numId w:val="2"/>
        </w:numPr>
        <w:spacing w:after="60"/>
      </w:pPr>
      <w:r>
        <w:t xml:space="preserve">Corporación de beneficio público: el consejo no está obligado a maximizar solo el valor para el accionista [1].</w:t>
      </w:r>
    </w:p>
    <w:p>
      <w:pPr>
        <w:pStyle w:val="ListParagraph"/>
        <w:numPr>
          <w:ilvl w:val="0"/>
          <w:numId w:val="2"/>
        </w:numPr>
        <w:spacing w:after="60"/>
      </w:pPr>
      <w:r>
        <w:t xml:space="preserve">El plan de acciones de 2026 tuvo un 27,9 % de votos en contra (10,1 M de 36,2 M) [25].</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La empresa no publica guía anual de ventas ni de beneficio [2]. Sus objetivos son de cartera: decisión de la FDA sobre Tyvaso en FPI a finales de abril de 2027, aprobación posible de ralinepag en 2027, solicitud de ralinepag inhalado y NDA de treprostinil en niebla fina antes de fin de 2026, y lanzamiento de dos granjas de órganos en 2026 (abiertas en agosto y octubre)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45"/>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Yahoo Finance, 14 analistas, 21-oct-2026 [30]</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3.640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31,72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14 analistas, 21-oct-2026 [30]</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9"/>
        <w:gridCol w:w="1505"/>
        <w:gridCol w:w="1505"/>
        <w:gridCol w:w="1204"/>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3.196</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1.442</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3.531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3.640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 3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662,07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368,00 – 728,00</w:t>
            </w:r>
          </w:p>
        </w:tc>
      </w:tr>
    </w:tbl>
    <w:p>
      <w:pPr>
        <w:spacing w:after="160" w:before="0"/>
      </w:pPr>
    </w:p>
    <w:p>
      <w:pPr>
        <w:pStyle w:val="Heading2"/>
      </w:pPr>
      <w:r>
        <w:t xml:space="preserve">Revisiones de estimaciones</w:t>
      </w:r>
    </w:p>
    <w:p>
      <w:pPr>
        <w:spacing w:after="100"/>
      </w:pPr>
      <w:r>
        <w:t xml:space="preserve">El BPA de 2026 del consenso bajó de 26,91 a 26,60 USD en 90 días y el de 2027 subió de 31,49 a 31,72 USD [30]: el mercado ha rebajado el año en curso (ventas planas, menos intereses tras las recompras) y ha subido 2027 tras la sentencia del 30-sep y el acuerdo con Liquidia, que devuelven la PH-ILD a Tyvaso. En julio, JPMorgan subió su objetivo a 687 USD y el consenso medio era de 648,33 USD [38]; el 24-sep Goldman Sachs empezó a cubrirla con Vender [37]. Solo Yahoo publica gratis estimaciones completas (dos años, sin EBITDA): el objetivo y las recomendaciones se contrastan con MarketBeat.</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9,8 %</w:t>
            </w:r>
          </w:p>
        </w:tc>
      </w:tr>
    </w:tbl>
    <w:p>
      <w:pPr>
        <w:spacing w:after="160" w:before="0"/>
      </w:pPr>
    </w:p>
    <w:p>
      <w:pPr>
        <w:spacing w:after="100"/>
      </w:pPr>
      <w:r>
        <w:t xml:space="preserve">La acción ha rendido un 23,8 % anual en cinco años frente al 12,6 % del S&amp;P 500 y el 6,1 % del índice de biotecnología (IBB) [29]. El último año (+31,1 %) lo explican tres saltos con causa: +32,8 % el 2-sep-2025 (TETON-2), +12,5 % el 30-mar-2026 (TETON-1) y +12,5 % el 30-sep-2026 (sentencia de la patente 327) [29]. En medio, la acción cayó un 33 % de noviembre de 2024 a julio de 2025 por Yutrepia y Winrevair, y en 2026 se ha movido de lado (−3,4 % en seis meses) con las ventas planas [29]. Beta baja (0,50 mensual; 0,67 ajustada) y volatilidad alta (34,5 %): la acción se mueve por hechos propios (ensayos y juicios), no por el mercado.</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+12,3 % / +5,1 % / -3,4 % / +27,8 %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-7,2 % / +33,4 %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lateral</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2026-10-28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2-sep-2025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TETON-2: Tyvaso nebulizado mejora la capacidad pulmonar en la FPI (+95,6 mL de FVC frente a placebo) [23, 29].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26-feb-2026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Recogida de beneficios tras el +13 % del 25-feb por los resultados de 2025 (ventas +11 %); sin noticia nueva de la empresa en el 8-K [5, 29].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30-mar-2026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TETON-1 confirma el resultado en FPI (+130,1 mL de FVC; conjunto +111,8 mL) [19, 29].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30-sep-2026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tribunal de Delaware dicta que Yutrepia infringe las reivindicaciones 1 y 14 de la patente 327 (PH-ILD); Liquidia cae un 57 % [18, 29].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2-oct-2026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Recogida de beneficios tras subir un 18 % en dos sesiones (30-sep y 1-oct); sin noticia de la empresa [29, 37].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Abre su tercera granja de cerdos para xenotrasplante (Texas); el capex de órganos sigue alto [22].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 con Liquidia: Yutrepia retira la PH-ILD de su etiqueta y sigue en HAP; Liquidia paga 185 M USD en 30 días hábiles y 145,4 M en dos plazos (enero y abril de 2027); United Therapeutics paga 10 M [12].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2026-09-24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Goldman Sachs empieza a cubrirla con Vender; la acción cae un 3,5 % [37].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2026-09-08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ampliación o convertible</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ASR de 477,6 M USD que agota la autorización de recompra de 2.000 M; liquidación final en el 4T26 [10].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2026-09-02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FDA acepta el sNDA de Tyvaso en FPI con revisión estándar (decisión a finales de abril de 2027), no prioritaria; −4 % ese día [21].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directivos de 1.442 M USD en 12 meses (905 M de la fundadora), el 99 % con planes 10b5-1 y casi todas tras ejercer opciones que vencían; compras de 0,86 M [26].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2026-10-28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3T26 (fecha estimada): consenso de BPA de 6,06 USD y ventas de 783 M [30].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acción sube un 12,3 % en un mes por la sentencia del 30-sep y el acuerdo con Liquidia del 14-oct, y está un 7,2 % por debajo de su máximo de mayo; en seis meses se ha movido de lado (−3,4 %) y la media de 200 sesiones es lateral [29]. Cada movimiento fuerte tiene causa en un hecho de la empresa (ensayos, sentencia, recompras); no hay colocaciones ni ampliaciones, y las ventas de la fundadora son ejercicios de opciones con planes 10b5-1 que vienen de años atrás [26]. Los resultados del 3T (≈ 28-oct) llegan en menos de 15 días, pero la tendencia no es bajista, así que no retrasan (regla 13). Veredicto: no cambia.</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0" name="Gráfico 20"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La empresa ha cotizado casi siempre barata frente a su beneficio por el riesgo de patentes del treprostinil: un PER al cierre de 12-15 veces en 2021-2025, con mínimos de 9-11 veces en 2023 (miedo a Yutrepia) [29]. Hoy, a 553,88 USD, el PER sobre el beneficio de los últimos doce meses es de unas 20 veces (27,95 USD) [29]: la prima frente a su historia descuenta que la FPI y ralinepag compensen los genéricos de 2027-2028. Ha cambiado algo estructural: la caja neta ha bajado (de 4.900 M en 2023 a 3.800 M tras las recompras) y el crecimiento a corto se ha parado.</w:t>
      </w:r>
    </w:p>
    <w:p>
      <w:pPr>
        <w:pStyle w:val="Heading1"/>
      </w:pPr>
      <w:r>
        <w:t xml:space="preserve">18. Comparables cotizados</w:t>
      </w:r>
    </w:p>
    <w:p>
      <w:pPr>
        <w:pStyle w:val="Confianza"/>
        <w:spacing w:after="100"/>
      </w:pPr>
      <w:r>
        <w:t xml:space="preserve">Confianza: Media</w:t>
      </w:r>
    </w:p>
    <w:p>
      <w:pPr>
        <w:spacing w:after="100"/>
      </w:pPr>
      <w:r>
        <w:t xml:space="preserve">Biofarmacéuticas de EE. UU. rentables, con franquicias en enfermedades raras o especialidad y riesgo de patentes parecido: Vertex, Regeneron, Neurocrine, Incyte, Biogen, Jazz, Exelixis, BioMarin, Gilead y Halozyme. No usamos Merck (conglomerado) ni Liquidia (un producto, beneficio de un año). Todos con datos de Yahoo del 21-oct-2026 (cierre del 20-oct) [30]. El EBITDA NTM no está disponible gratis en la misma base: solo EV/EBITDA LTM y PER NTM.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2"/>
        <w:gridCol w:w="504"/>
        <w:gridCol w:w="908"/>
        <w:gridCol w:w="706"/>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United Therapeutics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25.035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Vertex</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130.444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Regeneron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83.134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Neurocrine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14.434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Incyte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23.638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Biogen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35.919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Jazz Pharmaceuticals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13.876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Exelixis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15.955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BioMarin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10.925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Gilead</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194.065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Halozyme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14.116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94"/>
        <w:gridCol w:w="1056"/>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41,9 %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 / 15,2x / 16,0x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528,18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590,13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617,39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 / 13,2x / 15,0x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358,71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405,57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461,64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3.155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4,2x / 4,6x / 6,9x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383,25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408,90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569,07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-26,2 %</w:t>
            </w:r>
          </w:p>
        </w:tc>
      </w:tr>
    </w:tbl>
    <w:p>
      <w:pPr>
        <w:spacing w:after="160" w:before="0"/>
      </w:pPr>
    </w:p>
    <w:p>
      <w:pPr>
        <w:spacing w:after="100"/>
      </w:pPr>
      <w:r>
        <w:t xml:space="preserve">United Therapeutics cotiza a 15.7 veces el BPA de los próximos 12 meses del consenso, por encima de la mediana de los comparables (13.2 veces) y en línea con Gilead, Exelixis y Merck [30]. Su margen EBITDA (47 %) es de los más altos del grupo y su crecimiento esperado en 2027 (+13,9 % del consenso) también, pero la calidad de ese crecimiento depende de aprobaciones (FPI, ralinepag) y de que los genéricos de Orenitram y Tyvaso nebulizado no lo anulen. Vertex (25,5 veces) es el único que justifica una prima clara por crecimiento con patentes largas. Usaríamos el PER: el EV/EBITDA de los comparables mezcla definiciones de EBITDA y ajustes.</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780"/>
        <w:gridCol w:w="1676"/>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Soleno Therapeutics (VYKAT XR)</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Neurocrine Biosciences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12,20x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Enfermedad rara con un producto en lanzamiento; 2.829,9 M menos la caja; 12,2 veces las ventas de 2025 [33].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Intra-Cellular Therapies (CAPLYTA)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Johnson &amp; Johnson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21,40x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Producto en crecimiento con patentes largas; sobre ventas de 2024 de 680,9 M [34, 36].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2021-05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GW Pharmaceuticals (EPIDIOLEX)</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Jazz Pharmaceuticals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13,70x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 producto para enfermedad rara; sobre ventas de 2020 de 527,2 M [35, 36].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1.045,73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993,39 – 1.314,42</w:t>
            </w:r>
          </w:p>
        </w:tc>
      </w:tr>
    </w:tbl>
    <w:p>
      <w:pPr>
        <w:spacing w:after="160" w:before="0"/>
      </w:pPr>
    </w:p>
    <w:p>
      <w:pPr>
        <w:spacing w:after="100"/>
      </w:pPr>
      <w:r>
        <w:t xml:space="preserve">Las compras de biofarmacéuticas de un producto con patentes largas se pagan a 12-21 veces las ventas [33, 34, 35, 36], frente a 7,4 veces que cotiza United Therapeutics (valor empresa ≈ 21.100 M sobre 3.155 M de ventas LTM, Yahoo [30]). La diferencia es el perfil: esas empresas crecían deprisa con patentes hasta la década de 2030 y la nuestra tiene genéricos en 2027-2028. Una oferta es poco probable: la estructura de corporación de beneficio público y una fundadora al mando lo hacen difícil, y la empresa es compradora (recompras), no vendedora.</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(−0,4 %, fijo): el 1S26 cayó un 2 % (781,5 y 783,3 M) por Yutrepia y Winrevair en Tyvaso nebulizado y Remodulin, con Tyvaso DPI +4 % [3, 4]; consenso 3.196 M [30]. 2027e (+11,4 %): Tyvaso recupera la PH-ILD (acuerdo con Liquidia), la FPI se aprueba a finales de abril y ralinepag a fin de año, menos los genéricos de Orenitram (junio y diciembre) y el fin de Adcirca [2, 12, 21]; el consenso pide +13,9 %. 2028e (+14,2 %): primer año entero de FPI, un mercado de 4.046 M en 2025 [15]. Luego baja al 2 %: patentes de Tyvaso DPI hasta 2030-2035 [1]. TCAC histórica de 2021-2025: 17,2 %.</w:t>
      </w:r>
    </w:p>
    <w:p>
      <w:pPr>
        <w:keepNext/>
        <w:spacing w:after="100"/>
      </w:pPr>
      <w:r>
        <w:rPr>
          <w:b/>
          <w:bCs/>
        </w:rPr>
        <w:t xml:space="preserve">Márgenes.</w:t>
      </w:r>
    </w:p>
    <w:p>
      <w:pPr>
        <w:spacing w:after="100"/>
      </w:pPr>
      <w:r>
        <w:t xml:space="preserve">Margen EBITDA del 45,5 % en 2026e (45,0 % en el 1S26 por la I+D de órganos y la preparación del lanzamiento en FPI; 49,6 % en 2025) [1, 3]. Sube al 49,5 % en 2030e con la escala de la FPI y ralinepag, sin pasar del de 2025, y baja al 48,5 % al final cuando la competencia de genéricos y Yutrepia en HAP pese más. El margen incluye la remuneración en acciones y la regalía del 10 % a MannKind por Tyvaso DPI [1]. Es de los más altos del grupo de comparables [30].</w:t>
      </w:r>
    </w:p>
    <w:p>
      <w:pPr>
        <w:keepNext/>
        <w:spacing w:after="100"/>
      </w:pPr>
      <w:r>
        <w:rPr>
          <w:b/>
          <w:bCs/>
        </w:rPr>
        <w:t xml:space="preserve">Inversión y circulante.</w:t>
      </w:r>
    </w:p>
    <w:p>
      <w:pPr>
        <w:spacing w:after="100"/>
      </w:pPr>
      <w:r>
        <w:t xml:space="preserve">Capex del 13 % de las ventas en 2026e (208,8 M en el 1S26 más 104,1 M sin pagar [2]) y del 10 % en 2027e: las granjas de Minnesota y Texas y la fábrica de Tyvaso DPI. Baja al 4,5 % en 2031e, el nivel de 2021-2022 (6-7 %) menos las granjas terminadas, siempre por encima de la amortización (4 %). Circulante comercial del 16 % de las ventas, el de 2024-2025 (clientes de 2 meses y existencias) [1]. Las recompras no entran en la proyección.</w:t>
      </w:r>
    </w:p>
    <w:p>
      <w:pPr>
        <w:keepNext/>
        <w:spacing w:after="100"/>
      </w:pPr>
      <w:r>
        <w:rPr>
          <w:b/>
          <w:bCs/>
        </w:rPr>
        <w:t xml:space="preserve">Coste del capital.</w:t>
      </w:r>
    </w:p>
    <w:p>
      <w:pPr>
        <w:spacing w:after="100"/>
      </w:pPr>
      <w:r>
        <w:t xml:space="preserve">Tasa libre del 5,12 % (Tesoro a 10 años, 20-oct-2026 [31]); beta de 0,80, por encima de la medida (0,50 mensual a 5 años; 0,67 ajustada [29]) porque la acción se mueve por hechos binarios (ensayos, juicios) que la beta no recoge; prima del 5,5 % y prima adicional de 1 punto por la concentración en una molécula con genéricos a la vista. Sin deuda: WACC del 10,52 %. Con la prima implícita del mercado (4,20 % [32]) el WACC baja al 9,48 % y el DCF sube a 569,42 USD.</w:t>
      </w:r>
    </w:p>
    <w:p>
      <w:pPr>
        <w:keepNext/>
        <w:spacing w:after="100"/>
      </w:pPr>
      <w:r>
        <w:rPr>
          <w:b/>
          <w:bCs/>
        </w:rPr>
        <w:t xml:space="preserve">Valor terminal.</w:t>
      </w:r>
    </w:p>
    <w:p>
      <w:pPr>
        <w:spacing w:after="100"/>
      </w:pPr>
      <w:r>
        <w:t xml:space="preserve">Crecimiento a perpetuidad del 2,5 %, por debajo de la tasa libre menos dos puntos y medio: en 2033e el treprostinil tendrá genéricos en todas sus formas salvo la PH-ILD (patente de 2042) y la FPI, y lo que crezca dependerá de ralinepag y de los órganos, que no proyectamos [1]. El múltiplo de salida implícito es de 9 veces el EBITDA, por debajo de las 14 veces a las que cotiza hoy: es prudente para un negocio que pierde patentes. El valor terminal pesa un 61 %.</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9,48 %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940</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1" name="Gráfico 21"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23.488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25.955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7.362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11.436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18.798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22.849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505,50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2" name="Gráfico 22"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591,90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621,38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555,32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579,90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523,64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544,37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495,95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513,59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435,19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446,04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458,09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471,55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486,69</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505,92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526,79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516,20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537,63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526,48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548,46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536,76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559,30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483,95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503,98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525,00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547,03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570,13</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1.267 M (10 %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 (reinvierte el 20 %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 (histórico: 71,8 %)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 frente al 6,8 %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Sí</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2030e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31,3 % (hoy: 25,6 %)</w:t>
            </w:r>
          </w:p>
        </w:tc>
      </w:tr>
    </w:tbl>
    <w:p>
      <w:pPr>
        <w:spacing w:after="160" w:before="0"/>
      </w:pPr>
    </w:p>
    <w:p>
      <w:pPr>
        <w:spacing w:after="100"/>
      </w:pPr>
      <w:r>
        <w:t xml:space="preserve">La proyección apenas necesita inversión neta de la amortización (reinversión acumulada de 1.267 M, el 10 % del NOPAT, con un capex bruto medio del 6,8 % de las ventas). En un negocio de activos ligeros, el crecimiento medio del 6,8 % tiene que salir de subir precios y de ganar volumen sin capital nuevo, y la prueba es el poder de precios y la cuota (31,3 % del mercado en 2030e, frente al 25,6 %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+1,5 % (Tyvaso DPI y PH-ILD) y precio +1 %, menos 2,9 puntos de pacientes que pasan a Yutrepia y Winrevair en Tyvaso nebulizado y Remodulin [3, 4].</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+9,4 %: PH-ILD sin Yutrepia, FPI desde mayo y ralinepag a final de año, menos Orenitram genérico y Adcirca; precio +2 % [2, 12, 21].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+12,2 %: primer año completo de FPI (≈ 4.000-5.500 M de mercado [15]) y ralinepag; precio +2 %.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+10,9 % con la FPI aún en crecimiento; genérico de Tyvaso nebulizado en el caso base.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+6,1 %: la FPI madura y Tyvaso DPI empieza a perder patentes.</w:t>
            </w:r>
          </w:p>
        </w:tc>
      </w:tr>
    </w:tbl>
    <w:p>
      <w:pPr>
        <w:spacing w:after="160" w:before="0"/>
      </w:pPr>
    </w:p>
    <w:p>
      <w:pPr>
        <w:spacing w:after="100"/>
      </w:pPr>
      <w:r>
        <w:t xml:space="preserve">El crecimiento proyectado (7,9 % anual en 2026e-2033e) queda por debajo del histórico (17,2 % en 2021-2025) y casi no pide capital: la reinversión acumulada es el 10 % del NOPAT, con un ROIC del 53,6 %. La cuota implícita en 2030e (31,3 % del mercado de HAP más FPI, frente al 25,6 % de hoy [13, 15]) está dentro del margen de la prueba (1,22 veces) y se apoya en una indicación nueva ya estudiada en dos ensayos positivos (TETON-1 y TETON-2 [19, 23]) y en la PH-ILD protegida hasta 2042. Las tres pruebas pasan. El riesgo no es la calidad sino la aprobación: si la FDA no aprueba la FPI en abril de 2027, el crecimiento de 2027-2029 desaparece (bajista).</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10,1 % (base: 7,9 %)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53,5 % (base: 48,5 %)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9,7 % (WACC: 10,5 %)</w:t>
            </w:r>
          </w:p>
        </w:tc>
      </w:tr>
    </w:tbl>
    <w:p>
      <w:pPr>
        <w:spacing w:after="160" w:before="0"/>
      </w:pPr>
    </w:p>
    <w:p>
      <w:pPr>
        <w:spacing w:after="100"/>
      </w:pPr>
      <w:r>
        <w:t xml:space="preserve">El DCF da 505,50 USD por acción, un 8,7 % por debajo del precio, con un WACC del 10,52 % y un valor terminal que pesa el 61 %. El DCF inverso dice que el precio descuenta un crecimiento del 10,1 % anual en 2027e-2033e con nuestro margen, frente al 7,9 % de nuestro base, o un margen del 53,5 % con nuestro crecimiento: el mercado ya paga una FPI con éxito y algo más (ralinepag, órganos o una erosión de los genéricos más lenta). Es exigente frente a la historia de la empresa, que cotizó a 7-15 veces el beneficio del año siguiente porque siempre tuvo genéricos a la vista. Con la prima de riesgo que hoy pide el mercado (4,2 %), el DCF sube a 569,42 USD (+2,8 %): la diferencia entre caro y justo está en la tasa. El rango con ± 0,5 puntos de WACC y crecimiento terminal (466,54-555,32 USD) deja el precio en el borde alto.</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369,70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FDA retrasa o limita la FPI, Yutrepia gana cuota en HAP (Liquidia espera más de 1.000 M en 2027) y Winrevair desplaza a las prostaciclinas a líneas posteriores; los genéricos de Orenitram y Tyvaso nebulizado llegan en 2027 y se llevan la mitad de esas ventas en un año. Crecimiento 4 puntos menor y margen 3 puntos menor.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505,50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FPI aprobada en abril de 2027 y ralinepag a final de año; Tyvaso recupera la PH-ILD sin Yutrepia; Orenitram y Tyvaso nebulizado pierden ventas con los genéricos; margen del 46-49 %.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588,62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FPI se lanza con fuerza (un 20-25 % de los pacientes tratados con antifibróticos en 2029) y ralinepag gana cuota a Uptravi; los genéricos tardan: 3 puntos más de crecimiento y 1,5 puntos más de margen.</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Valor por acción por escenario (USD) · precio actual 553,8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bCs/>
        </w:rPr>
        <w:t xml:space="preserve">Valor ponderado por probabilidad:</w:t>
      </w:r>
      <w:r>
        <w:t xml:space="preserve"> 492,33 USD (-11,1 %).</w:t>
      </w:r>
    </w:p>
    <w:p>
      <w:pPr>
        <w:spacing w:after="100"/>
      </w:pPr>
      <w:r>
        <w:t xml:space="preserve">La asimetría es desfavorable: el alcista vale 588,62 USD (+6,3 %) y el bajista 369,70 (−33,3 %), asimetría de 0,19 veces. El alcista no sube más porque el WACC (10,5 %) y la pérdida de patentes después de 2030 limitan el valor terminal; el bajista cae mucho porque la FPI es casi todo el crecimiento de 2027-2030. El valor ponderado de los escenarios queda un 12 % por debajo del precio.</w:t>
      </w:r>
    </w:p>
    <w:p>
      <w:pPr>
        <w:pStyle w:val="Heading1"/>
      </w:pPr>
      <w:r>
        <w:t xml:space="preserve">22. Suma de partes</w:t>
      </w:r>
    </w:p>
    <w:p>
      <w:pPr>
        <w:pStyle w:val="Confianza"/>
        <w:spacing w:after="100"/>
      </w:pPr>
      <w:r>
        <w:t xml:space="preserve">Confianza: Baja</w:t>
      </w:r>
    </w:p>
    <w:p>
      <w:pPr>
        <w:spacing w:after="100"/>
      </w:pPr>
      <w:r>
        <w:t xml:space="preserve">No aplica: todas las ventas son del treprostinil (85 %) y de Unituxin (7 %), con los mismos clientes y la misma fábrica [1]. El programa de órganos (xenotrasplante de riñón y corazón, órganos fabricados) no tiene ventas y no se puede valorar por múltiplos: es una opción. Si se le diera un valor (por ejemplo, lo invertido, ≈ 1.000-1.500 M USD), sumaría 22-33 USD por acción; no lo sumamos porque su primera venta comercial no llegará antes de 2029-2030 y depende de la FDA.</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4" name="Gráfico 24" descr="Valor por acción según cada método (USD) · precio actual 553,8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553,88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609,35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662,07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728,00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405,57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461,64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(EV/ventas)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993,39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1.045,73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1.314,42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505,50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555,32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492,33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588,62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569,42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607,54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551,11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553,88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556,65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1.045,73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492,33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intrínseco ponderado (largo plazo):</w:t>
      </w:r>
      <w:r>
        <w:t xml:space="preserve"> 485,24 USD (-12,4 % sobre 553,88).</w:t>
      </w:r>
    </w:p>
    <w:p>
      <w:pPr>
        <w:spacing w:after="100"/>
      </w:pPr>
      <w:r>
        <w:t xml:space="preserve">Pesos: DCF 45 %, escenarios 40 % y comparables 15 %. El DCF es el método más fiable para un negocio con patentes que vencen en fechas conocidas: recoge que el beneficio de hoy no es perpetuo. Los escenarios recogen la asimetría (bajista −33 %, alcista +6 %). Los comparables pesan poco porque los demás tienen patentes más largas o menos caja, y su PER (mediana de 13,2 veces) da 359-462 USD. Las transacciones no pesan: son compras de un producto en crecimiento a 12-21 veces las ventas, con prima de control, y una oferta es improbable con una corporación de beneficio público y la fundadora al mando. El valor objetivo de la síntesis es de 485,24 USD (−12,4 %); con la prima del mercado, 538,10 (−2,8 %). La caja (3.803 M menos 247 M de ajustes) supone ≈ 79 USD por acción.</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30,69</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273,14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(18.6x) ÷ 1.1 (tope: la mediana de 5 años, 14x,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588,80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37,65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(ni la historia ni los comparables pagan más)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636,29</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+14,9 %</w:t>
            </w:r>
          </w:p>
        </w:tc>
      </w:tr>
    </w:tbl>
    <w:p>
      <w:pPr>
        <w:spacing w:after="160" w:before="0"/>
      </w:pPr>
    </w:p>
    <w:p>
      <w:pPr>
        <w:spacing w:after="100"/>
      </w:pPr>
      <w:r>
        <w:rPr>
          <w:b/>
          <w:bCs/>
        </w:rPr>
        <w:t xml:space="preserve">Objetivo a 12 meses (ponderado):</w:t>
      </w:r>
      <w:r>
        <w:t xml:space="preserve"> 521,76 USD · rentabilidad -5,8 % (base +6,3 %) · señal Mantener.</w:t>
      </w:r>
    </w:p>
    <w:p>
      <w:pPr>
        <w:spacing w:after="100"/>
      </w:pPr>
      <w:r>
        <w:t xml:space="preserve">Para comparar, con la regla v2 (historia al cierre, mismo precio): 11,1x / 17,5x / 17,5x, 0,2 % Mantener; con el tope anterior del base (×1,3, 14-oct mediodía): -9,7 % Mantener.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de 2026e (26,60 USD) coincide con el consenso; el de 2027e (29,77) queda un 6 % por debajo del consenso (31,72) por el margen: suponemos un 47 % de EBITDA con los costes de lanzamiento de la FPI y la I+D de órganos, frente a ≈ 49 % implícito en el consenso, y unas ventas de 3.531 M frente a 3.640 M porque restamos antes los genéricos de Orenitram [30]. El precio base (588,80 USD) queda un 11 % por debajo del objetivo medio de los analistas (662,07): ellos mantienen ≈ 19-21 veces y la regla común baja el PER a 16,9 veces (tope de ÷1,1) camino de la mediana de cinco años (14,0).</w:t>
      </w:r>
    </w:p>
    <w:p>
      <w:pPr>
        <w:keepNext/>
        <w:spacing w:after="100"/>
      </w:pPr>
      <w:r>
        <w:rPr>
          <w:b/>
          <w:bCs/>
        </w:rPr>
        <w:t xml:space="preserve">Del valor intrínseco al objetivo a 12 meses.</w:t>
      </w:r>
    </w:p>
    <w:p>
      <w:pPr>
        <w:spacing w:after="100"/>
      </w:pPr>
      <w:r>
        <w:t xml:space="preserve">El objetivo a 12 meses (521,76 USD, ponderado) queda un 5,8 % por debajo del precio y el valor intrínseco (485,24) un 12,4 %. El base (588,80 USD, +6,3 %) supone que el BPA crece un 14,5 % anual hasta 2028e y que el PER baja de 18,6 a 16,9 veces; el bajista (273,14) es el PER de finales de 2023 (8,9 veces) sobre un BPA un 12 % menor, y es lo que hunde la ponderada. El catalizador que cerraría la distancia es la aprobación de la FPI a finales de abril de 2027: con ella, el bajista pierde peso. Para comprar haría falta un precio de 453,70 USD (−18 %); para vender, uno por encima de 579,73.</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2026-10-28 (estimada)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lectura de Tyvaso tras la sentencia; consenso de BPA de 6,06 USD y ventas de 783 M</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 y 2027-01/04</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Cobro del acuerdo con Liquidia (185 M en 30 días hábiles; 145,4 M en enero y abril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 5,6 USD por acción después de impuestos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2027-04 (finales)</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Decisión de la FDA sobre Tyvaso nebulizado en FPI</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crecimiento de 2027-2030; sin aprobación, el bajista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Genérico de Orenitram de Actavis (ANI en diciembre)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Pérdida de buena parte de 497 M de ventas en 12-18 meses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 (2S)</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Decisión de la FDA sobre ralinepag (NDA presentada en 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Sustituto oral de Orenitram, frente a Uptravi</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posible del genérico de Tyvaso nebulizado (Watson, autorizado desde enero de 2026 pero sin aprobación)</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Pérdida de parte de 586 M de ventas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2026-12-31</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 de la licencia de Adcirca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 30 M de ventas menos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2027-2028</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 EXPAND (UKidney) y primeros pacientes de EXPRESS (UHeart)</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Valor de la opción de órganos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FDA no aprueba o retrasa Tyvaso en FPI (decisión a finales de abril de 2027)</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−25 a −35 %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Dos ensayos de fase 3 positivos (TETON-1 y TETON-2); el producto ya está aprobado en HAP y PH-ILD</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Comité asesor convocado o carta de respuesta completa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Genéricos de Orenitram (junio y diciembre de 2027) y de Tyvaso nebulizado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Patentes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 a −12 %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Paso de pacientes a Tyvaso DPI y a ralinepag; patentes de DPI hasta 2030-2035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Orenitram por debajo de 100 M en un trimestre de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Yutrepia en HAP y Winrevair desplazan a las prostaciclinas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a −20 %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PH-ILD protegida (patente de 2042 y acuerdo con Liquidia); Winrevair se combina con prostaciclinas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Yutrepia por encima de 250 M en un trimestre o Tyvaso DPI cayendo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18,6 veces el BPA de 2027e frente a una mediana adelantada de 14,0</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a −25 % si vuelve a 14-15 veces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del BPA del 14 % anual con la FPI</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o resultados que no muestren crecimiento en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Programa de órganos: capex y I+D sin ventas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a −6 %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caja lo paga sin deuda; es una opción de valor si la FDA aprueba el xenotrasplante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Capex por encima del 12 % de las ventas en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de los medicamentos en EE. UU. (Medicare negociado, nación más favorecida, 340B)</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Enfermedades raras y huérfanas; el treprostinil tiene genéricos y es poco atractivo para la negociación</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Inclusión de Tyvaso en la lista de negociación de Medicare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 corporación de beneficio público y fundadora con poder (vende con planes 10b5-1)</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Descuento de opción de compra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Consejo mayoritariamente independiente; el 97 % de los votos aprueba la remuneración</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Decisiones de capital por misión que bajen el ROIC</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Riesgo de IA (descubrimiento de fármacos más rápido de los rivales; automatización de ventas y ensayos)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Tecnología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±2 % a 3-5 años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negocio son patentes, fabricación de un fármaco inhalado y relación con neumólogos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Rivales que acortan a menos de 5 años el desarrollo de una prostaciclina nueva</w:t>
            </w:r>
          </w:p>
        </w:tc>
      </w:tr>
    </w:tbl>
    <w:p>
      <w:pPr>
        <w:spacing w:after="160" w:before="0"/>
      </w:pPr>
    </w:p>
    <w:p>
      <w:pPr>
        <w:pStyle w:val="Heading2"/>
      </w:pPr>
      <w:r>
        <w:t xml:space="preserve">Pre-mortem</w:t>
      </w:r>
    </w:p>
    <w:p>
      <w:pPr>
        <w:spacing w:after="100"/>
      </w:pPr>
      <w:r>
        <w:t xml:space="preserve">Octubre de 2029: la acción ha perdido un 40 %. No falló la ciencia sino el calendario y la competencia. La FDA aprobó Tyvaso en FPI en 2027, pero con una etiqueta que exigía pruebas de función pulmonar y el lanzamiento fue lento: los neumólogos ya tenían Ofev y Esbriet genérico, y los pacientes con FPI toleraban mal el nebulizador. Mientras tanto, Yutrepia ganó la HAP con una inhalación más cómoda y Winrevair se convirtió en el tratamiento de segunda línea, empujando a las prostaciclinas a la tercera. Los genéricos de Orenitram y de Tyvaso nebulizado se llevaron 700 M de ventas en 18 meses. El BPA de 2028 quedó en 29 USD en lugar de 35, y el mercado volvió a pagar 12-14 veces, su media de siempre para una empresa con genéricos a la vista. La caja se gastó en granjas de cerdos que en 2029 aún no tenían una aprobación. La señal temprana habría sido una curva de recetas de FPI por debajo de 5.000 pacientes en el primer año y Yutrepia por encima de 300 M por trimestre en 2027.</w:t>
      </w:r>
    </w:p>
    <w:p>
      <w:pPr>
        <w:pStyle w:val="Heading2"/>
      </w:pPr>
      <w:r>
        <w:t xml:space="preserve">Riesgo de inteligencia artificial</w:t>
      </w:r>
    </w:p>
    <w:p>
      <w:pPr>
        <w:spacing w:after="100"/>
      </w:pPr>
      <w:r>
        <w:rPr>
          <w:b/>
          <w:bCs/>
        </w:rPr>
        <w:t xml:space="preserve">Exposición:</w:t>
      </w:r>
      <w:r>
        <w:t xml:space="preserve"> Baja · </w:t>
      </w:r>
      <w:r>
        <w:rPr>
          <w:b/>
          <w:bCs/>
        </w:rPr>
        <w:t xml:space="preserve">Sentido:</w:t>
      </w:r>
      <w:r>
        <w:t xml:space="preserve"> Mixto · </w:t>
      </w:r>
      <w:r>
        <w:rPr>
          <w:b/>
          <w:bCs/>
        </w:rPr>
        <w:t xml:space="preserve">Efecto en valor (3-5 años):</w:t>
      </w:r>
      <w:r>
        <w:t xml:space="preserve"> ±2 % a 3-5 años</w:t>
      </w:r>
    </w:p>
    <w:p>
      <w:pPr>
        <w:spacing w:after="100"/>
      </w:pPr>
      <w:r>
        <w:t xml:space="preserve">La IA no sustituye lo que vende United Therapeutics: fármacos con patente para enfermedades raras, fabricados por ella y recetados por neumólogos. Le toca en tres sitios. En costes, puede abaratar la I+D (diseño de moléculas, selección de pacientes de ensayos) y la fabricación; la empresa no ha anunciado un programa propio relevante. En competencia, la IA acelera el desarrollo de fármacos de los rivales: una prostaciclina nueva o un tratamiento distinto para la HAP o la FPI podría llegar antes de lo que hoy se espera, acortando la vida de las ventas del treprostinil. En el programa de órganos, la edición genética y la selección de animales se benefician del análisis de datos. El efecto neto sobre el valor a 3-5 años es pequeño (±2 %). Señal: ensayos de fase 2 de rivales diseñados con IA en HAP o FPI, o costes de I+D que no bajan mientras los de la industria sí.</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Lo material son el acceso y el precio de los medicamentos (el 95 % de las ventas es en EE. UU. y depende de Medicare, Medicaid y 340B), la seguridad del producto y el bienestar animal y la bioseguridad del programa de xenotrasplante: granjas de cerdos modificados libres de patógenos en Virginia, Minnesota y Texas, con placas solares en las tres [1, 22]. Como corporación de beneficio público, la empresa tiene la obligación legal de equilibrar el beneficio del accionista con su propósito (terapias nuevas y órganos para trasplante) [1].</w:t>
      </w:r>
    </w:p>
    <w:p>
      <w:pPr>
        <w:pStyle w:val="Heading2"/>
      </w:pPr>
      <w:r>
        <w:t xml:space="preserve">Controversias</w:t>
      </w:r>
    </w:p>
    <w:p>
      <w:pPr>
        <w:spacing w:after="100"/>
      </w:pPr>
      <w:r>
        <w:t xml:space="preserve">Litigios de patentes y secretos comerciales con Liquidia desde 2020, cerrados el 14-oct-2026 salvo la demanda a un antiguo directivo [12]. No hemos encontrado sanciones de reguladores en los últimos tres años en el 10-K [1].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FPI</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¿Cuántos pacientes con FPI espera tratar en 2028 y a qué precio neto, frente a los de PH-ILD?</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60 % del crecimiento de 2027-2030 de nuestro base.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Genéricos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Orenitram y de Tyvaso nebulizado espera retener tras los genéricos de 2027, y cuántos pacientes pasarán a ralinepag o a Tyvaso DPI?</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 1.080 M de ventas expuestas en 2027-2028.</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Liquidia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impide que Yutrepia vuelva a la PH-ILD si gana la apelación o expira la patente 327, y qué cuota tiene hoy en HAP?</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Liquidia espera más de 1.000 M en 2027; el bajista depende de ello.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Órganos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capex y gasto quedan para el programa de órganos hasta la primera venta, y qué hitos de la FDA lo justifican?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 1.000 M de capex desde 2023 sin ventas; baja el ROIC.</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Recompras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¿Habrá otra autorización de recompra tras agotar los 2.000 M de 2026, y a qué precio deja de tener sentido?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BPA de 2028 sube ≈ 2 % por cada 1.000 M recomprados; no los incluimos.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¿Cuánto gasto de lanzamiento de la FPI se añade en 2027 y cuándo vuelve el margen operativo al 47 % de 2025?</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Explica la diferencia del 6 % con el BPA de 2027 del consenso.</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Positivo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Stocktwits ($UTHR)</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Euforia por el acuerdo con Liquidia («la PH-ILD vuelve a ser terreno de United Therapeutics») y debate cruzado con accionistas de Liquidia y de MannKind, que dependen de Tyvaso DPI [39].</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(análisis)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autores recomiendan comprar por los catalizadores de 2027 (FPI y ralinepag): «el mercado ve la erosión y no el relleno» [37].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Seeking Alpha (noticias)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sentencia y el acuerdo se celebran, pero Goldman Sachs empezó a cubrirla con Vender el 24-sep y las ventas del 2T fallaron [40].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Liquidia y la PH-ILD</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Correcto: Yutrepia deberá retirar la PH-ILD y Liquidia pagará 330,4 M; pero sigue en HAP, donde Liquidia espera más de 1.000 M en 2027.</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Catalizadores de 2027 (FPI y ralinepag)</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ensayos fueron claros (TETON-1 +130,1 mL; ralinepag −55 % de empeoramiento), pero la FDA no dio revisión prioritaria a la FPI (decisión a finales de abril de 2027).</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Erosión por genéricos y Winrevair</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Exageran poco: Orenitram tiene genérico autorizado desde junio de 2027 y las ventas de 2026 caen un 2 %.</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Recompras y ventas de la fundadora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Ambas son ciertas: 4.000 M de recompras y 905 M de ventas de la consejera delegada (ejercicio de opciones).</w:t>
            </w:r>
          </w:p>
        </w:tc>
      </w:tr>
    </w:tbl>
    <w:p>
      <w:pPr>
        <w:spacing w:after="160" w:before="0"/>
      </w:pPr>
    </w:p>
    <w:p>
      <w:pPr>
        <w:spacing w:after="100"/>
      </w:pPr>
      <w:r>
        <w:t xml:space="preserve">El sentimiento de los particulares es positivo y mejora tras la sentencia del 30-sep y el acuerdo del 14-oct, en línea con el consenso de analistas (11 de 15 recomiendan comprar). No es euforia extrema: la acción está un 7 % por debajo de su máximo de mayo. El riesgo que los foros minimizan es el de los genéricos de 2027-2028 y la competencia de Yutrepia en HAP, que este informe sí recoge. Ninguna cifra del informe sale de aquí.</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19 de 20 controles correctos y 1 explicados. Fuentes: 40 (28 primarias); citas distintas en el texto: 39.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31,3 % en 2030e frente al 25,6 %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16,0 % frente a 16,5 % real: genera una variación de circulante de -19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61 %.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Calculada 25.035, publicada 23.756: revisa acciones y precio. Explicación: La capitalización publicada (23.756 M USD) usa las 42,9 M de acciones en circulación (básicas); la calculada (25.035 M) usa 45,2 M diluidas: 41,96 M básicas después de la ASR de septiembre más ≈ 3,2 M de opciones dentro del dinero (45,8 M diluidas frente a 42,6 M básicas en el 2T26) [2, 10]. Es la misma base que el BPA, y la diferencia (5 %) es la dilución de las opciones de la fundadora y los directivos.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40 fuentes (28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vs_consenso (3T24-1T26)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resultados de la empresa (no dan consenso); 2) Yahoo Finance (solo el último trimestre); 3) titulares de Seeking Alpha (solo el 2T26)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y web de la empresa (no publica calificaciones); 2) MSCI y Sustainalytics (requieren registro); 3) búsqueda en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cr5_pct y tcac_historico_pct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IMARC y Coherent (sin cuotas gratuitas); 2) 10-K de la empresa (no da cuotas); 3) notas de competidores (no publican la de su clase)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historial_guidance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resultados 2021-2026 (sin guía numérica); 2) 10-K y proxy (objetivos internos de remuneración sin cifras de ingresos); 3) prensa (la empresa no da guía)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estimaciones 2028e y EBITDA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Yahoo Finance (solo 2026 y 2027, sin EBITDA); 2) MarketScreener (la página abre otra empresa); 3) Investing y MarketBeat (solo objetivos)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ev_ebitda_ntm, roic_pct y fcf_yield_pct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Yahoo Finance (no da EBITDA NTM ni ROIC); 2) Stock Analysis (sin EBITDA NTM gratuito); 3) cuentas de cada comparable (fuera del presupuesto de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10-K 2025: cuentas, ingresos por producto y país, distribuidores, patentes, genéricos, licencias (MannKind, Lilly, Supernus), litigios, impuestos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United Therapeutics Corporation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https://www.sec.gov/Archives/edgar/data/1082554/000108255426000006/uthr-20251231.htm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10-Q del 2T26 (30-jun-2026): balance, flujos del semestre, deuda, acciones, ASR de 2026, genéricos de Tyvaso y Orenitram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United Therapeutics Corporation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https://www.sec.gov/Archives/edgar/data/1082554/000108255426000027/uthr-20260630.htm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 Therapeutics Corporation Reports Second Quarter 2026 Financial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 Therapeutics Corporation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https://www.sec.gov/Archives/edgar/data/1082554/000108255426000028/uthrq22026-ex991.htm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 Therapeutics Corporation Reports First Quarter 2026 Financial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 Therapeutics Corporation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https://www.sec.gov/Archives/edgar/data/1082554/000108255426000021/uthrq12026-ex991.htm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 Therapeutics Corporation Reports Fourth Quarter and Full Year 2025 Financial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 Therapeutics Corporation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https://www.sec.gov/Archives/edgar/data/1082554/000108255426000007/exhibit991uthr12312025.htm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 Therapeutics Corporation Reports Third Quarter 2025 Financial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 Therapeutics Corporation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https://www.sec.gov/Archives/edgar/data/1082554/000108255425000036/uthrq32025-ex991.htm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company facts de United Therapeutics (inversiones financieras, ingresos y BPA trimestrales, pagos en acciones, depreciación, línea de crédito)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https://data.sec.gov/api/xbrl/companyfacts/CIK0001082554.json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2024 (balance de 2023: línea de crédito corriente 400 M y no corriente 300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 Therapeutics Corporation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https://www.sec.gov/Archives/edgar/data/1082554/000108255425000005/uthr-20241231.htm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programa de recompra de 2.000 M USD y recompras aceleradas (ASR) de 1.500 M con Citibank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 Therapeutics Corporation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https://www.sec.gov/Archives/edgar/data/1082554/000110465926025331/tm268321d1_ex99-1.htm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ASR de 477,6 M USD para el resto de la autorización (acciones en circulación a 4-sep-2026: 42,9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 Therapeutics Corporation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https://www.sec.gov/Archives/edgar/data/1082554/000110465926105953/tm2624887d1_ex99-1.htm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ASR de 1.000 M USD (agosto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 Therapeutics Corporation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https://www.sec.gov/Archives/edgar/data/1082554/000110465925073163/tm2522276d1_ex99-1.htm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acuerdo de transacción con Liquidia (185 M + 145,4 M USD a cobrar; 10 M a pagar; Yutrepia sin PH-ILD)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 Therapeutics Corporation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https://www.sec.gov/Archives/edgar/data/1082554/000110465926115723/tm2627546d1_ex99-1.htm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Pulmonary Arterial Hypertension (PAH) Drugs Market (8.400 M USD en 2025, 8.800 M en 2026, 12.100 M en 2034; TCAC 4,05 %)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IMARC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https://www.imarcgroup.com/pulmonary-arterial-hypertension-drugs-market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Pulmonary Hypertension Drugs Market (8.690 M USD en 2025, 14.230 M en 2032; TCAC 7,3 %)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Coherent Market Insights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https://www.coherentmi.com/industry-reports/pulmonary-hypertension-drugs-market/market-size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Idiopathic Pulmonary Fibrosis Market (4.045,7 M USD en los 7 grandes mercados en 2025; 7.938,8 M en 2036; TCAC 6,34 %)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IMARC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https://www.imarcgroup.com/report/en/idiopathic-pulmonary-fibrosis-market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Merck Announces Second Quarter 2026 Financial Results (Winrevair 588 M USD, +75 %)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Merck &amp; Co.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https://www.sec.gov/Archives/edgar/data/310158/000110465926090045/tm2621496d1_ex99-1.htm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Liquidia Corporation Reports Second Quarter 2026 Financial Results (Yutrepia 170,4 M USD; beneficio neto 74,7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Liquidia Corporation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https://www.sec.gov/Archives/edgar/data/1819576/000110465926094411/tm2622888d1_ex99-1.htm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 Therapeutics Soars 13% as Court Rules Yutrepia Infringes Its Patent (sentencia del 30-sep-2026, tribunal de Delaware, patente 327)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TIKR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https://www.tikr.com/blog/united-therapeutics-soars-13-as-court-rules-yutrepia-infringes-its-patent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TETON-1 Pivotal Study of Tyvaso Meets Primary Endpoint in IPF (+130,1 mL de FVC; conjunto +111,8 mL)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 Therapeutics Corporation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https://www.sec.gov/Archives/edgar/data/1082554/000110465926036445/tm2610558d1_ex99-1.htm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Ralinepag Achieved 55% Reduction in Risk of Clinical Worsening in Pivotal PAH Study (ADVANCE OUTCOMES)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 Therapeutics Corporation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https://www.sec.gov/Archives/edgar/data/1082554/000110465926021869/tm267696d1_ex99-1.htm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FDA Acceptance of Supplemental NDA for Nebulized Tyvaso to Treat IPF (revisión completa a finales de abril de 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 Therapeutics Corporation (relación con inversores)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https://ir.unither.com/~/media/Files/U/United-Therapeutics-IR/documents/press-releases/2026/tyvaso-ipf-snda-acceptance-press-release.pdf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 Therapeutics Expands Organ Manufacturing Capabilities with Opening of Third Designated Pathogen-Free Xenograft Production Facility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 Therapeutics Corporation (relación con inversores)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https://ir.unither.com/press-releases/2026/10-20-2026-120017904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TETON-2 Pivotal Study of Tyvaso Meets Primary Endpoint for IPF (+95,6 mL de FVC)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 Therapeutics Corporation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https://www.sec.gov/Archives/edgar/data/1082554/000110465925085976/tm2524831d1_ex99-1.htm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2026 (DEF 14A): consejo, comisiones, remuneración, accionistas, ratio salarial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 Therapeutics Corporation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https://www.sec.gov/Archives/edgar/data/1082554/000108255426000009/uthr-20260428.htm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del 26-jun-2026 (consejeros, remuneración, plan de acciones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 Therapeutics Corporation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https://www.sec.gov/Archives/edgar/data/1082554/000110465926078865/tm2619258d1_8k.htm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directivos y consejeros de United Therapeutics (21-oct-2025 a 21-oct-2026)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https://www.sec.gov/cgi-bin/browse-edgar?action=getcompany&amp;CIK=0001082554&amp;type=4&amp;dateb=&amp;owner=include&amp;count=40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nombramiento de Kevin J. Tracey como consejero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 Therapeutics Corporation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https://www.sec.gov/Archives/edgar/data/1082554/000110465926005810/tm263500d1_8k.htm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nombramiento de Victor Dzau como consejero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 Therapeutics Corporation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https://www.sec.gov/Archives/edgar/data/1082554/000110465926086068/tm2620809d1_ex99-1.htm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UTHR, SPY e IBB (precio, rango, rentabilidades, beta, volatilidad, cierres de ejercicio)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(herramientas/bolsa.mjs)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https://finance.yahoo.com/quote/UTHR/history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Consenso de United Therapeutics y de los comparables (estimaciones, recomendaciones, objetivos, capitalización, valor empresa, EBITDA)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(quoteSummary)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https://finance.yahoo.com/quote/UTHR/analysis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Daily Treasury Par Yield Curve Rates 2026 (10 años: 5,12 % el 20-oct-2026)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Department of the Treasury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https://home.treasury.gov/resource-center/data-chart-center/interest-rates/daily-treasury-rates.csv/2026/all?type=daily_treasury_yield_curve&amp;field_tdr_date_value=2026&amp;page&amp;_format=csv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Equity Risk Premium by month (ERP T12m with sustainable payout,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de Neurocrine: cierre de la compra de Soleno Therapeutics (2.900 M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Neurocrine Biosciences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https://www.sec.gov/Archives/edgar/data/914475/000119312526228013/d94926d8k.htm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Johnson &amp; Johnson closes landmark Intra-Cellular Therapies acquisition (14.600 M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Johnson &amp; Johnson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https://www.jnj.com/media-center/press-releases/johnson-johnson-closes-landmark-intra-cellular-therapies-acquisition-to-solidify-neuroscience-leadership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Jazz Pharmaceuticals to acquire GW Pharmaceuticals (7.200 M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Jazz Pharmaceuticals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https://investor.jazzpharma.com/news-releases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Company facts XBRL de Intra-Cellular Therapies (ingresos 2024: 680,9 M USD) y de GW Pharmaceuticals (2020: 527,2 M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https://data.sec.gov/api/xbrl/companyfacts/CIK0001567514.json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titulares de UTHR (Goldman Sachs inicia con Vender el 24-sep-2026; BPA del 2T26 batió en 0,41 USD y las ventas fallaron en 21,35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https://seekingalpha.com/api/sa/combined/UTHR.xml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JPMorgan eleva el objetivo de United Therapeutics a 687 USD (consenso medio de 648,33 USD a 23-jul-2026)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https://www.marketbeat.com/instant-alerts/jpmorgan-chase-co-raises-united-therapeutics-nasdaquthr-price-target-to-68700-2026-07-23/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 flujo de mensajes de $UTHR (30 mensajes, 14 a 21-oct-2026)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https://api.stocktwits.com/api/2/streams/symbol/UTHR.json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titulares y noticias de UTHR y Liquidia (sentencia, acuerdo, Goldman Sachs Vender)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https://seekingalpha.com/symbol/UTHR/news</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88,4 %</w:t>
      </w:r>
      <w:r>
        <w:t xml:space="preserve"> · Secciones con menos del 60 % de campos cubiertos: </w:t>
      </w:r>
      <w:r>
        <w:rPr>
          <w:b/>
          <w:bCs/>
        </w:rPr>
        <w:t xml:space="preserve">directivos</w:t>
      </w:r>
      <w:r>
        <w:t xml:space="preserve"> · Generado el 21 oct 2026.</w:t>
      </w:r>
    </w:p>
    <w:p>
      <w:pPr>
        <w:pStyle w:val="Nota"/>
        <w:spacing w:after="100"/>
      </w:pPr>
      <w:r>
        <w:t xml:space="preserve">Cifras en millones de USD, ejercicio natural, US GAAP. Último trimestre publicado: 2T26 (30-jun-2026); el 3T26 se publica hacia el 28-oct-2026 (fecha estimada por el calendario de 2025, sin confirmar). Precio: cierre del 20-oct-2026 (553,88 USD); la sesión del 21-oct no había abierto al hacer el análisis y la decisión se comprueba con el precio del día en las pruebas de robustez. El BPA de la regla a 12 meses es el GAAP diluido (la empresa no publica ajustado y el consenso de Yahoo es GAAP) y no incluye el cobro del acuerdo con Liquidia (330,4 M USD en tres plazos, no recurrente), que va al puente después de impuestos. Las acciones son las de después de las recompras de septiembre (45,2 M diluidas) y la caja del puente resta lo pagado desde el 30-jun. Sin calificación de crédito (no tiene deuda). Precio de una acción en EUR: ≈ 475 EUR, un 1,6 % de una cartera de 30.000 EUR.</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21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United Therapeutics Corporation (UTHR)</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553,88</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(409,07 – 609,35)</c:v>
                </c:pt>
                <c:pt idx="1">
                  <c:v>Precio objetivo de los analistas (368,00 – 728,00)</c:v>
                </c:pt>
                <c:pt idx="2">
                  <c:v>Comparables: PER NTM (358,71 – 461,64)</c:v>
                </c:pt>
                <c:pt idx="3">
                  <c:v>Transacciones precedentes (EV/ventas) (993,39 – 1.314,42)</c:v>
                </c:pt>
                <c:pt idx="4">
                  <c:v>DCF (WACC y g ± 0,5) (466,54 – 555,32)</c:v>
                </c:pt>
                <c:pt idx="5">
                  <c:v>Escenarios (bajista – alcista) (369,70 – 588,62)</c:v>
                </c:pt>
                <c:pt idx="6">
                  <c:v>DCF con la prima implícita del mercado (4,2 %)</c:v>
                </c:pt>
                <c:pt idx="7">
                  <c:v>Precio actual (553,88)</c:v>
                </c:pt>
              </c:strCache>
            </c:strRef>
          </c:cat>
          <c:val>
            <c:numRef>
              <c:f>Hoja1!$B$2:$B$9</c:f>
              <c:numCache>
                <c:formatCode>#,##0</c:formatCode>
                <c:ptCount val="8"/>
                <c:pt idx="0">
                  <c:v>409.07</c:v>
                </c:pt>
                <c:pt idx="1">
                  <c:v>368</c:v>
                </c:pt>
                <c:pt idx="2">
                  <c:v>358.71</c:v>
                </c:pt>
                <c:pt idx="3">
                  <c:v>993.39</c:v>
                </c:pt>
                <c:pt idx="4">
                  <c:v>466.54</c:v>
                </c:pt>
                <c:pt idx="5">
                  <c:v>369.7</c:v>
                </c:pt>
                <c:pt idx="6">
                  <c:v>536.45</c:v>
                </c:pt>
                <c:pt idx="7">
                  <c:v>551.11</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(409,07 – 609,35)</c:v>
                </c:pt>
                <c:pt idx="1">
                  <c:v>Precio objetivo de los analistas (368,00 – 728,00)</c:v>
                </c:pt>
                <c:pt idx="2">
                  <c:v>Comparables: PER NTM (358,71 – 461,64)</c:v>
                </c:pt>
                <c:pt idx="3">
                  <c:v>Transacciones precedentes (EV/ventas) (993,39 – 1.314,42)</c:v>
                </c:pt>
                <c:pt idx="4">
                  <c:v>DCF (WACC y g ± 0,5) (466,54 – 555,32)</c:v>
                </c:pt>
                <c:pt idx="5">
                  <c:v>Escenarios (bajista – alcista) (369,70 – 588,62)</c:v>
                </c:pt>
                <c:pt idx="6">
                  <c:v>DCF con la prima implícita del mercado (4,2 %)</c:v>
                </c:pt>
                <c:pt idx="7">
                  <c:v>Precio actual (553,88)</c:v>
                </c:pt>
              </c:strCache>
            </c:strRef>
          </c:cat>
          <c:val>
            <c:numRef>
              <c:f>Hoja1!$C$2:$C$9</c:f>
              <c:numCache>
                <c:formatCode>#,##0</c:formatCode>
                <c:ptCount val="8"/>
                <c:pt idx="0">
                  <c:v>200.28000000000003</c:v>
                </c:pt>
                <c:pt idx="1">
                  <c:v>360</c:v>
                </c:pt>
                <c:pt idx="2">
                  <c:v>102.93</c:v>
                </c:pt>
                <c:pt idx="3">
                  <c:v>321.0300000000001</c:v>
                </c:pt>
                <c:pt idx="4">
                  <c:v>88.78000000000003</c:v>
                </c:pt>
                <c:pt idx="5">
                  <c:v>218.92000000000002</c:v>
                </c:pt>
                <c:pt idx="6">
                  <c:v>71.08999999999992</c:v>
                </c:pt>
                <c:pt idx="7">
                  <c:v>5.539999999999964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Tyvaso DPI</c:v>
                </c:pt>
              </c:strCache>
            </c:strRef>
          </c:tx>
          <c:spPr>
            <a:solidFill>
              <a:srgbClr val="2A78D6"/>
            </a:solidFill>
            <a:ln w="12700">
              <a:solidFill>
                <a:srgbClr val="FFFFFF"/>
              </a:solidFill>
            </a:ln>
          </c:spPr>
          <c:invertIfNegative val="0"/>
          <c:cat>
            <c:strRef>
              <c:f>Hoja1!$A$2:$A$4</c:f>
              <c:strCache>
                <c:ptCount val="3"/>
                <c:pt idx="0">
                  <c:v>2023</c:v>
                </c:pt>
                <c:pt idx="1">
                  <c:v>2024</c:v>
                </c:pt>
                <c:pt idx="2">
                  <c:v>2025</c:v>
                </c:pt>
              </c:strCache>
            </c:strRef>
          </c:cat>
          <c:val>
            <c:numRef>
              <c:f>Hoja1!$B$2:$B$4</c:f>
              <c:numCache>
                <c:formatCode>#,##0</c:formatCode>
                <c:ptCount val="3"/>
                <c:pt idx="0">
                  <c:v>731.1</c:v>
                </c:pt>
                <c:pt idx="1">
                  <c:v>1033.6</c:v>
                </c:pt>
                <c:pt idx="2">
                  <c:v>1292.5</c:v>
                </c:pt>
              </c:numCache>
            </c:numRef>
          </c:val>
        </c:ser>
        <c:ser>
          <c:idx val="1"/>
          <c:order val="1"/>
          <c:tx>
            <c:strRef>
              <c:f>Hoja1!$C$1</c:f>
              <c:strCache>
                <c:ptCount val="1"/>
                <c:pt idx="0">
                  <c:v>Tyvaso nebulizado</c:v>
                </c:pt>
              </c:strCache>
            </c:strRef>
          </c:tx>
          <c:spPr>
            <a:solidFill>
              <a:srgbClr val="EB6834"/>
            </a:solidFill>
            <a:ln w="12700">
              <a:solidFill>
                <a:srgbClr val="FFFFFF"/>
              </a:solidFill>
            </a:ln>
          </c:spPr>
          <c:invertIfNegative val="0"/>
          <c:cat>
            <c:strRef>
              <c:f>Hoja1!$A$2:$A$4</c:f>
              <c:strCache>
                <c:ptCount val="3"/>
                <c:pt idx="0">
                  <c:v>2023</c:v>
                </c:pt>
                <c:pt idx="1">
                  <c:v>2024</c:v>
                </c:pt>
                <c:pt idx="2">
                  <c:v>2025</c:v>
                </c:pt>
              </c:strCache>
            </c:strRef>
          </c:cat>
          <c:val>
            <c:numRef>
              <c:f>Hoja1!$C$2:$C$4</c:f>
              <c:numCache>
                <c:formatCode>#,##0</c:formatCode>
                <c:ptCount val="3"/>
                <c:pt idx="0">
                  <c:v>502.6</c:v>
                </c:pt>
                <c:pt idx="1">
                  <c:v>586.8</c:v>
                </c:pt>
                <c:pt idx="2">
                  <c:v>585.7</c:v>
                </c:pt>
              </c:numCache>
            </c:numRef>
          </c:val>
        </c:ser>
        <c:ser>
          <c:idx val="2"/>
          <c:order val="2"/>
          <c:tx>
            <c:strRef>
              <c:f>Hoja1!$D$1</c:f>
              <c:strCache>
                <c:ptCount val="1"/>
                <c:pt idx="0">
                  <c:v>Remodulin</c:v>
                </c:pt>
              </c:strCache>
            </c:strRef>
          </c:tx>
          <c:spPr>
            <a:solidFill>
              <a:srgbClr val="1BAF7A"/>
            </a:solidFill>
            <a:ln w="12700">
              <a:solidFill>
                <a:srgbClr val="FFFFFF"/>
              </a:solidFill>
            </a:ln>
          </c:spPr>
          <c:invertIfNegative val="0"/>
          <c:cat>
            <c:strRef>
              <c:f>Hoja1!$A$2:$A$4</c:f>
              <c:strCache>
                <c:ptCount val="3"/>
                <c:pt idx="0">
                  <c:v>2023</c:v>
                </c:pt>
                <c:pt idx="1">
                  <c:v>2024</c:v>
                </c:pt>
                <c:pt idx="2">
                  <c:v>2025</c:v>
                </c:pt>
              </c:strCache>
            </c:strRef>
          </c:cat>
          <c:val>
            <c:numRef>
              <c:f>Hoja1!$D$2:$D$4</c:f>
              <c:numCache>
                <c:formatCode>#,##0</c:formatCode>
                <c:ptCount val="3"/>
                <c:pt idx="0">
                  <c:v>494.8</c:v>
                </c:pt>
                <c:pt idx="1">
                  <c:v>538.1</c:v>
                </c:pt>
                <c:pt idx="2">
                  <c:v>526.8</c:v>
                </c:pt>
              </c:numCache>
            </c:numRef>
          </c:val>
        </c:ser>
        <c:ser>
          <c:idx val="3"/>
          <c:order val="3"/>
          <c:tx>
            <c:strRef>
              <c:f>Hoja1!$E$1</c:f>
              <c:strCache>
                <c:ptCount val="1"/>
                <c:pt idx="0">
                  <c:v>Orenitram</c:v>
                </c:pt>
              </c:strCache>
            </c:strRef>
          </c:tx>
          <c:spPr>
            <a:solidFill>
              <a:srgbClr val="EDA100"/>
            </a:solidFill>
            <a:ln w="12700">
              <a:solidFill>
                <a:srgbClr val="FFFFFF"/>
              </a:solidFill>
            </a:ln>
          </c:spPr>
          <c:invertIfNegative val="0"/>
          <c:cat>
            <c:strRef>
              <c:f>Hoja1!$A$2:$A$4</c:f>
              <c:strCache>
                <c:ptCount val="3"/>
                <c:pt idx="0">
                  <c:v>2023</c:v>
                </c:pt>
                <c:pt idx="1">
                  <c:v>2024</c:v>
                </c:pt>
                <c:pt idx="2">
                  <c:v>2025</c:v>
                </c:pt>
              </c:strCache>
            </c:strRef>
          </c:cat>
          <c:val>
            <c:numRef>
              <c:f>Hoja1!$E$2:$E$4</c:f>
              <c:numCache>
                <c:formatCode>#,##0</c:formatCode>
                <c:ptCount val="3"/>
                <c:pt idx="0">
                  <c:v>359.4</c:v>
                </c:pt>
                <c:pt idx="1">
                  <c:v>434.3</c:v>
                </c:pt>
                <c:pt idx="2">
                  <c:v>496.9</c:v>
                </c:pt>
              </c:numCache>
            </c:numRef>
          </c:val>
        </c:ser>
        <c:ser>
          <c:idx val="4"/>
          <c:order val="4"/>
          <c:tx>
            <c:strRef>
              <c:f>Hoja1!$F$1</c:f>
              <c:strCache>
                <c:ptCount val="1"/>
                <c:pt idx="0">
                  <c:v>Unituxin</c:v>
                </c:pt>
              </c:strCache>
            </c:strRef>
          </c:tx>
          <c:spPr>
            <a:solidFill>
              <a:srgbClr val="E87BA4"/>
            </a:solidFill>
            <a:ln w="12700">
              <a:solidFill>
                <a:srgbClr val="FFFFFF"/>
              </a:solidFill>
            </a:ln>
          </c:spPr>
          <c:invertIfNegative val="0"/>
          <c:cat>
            <c:strRef>
              <c:f>Hoja1!$A$2:$A$4</c:f>
              <c:strCache>
                <c:ptCount val="3"/>
                <c:pt idx="0">
                  <c:v>2023</c:v>
                </c:pt>
                <c:pt idx="1">
                  <c:v>2024</c:v>
                </c:pt>
                <c:pt idx="2">
                  <c:v>2025</c:v>
                </c:pt>
              </c:strCache>
            </c:strRef>
          </c:cat>
          <c:val>
            <c:numRef>
              <c:f>Hoja1!$F$2:$F$4</c:f>
              <c:numCache>
                <c:formatCode>#,##0</c:formatCode>
                <c:ptCount val="3"/>
                <c:pt idx="0">
                  <c:v>198.9</c:v>
                </c:pt>
                <c:pt idx="1">
                  <c:v>238.7</c:v>
                </c:pt>
                <c:pt idx="2">
                  <c:v>226.8</c:v>
                </c:pt>
              </c:numCache>
            </c:numRef>
          </c:val>
        </c:ser>
        <c:ser>
          <c:idx val="5"/>
          <c:order val="5"/>
          <c:tx>
            <c:strRef>
              <c:f>Hoja1!$G$1</c:f>
              <c:strCache>
                <c:ptCount val="1"/>
                <c:pt idx="0">
                  <c:v>Adcirca y otros</c:v>
                </c:pt>
              </c:strCache>
            </c:strRef>
          </c:tx>
          <c:spPr>
            <a:solidFill>
              <a:srgbClr val="008300"/>
            </a:solidFill>
            <a:ln w="12700">
              <a:solidFill>
                <a:srgbClr val="FFFFFF"/>
              </a:solidFill>
            </a:ln>
          </c:spPr>
          <c:invertIfNegative val="0"/>
          <c:cat>
            <c:strRef>
              <c:f>Hoja1!$A$2:$A$4</c:f>
              <c:strCache>
                <c:ptCount val="3"/>
                <c:pt idx="0">
                  <c:v>2023</c:v>
                </c:pt>
                <c:pt idx="1">
                  <c:v>2024</c:v>
                </c:pt>
                <c:pt idx="2">
                  <c:v>2025</c:v>
                </c:pt>
              </c:strCache>
            </c:strRef>
          </c:cat>
          <c:val>
            <c:numRef>
              <c:f>Hoja1!$G$2:$G$4</c:f>
              <c:numCache>
                <c:formatCode>#,##0</c:formatCode>
                <c:ptCount val="3"/>
                <c:pt idx="0">
                  <c:v>40.7</c:v>
                </c:pt>
                <c:pt idx="1">
                  <c:v>45.9</c:v>
                </c:pt>
                <c:pt idx="2">
                  <c:v>54</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Pt>
            <c:idx val="5"/>
            <c:bubble3D val="0"/>
            <c:spPr>
              <a:solidFill>
                <a:srgbClr val="0083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Hoja1!$A$2:$A$7</c:f>
              <c:strCache>
                <c:ptCount val="6"/>
                <c:pt idx="0">
                  <c:v>Tyvaso DPI</c:v>
                </c:pt>
                <c:pt idx="1">
                  <c:v>Tyvaso nebulizado</c:v>
                </c:pt>
                <c:pt idx="2">
                  <c:v>Remodulin</c:v>
                </c:pt>
                <c:pt idx="3">
                  <c:v>Orenitram</c:v>
                </c:pt>
                <c:pt idx="4">
                  <c:v>Unituxin</c:v>
                </c:pt>
                <c:pt idx="5">
                  <c:v>Adcirca y otros</c:v>
                </c:pt>
              </c:strCache>
            </c:strRef>
          </c:cat>
          <c:val>
            <c:numRef>
              <c:f>Hoja1!$B$2:$B$7</c:f>
              <c:numCache>
                <c:formatCode>General</c:formatCode>
                <c:ptCount val="6"/>
                <c:pt idx="0">
                  <c:v>40.6</c:v>
                </c:pt>
                <c:pt idx="1">
                  <c:v>18.4</c:v>
                </c:pt>
                <c:pt idx="2">
                  <c:v>16.6</c:v>
                </c:pt>
                <c:pt idx="3">
                  <c:v>15.6</c:v>
                </c:pt>
                <c:pt idx="4">
                  <c:v>7.1</c:v>
                </c:pt>
                <c:pt idx="5">
                  <c:v>1.7</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Estados Unidos</c:v>
                </c:pt>
                <c:pt idx="1">
                  <c:v>Resto del mundo</c:v>
                </c:pt>
              </c:strCache>
            </c:strRef>
          </c:cat>
          <c:val>
            <c:numRef>
              <c:f>Hoja1!$B$2:$B$3</c:f>
              <c:numCache>
                <c:formatCode>0"%"</c:formatCode>
                <c:ptCount val="2"/>
                <c:pt idx="0">
                  <c:v>95.4</c:v>
                </c:pt>
                <c:pt idx="1">
                  <c:v>4.6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(HAP + FPI; 2027e-2030e con las TCAC de IMARC))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2025</c:v>
                </c:pt>
                <c:pt idx="1">
                  <c:v>2026</c:v>
                </c:pt>
                <c:pt idx="2">
                  <c:v>2027e</c:v>
                </c:pt>
                <c:pt idx="3">
                  <c:v>2028e</c:v>
                </c:pt>
                <c:pt idx="4">
                  <c:v>2029e</c:v>
                </c:pt>
                <c:pt idx="5">
                  <c:v>2030e</c:v>
                </c:pt>
              </c:strCache>
            </c:strRef>
          </c:cat>
          <c:val>
            <c:numRef>
              <c:f>Hoja1!$B$2:$B$7</c:f>
              <c:numCache>
                <c:formatCode>#,##0</c:formatCode>
                <c:ptCount val="6"/>
                <c:pt idx="0">
                  <c:v>12446</c:v>
                </c:pt>
                <c:pt idx="1">
                  <c:v>13102</c:v>
                </c:pt>
                <c:pt idx="2">
                  <c:v>13731</c:v>
                </c:pt>
                <c:pt idx="3">
                  <c:v>14392</c:v>
                </c:pt>
                <c:pt idx="4">
                  <c:v>15087</c:v>
                </c:pt>
                <c:pt idx="5">
                  <c:v>15816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3</c:v>
                </c:pt>
                <c:pt idx="2">
                  <c:v>2</c:v>
                </c:pt>
                <c:pt idx="3">
                  <c:v>3</c:v>
                </c:pt>
                <c:pt idx="4">
                  <c:v>4</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United Therapeutics</c:v>
                </c:pt>
                <c:pt idx="1">
                  <c:v>Merck (Winrevair)</c:v>
                </c:pt>
                <c:pt idx="2">
                  <c:v>Liquidia (Yutrepia)</c:v>
                </c:pt>
                <c:pt idx="3">
                  <c:v>Johnson &amp; Johnson (Actelion)</c:v>
                </c:pt>
                <c:pt idx="4">
                  <c:v>Genéricos del treprostinil (Sandoz y otros)</c:v>
                </c:pt>
                <c:pt idx="5">
                  <c:v>Boehringer Ingelheim (Ofev) y Roche (Esbriet)</c:v>
                </c:pt>
              </c:strCache>
            </c:strRef>
          </c:cat>
          <c:val>
            <c:numRef>
              <c:f>Hoja1!$B$2:$B$7</c:f>
              <c:numCache>
                <c:formatCode>0.0"%"</c:formatCode>
                <c:ptCount val="6"/>
                <c:pt idx="0">
                  <c:v>47.6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3</c:v>
                </c:pt>
                <c:pt idx="2">
                  <c:v>4</c:v>
                </c:pt>
                <c:pt idx="3">
                  <c:v>3</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Hoja1!$A$2:$A$14</c:f>
              <c:strCache>
                <c:ptCount val="13"/>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strCache>
            </c:strRef>
          </c:cat>
          <c:val>
            <c:numRef>
              <c:f>Hoja1!$B$2:$B$14</c:f>
              <c:numCache>
                <c:formatCode>#,##0</c:formatCode>
                <c:ptCount val="13"/>
                <c:pt idx="0">
                  <c:v>1685.5</c:v>
                </c:pt>
                <c:pt idx="1">
                  <c:v>1936.3</c:v>
                </c:pt>
                <c:pt idx="2">
                  <c:v>2327.5</c:v>
                </c:pt>
                <c:pt idx="3">
                  <c:v>2877.4</c:v>
                </c:pt>
                <c:pt idx="4">
                  <c:v>3182.7</c:v>
                </c:pt>
                <c:pt idx="5">
                  <c:v>3170</c:v>
                </c:pt>
                <c:pt idx="6">
                  <c:v>3531</c:v>
                </c:pt>
                <c:pt idx="7">
                  <c:v>4033</c:v>
                </c:pt>
                <c:pt idx="8">
                  <c:v>4553</c:v>
                </c:pt>
                <c:pt idx="9">
                  <c:v>4922</c:v>
                </c:pt>
                <c:pt idx="10">
                  <c:v>5119</c:v>
                </c:pt>
                <c:pt idx="11">
                  <c:v>5247</c:v>
                </c:pt>
                <c:pt idx="12">
                  <c:v>5352</c:v>
                </c:pt>
              </c:numCache>
            </c:numRef>
          </c:val>
        </c:ser>
        <c:ser>
          <c:idx val="1"/>
          <c:order val="1"/>
          <c:tx>
            <c:strRef>
              <c:f>Hoja1!$C$1</c:f>
              <c:strCache>
                <c:ptCount val="1"/>
                <c:pt idx="0">
                  <c:v>EBITDA</c:v>
                </c:pt>
              </c:strCache>
            </c:strRef>
          </c:tx>
          <c:spPr>
            <a:solidFill>
              <a:srgbClr val="EB6834"/>
            </a:solidFill>
            <a:ln w="9525">
              <a:noFill/>
            </a:ln>
          </c:spPr>
          <c:invertIfNegative val="0"/>
          <c:cat>
            <c:strRef>
              <c:f>Hoja1!$A$2:$A$14</c:f>
              <c:strCache>
                <c:ptCount val="13"/>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strCache>
            </c:strRef>
          </c:cat>
          <c:val>
            <c:numRef>
              <c:f>Hoja1!$C$2:$C$14</c:f>
              <c:numCache>
                <c:formatCode>#,##0</c:formatCode>
                <c:ptCount val="13"/>
                <c:pt idx="0">
                  <c:v>605.8</c:v>
                </c:pt>
                <c:pt idx="1">
                  <c:v>1031</c:v>
                </c:pt>
                <c:pt idx="2">
                  <c:v>1238.1</c:v>
                </c:pt>
                <c:pt idx="3">
                  <c:v>1449.5</c:v>
                </c:pt>
                <c:pt idx="4">
                  <c:v>1599.8</c:v>
                </c:pt>
                <c:pt idx="5">
                  <c:v>1442</c:v>
                </c:pt>
                <c:pt idx="6">
                  <c:v>1660</c:v>
                </c:pt>
                <c:pt idx="7">
                  <c:v>1936</c:v>
                </c:pt>
                <c:pt idx="8">
                  <c:v>2231</c:v>
                </c:pt>
                <c:pt idx="9">
                  <c:v>2436</c:v>
                </c:pt>
                <c:pt idx="10">
                  <c:v>2534</c:v>
                </c:pt>
                <c:pt idx="11">
                  <c:v>2571</c:v>
                </c:pt>
                <c:pt idx="12">
                  <c:v>2596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92.7</c:v>
                </c:pt>
                <c:pt idx="1">
                  <c:v>92.2</c:v>
                </c:pt>
                <c:pt idx="2">
                  <c:v>88.9</c:v>
                </c:pt>
                <c:pt idx="3">
                  <c:v>89.2</c:v>
                </c:pt>
                <c:pt idx="4">
                  <c:v>87.9</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35.9</c:v>
                </c:pt>
                <c:pt idx="1">
                  <c:v>53.2</c:v>
                </c:pt>
                <c:pt idx="2">
                  <c:v>53.2</c:v>
                </c:pt>
                <c:pt idx="3">
                  <c:v>50.4</c:v>
                </c:pt>
                <c:pt idx="4">
                  <c:v>50.3</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33</c:v>
                </c:pt>
                <c:pt idx="1">
                  <c:v>50.6</c:v>
                </c:pt>
                <c:pt idx="2">
                  <c:v>50.9</c:v>
                </c:pt>
                <c:pt idx="3">
                  <c:v>47.9</c:v>
                </c:pt>
                <c:pt idx="4">
                  <c:v>47.6</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28.2</c:v>
                </c:pt>
                <c:pt idx="1">
                  <c:v>37.6</c:v>
                </c:pt>
                <c:pt idx="2">
                  <c:v>42.3</c:v>
                </c:pt>
                <c:pt idx="3">
                  <c:v>41.5</c:v>
                </c:pt>
                <c:pt idx="4">
                  <c:v>41.9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22.9</c:v>
                </c:pt>
                <c:pt idx="1">
                  <c:v>19.7</c:v>
                </c:pt>
                <c:pt idx="2">
                  <c:v>17.2</c:v>
                </c:pt>
                <c:pt idx="3">
                  <c:v>11.7</c:v>
                </c:pt>
                <c:pt idx="4">
                  <c:v>6.8</c:v>
                </c:pt>
                <c:pt idx="5">
                  <c:v>7.4</c:v>
                </c:pt>
                <c:pt idx="6">
                  <c:v>-1.6</c:v>
                </c:pt>
                <c:pt idx="7">
                  <c:v>-1.9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43</c:v>
                </c:pt>
                <c:pt idx="1">
                  <c:v>42</c:v>
                </c:pt>
                <c:pt idx="2">
                  <c:v>44</c:v>
                </c:pt>
                <c:pt idx="3">
                  <c:v>35</c:v>
                </c:pt>
                <c:pt idx="4">
                  <c:v>40</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279</c:v>
                </c:pt>
                <c:pt idx="1">
                  <c:v>246</c:v>
                </c:pt>
                <c:pt idx="2">
                  <c:v>158</c:v>
                </c:pt>
                <c:pt idx="3">
                  <c:v>186</c:v>
                </c:pt>
                <c:pt idx="4">
                  <c:v>174</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11</c:v>
                </c:pt>
                <c:pt idx="1">
                  <c:v>10</c:v>
                </c:pt>
                <c:pt idx="2">
                  <c:v>8</c:v>
                </c:pt>
                <c:pt idx="3">
                  <c:v>7</c:v>
                </c:pt>
                <c:pt idx="4">
                  <c:v>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477.40000000000003</c:v>
                </c:pt>
                <c:pt idx="1">
                  <c:v>663.7</c:v>
                </c:pt>
                <c:pt idx="2">
                  <c:v>747.6</c:v>
                </c:pt>
                <c:pt idx="3">
                  <c:v>1080.6</c:v>
                </c:pt>
                <c:pt idx="4">
                  <c:v>1035.2</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475.8</c:v>
                </c:pt>
                <c:pt idx="1">
                  <c:v>727.3</c:v>
                </c:pt>
                <c:pt idx="2">
                  <c:v>984.8</c:v>
                </c:pt>
                <c:pt idx="3">
                  <c:v>1195.1</c:v>
                </c:pt>
                <c:pt idx="4">
                  <c:v>1334.7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37.8</c:v>
                </c:pt>
                <c:pt idx="1">
                  <c:v>57.2</c:v>
                </c:pt>
                <c:pt idx="2">
                  <c:v>56.8</c:v>
                </c:pt>
                <c:pt idx="3">
                  <c:v>56.5</c:v>
                </c:pt>
                <c:pt idx="4">
                  <c:v>53.6</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10.5</c:v>
                </c:pt>
                <c:pt idx="1">
                  <c:v>10.5</c:v>
                </c:pt>
                <c:pt idx="2">
                  <c:v>10.5</c:v>
                </c:pt>
                <c:pt idx="3">
                  <c:v>10.5</c:v>
                </c:pt>
                <c:pt idx="4">
                  <c:v>10.5</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12</c:v>
                </c:pt>
                <c:pt idx="1">
                  <c:v>16.6</c:v>
                </c:pt>
                <c:pt idx="2">
                  <c:v>18.3</c:v>
                </c:pt>
                <c:pt idx="3">
                  <c:v>19.2</c:v>
                </c:pt>
                <c:pt idx="4">
                  <c:v>19.7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-4.59</c:v>
                </c:pt>
                <c:pt idx="1">
                  <c:v>-3.25</c:v>
                </c:pt>
                <c:pt idx="2">
                  <c:v>-3.4</c:v>
                </c:pt>
                <c:pt idx="3">
                  <c:v>-3.06</c:v>
                </c:pt>
                <c:pt idx="4">
                  <c:v>-2.94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0</c:v>
                </c:pt>
                <c:pt idx="1">
                  <c:v>0</c:v>
                </c:pt>
                <c:pt idx="2">
                  <c:v>89.2</c:v>
                </c:pt>
                <c:pt idx="3">
                  <c:v>0</c:v>
                </c:pt>
                <c:pt idx="4">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0</c:v>
                </c:pt>
                <c:pt idx="1">
                  <c:v>0</c:v>
                </c:pt>
                <c:pt idx="2">
                  <c:v>0</c:v>
                </c:pt>
                <c:pt idx="3">
                  <c:v>0</c:v>
                </c:pt>
                <c:pt idx="4">
                  <c:v>0</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0</c:v>
                </c:pt>
                <c:pt idx="1">
                  <c:v>0</c:v>
                </c:pt>
                <c:pt idx="2">
                  <c:v>0</c:v>
                </c:pt>
                <c:pt idx="3">
                  <c:v>1000</c:v>
                </c:pt>
                <c:pt idx="4">
                  <c:v>1000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Ejecutivo</c:v>
                </c:pt>
                <c:pt idx="1">
                  <c:v>Independiente</c:v>
                </c:pt>
              </c:strCache>
            </c:strRef>
          </c:cat>
          <c:val>
            <c:numRef>
              <c:f>Hoja1!$B$2:$B$3</c:f>
              <c:numCache>
                <c:formatCode>0</c:formatCode>
                <c:ptCount val="2"/>
                <c:pt idx="0">
                  <c:v>1</c:v>
                </c:pt>
                <c:pt idx="1">
                  <c:v>12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BlackRock</c:v>
                </c:pt>
                <c:pt idx="1">
                  <c:v>Avoro Capital Advisors</c:v>
                </c:pt>
                <c:pt idx="2">
                  <c:v>Martine Rothblatt (con opciones ejercitables)</c:v>
                </c:pt>
                <c:pt idx="3">
                  <c:v>Wellington Management</c:v>
                </c:pt>
                <c:pt idx="4">
                  <c:v>Consejeros y directivos (16 personas)</c:v>
                </c:pt>
              </c:strCache>
            </c:strRef>
          </c:cat>
          <c:val>
            <c:numRef>
              <c:f>Hoja1!$B$2:$B$6</c:f>
              <c:numCache>
                <c:formatCode>0.0"%"</c:formatCode>
                <c:ptCount val="5"/>
                <c:pt idx="0">
                  <c:v>12.5</c:v>
                </c:pt>
                <c:pt idx="1">
                  <c:v>6.8</c:v>
                </c:pt>
                <c:pt idx="2">
                  <c:v>6.5</c:v>
                </c:pt>
                <c:pt idx="3">
                  <c:v>5.8</c:v>
                </c:pt>
                <c:pt idx="4">
                  <c:v>8.6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-8.4</c:v>
                </c:pt>
                <c:pt idx="1">
                  <c:v>3.2</c:v>
                </c:pt>
                <c:pt idx="2">
                  <c:v>-26.4</c:v>
                </c:pt>
                <c:pt idx="3">
                  <c:v>-19.1</c:v>
                </c:pt>
                <c:pt idx="4">
                  <c:v>72.3</c:v>
                </c:pt>
                <c:pt idx="5">
                  <c:v>42.4</c:v>
                </c:pt>
                <c:pt idx="6">
                  <c:v>28.7</c:v>
                </c:pt>
                <c:pt idx="7">
                  <c:v>-20.9</c:v>
                </c:pt>
                <c:pt idx="8">
                  <c:v>60.5</c:v>
                </c:pt>
                <c:pt idx="9">
                  <c:v>38.1</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12</c:v>
                </c:pt>
                <c:pt idx="1">
                  <c:v>21.7</c:v>
                </c:pt>
                <c:pt idx="2">
                  <c:v>-4.6</c:v>
                </c:pt>
                <c:pt idx="3">
                  <c:v>31.2</c:v>
                </c:pt>
                <c:pt idx="4">
                  <c:v>18.3</c:v>
                </c:pt>
                <c:pt idx="5">
                  <c:v>28.7</c:v>
                </c:pt>
                <c:pt idx="6">
                  <c:v>-18.2</c:v>
                </c:pt>
                <c:pt idx="7">
                  <c:v>26.2</c:v>
                </c:pt>
                <c:pt idx="8">
                  <c:v>24.9</c:v>
                </c:pt>
                <c:pt idx="9">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0">
                  <c:v>12.3</c:v>
                </c:pt>
                <c:pt idx="1">
                  <c:v>9.8</c:v>
                </c:pt>
                <c:pt idx="2">
                  <c:v>5.4</c:v>
                </c:pt>
                <c:pt idx="3">
                  <c:v>8.7</c:v>
                </c:pt>
                <c:pt idx="4">
                  <c:v>11.7</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9.8</c:v>
                </c:pt>
                <c:pt idx="1">
                  <c:v>9.8</c:v>
                </c:pt>
                <c:pt idx="2">
                  <c:v>9.8</c:v>
                </c:pt>
                <c:pt idx="3">
                  <c:v>9.8</c:v>
                </c:pt>
                <c:pt idx="4">
                  <c:v>9.8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2026e</c:v>
                </c:pt>
                <c:pt idx="1">
                  <c:v>2027e</c:v>
                </c:pt>
                <c:pt idx="2">
                  <c:v>2028e</c:v>
                </c:pt>
                <c:pt idx="3">
                  <c:v>2029e</c:v>
                </c:pt>
                <c:pt idx="4">
                  <c:v>2030e</c:v>
                </c:pt>
                <c:pt idx="5">
                  <c:v>2031e</c:v>
                </c:pt>
                <c:pt idx="6">
                  <c:v>2032e</c:v>
                </c:pt>
                <c:pt idx="7">
                  <c:v>2033e</c:v>
                </c:pt>
              </c:strCache>
            </c:strRef>
          </c:cat>
          <c:val>
            <c:numRef>
              <c:f>Hoja1!$B$2:$B$9</c:f>
              <c:numCache>
                <c:formatCode>#,##0</c:formatCode>
                <c:ptCount val="8"/>
                <c:pt idx="0">
                  <c:v>848</c:v>
                </c:pt>
                <c:pt idx="1">
                  <c:v>925</c:v>
                </c:pt>
                <c:pt idx="2">
                  <c:v>1196</c:v>
                </c:pt>
                <c:pt idx="3">
                  <c:v>1440</c:v>
                </c:pt>
                <c:pt idx="4">
                  <c:v>1659</c:v>
                </c:pt>
                <c:pt idx="5">
                  <c:v>1783</c:v>
                </c:pt>
                <c:pt idx="6">
                  <c:v>1818</c:v>
                </c:pt>
                <c:pt idx="7">
                  <c:v>1838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7362</c:v>
                </c:pt>
                <c:pt idx="1">
                  <c:v>11436</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553,88</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369.7</c:v>
                </c:pt>
                <c:pt idx="1">
                  <c:v>505.5</c:v>
                </c:pt>
                <c:pt idx="2">
                  <c:v>588.62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553,88</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(409,07 – 609,35)</c:v>
                </c:pt>
                <c:pt idx="1">
                  <c:v>Precio objetivo de los analistas (368,00 – 728,00)</c:v>
                </c:pt>
                <c:pt idx="2">
                  <c:v>Comparables: PER NTM (358,71 – 461,64)</c:v>
                </c:pt>
                <c:pt idx="3">
                  <c:v>Transacciones precedentes (EV/ventas) (993,39 – 1.314,42)</c:v>
                </c:pt>
                <c:pt idx="4">
                  <c:v>DCF (WACC y g ± 0,5) (466,54 – 555,32)</c:v>
                </c:pt>
                <c:pt idx="5">
                  <c:v>Escenarios (bajista – alcista) (369,70 – 588,62)</c:v>
                </c:pt>
                <c:pt idx="6">
                  <c:v>DCF con la prima implícita del mercado (4,2 %)</c:v>
                </c:pt>
                <c:pt idx="7">
                  <c:v>Precio actual (553,88)</c:v>
                </c:pt>
              </c:strCache>
            </c:strRef>
          </c:cat>
          <c:val>
            <c:numRef>
              <c:f>Hoja1!$B$2:$B$9</c:f>
              <c:numCache>
                <c:formatCode>#,##0</c:formatCode>
                <c:ptCount val="8"/>
                <c:pt idx="0">
                  <c:v>409.07</c:v>
                </c:pt>
                <c:pt idx="1">
                  <c:v>368</c:v>
                </c:pt>
                <c:pt idx="2">
                  <c:v>358.71</c:v>
                </c:pt>
                <c:pt idx="3">
                  <c:v>993.39</c:v>
                </c:pt>
                <c:pt idx="4">
                  <c:v>466.54</c:v>
                </c:pt>
                <c:pt idx="5">
                  <c:v>369.7</c:v>
                </c:pt>
                <c:pt idx="6">
                  <c:v>536.45</c:v>
                </c:pt>
                <c:pt idx="7">
                  <c:v>551.11</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(409,07 – 609,35)</c:v>
                </c:pt>
                <c:pt idx="1">
                  <c:v>Precio objetivo de los analistas (368,00 – 728,00)</c:v>
                </c:pt>
                <c:pt idx="2">
                  <c:v>Comparables: PER NTM (358,71 – 461,64)</c:v>
                </c:pt>
                <c:pt idx="3">
                  <c:v>Transacciones precedentes (EV/ventas) (993,39 – 1.314,42)</c:v>
                </c:pt>
                <c:pt idx="4">
                  <c:v>DCF (WACC y g ± 0,5) (466,54 – 555,32)</c:v>
                </c:pt>
                <c:pt idx="5">
                  <c:v>Escenarios (bajista – alcista) (369,70 – 588,62)</c:v>
                </c:pt>
                <c:pt idx="6">
                  <c:v>DCF con la prima implícita del mercado (4,2 %)</c:v>
                </c:pt>
                <c:pt idx="7">
                  <c:v>Precio actual (553,88)</c:v>
                </c:pt>
              </c:strCache>
            </c:strRef>
          </c:cat>
          <c:val>
            <c:numRef>
              <c:f>Hoja1!$C$2:$C$9</c:f>
              <c:numCache>
                <c:formatCode>#,##0</c:formatCode>
                <c:ptCount val="8"/>
                <c:pt idx="0">
                  <c:v>200.28000000000003</c:v>
                </c:pt>
                <c:pt idx="1">
                  <c:v>360</c:v>
                </c:pt>
                <c:pt idx="2">
                  <c:v>102.93</c:v>
                </c:pt>
                <c:pt idx="3">
                  <c:v>321.0300000000001</c:v>
                </c:pt>
                <c:pt idx="4">
                  <c:v>88.78000000000003</c:v>
                </c:pt>
                <c:pt idx="5">
                  <c:v>218.92000000000002</c:v>
                </c:pt>
                <c:pt idx="6">
                  <c:v>71.08999999999992</c:v>
                </c:pt>
                <c:pt idx="7">
                  <c:v>5.539999999999964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