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Novo Nordisk A/S</w:t>
      </w:r>
    </w:p>
    <w:p>
      <w:pPr>
        <w:spacing w:after="60"/>
        <w:rPr>
          <w:color w:val="52514E"/>
          <w:sz w:val="22"/>
          <w:szCs w:val="22"/>
        </w:rPr>
      </w:pPr>
      <w:r>
        <w:rPr>
          <w:color w:val="52514E"/>
          <w:sz w:val="22"/>
          <w:szCs w:val="22"/>
        </w:rPr>
        <w:t xml:space="preserve">NOVO B · Nasdaq Copenhague (acción B); ADR NVO en NYSE (1 ADR = 1 acción B) · ISIN DK0062498333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DKK</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249,90 DKK</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315,19 DKK · mercado 350,05</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+30,8 % · mercado +44,8 %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1.103.159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8,4x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0,8x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Nordisk 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NOVO B / DK0062498333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Copenhague (acción B); ADR NVO en NYSE (1 ADR = 1 acción 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OMX Copenhagen 25 (OMXC25)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Farmacéuticas</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249,90 (8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224,25 – 409,95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4.414,4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1.103.159 M DKK</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1.219.516 M DKK</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1.336 M DKK/día (4,6 M de acciones; 3 meses) [59]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315,19 DKK</w:t>
      </w:r>
      <w:r>
        <w:t xml:space="preserve"> frente a 249,90 · con la prima implícita del mercado: 350,05 (+40,1 %) · Rentabilidad total esperada a 12 meses </w:t>
      </w:r>
      <w:r>
        <w:rPr>
          <w:b/>
          <w:bCs/>
        </w:rPr>
        <w:t xml:space="preserve">+30,8 %</w:t>
      </w:r>
      <w:r>
        <w:t xml:space="preserve"> · Alcista / bajista +60,1 % / -27,4 %</w:t>
      </w:r>
    </w:p>
    <w:p>
      <w:pPr>
        <w:spacing w:after="100"/>
      </w:pPr>
      <w:r>
        <w:rPr>
          <w:b/>
        </w:rPr>
        <w:t xml:space="preserve">La recomendación y por qué.</w:t>
      </w:r>
      <w:r>
        <w:t xml:space="preserve"> Comprar, con convicción media. El valor objetivo es de 315,19 DKK frente a un precio de 249,90 DKK: un 26,1 % de potencial y una rentabilidad total esperada del 30,8 % con el dividendo del 4,7 %. El alcista gana un 60,1 % y el bajista pierde un 27,4 % (asimetría de 2,19 veces). Las dos reglas dan Comprar; con la prima implícita del mercado el valor objetivo sube a 350,05 DKK. La razón: el precio descuenta que las ventas caigan cada año hasta 2035, y nuestro caso base, por debajo del consenso, solo prevé que se estabilicen.</w:t>
      </w:r>
    </w:p>
    <w:p>
      <w:pPr>
        <w:spacing w:after="100"/>
      </w:pPr>
      <w:r>
        <w:rPr>
          <w:b/>
        </w:rPr>
        <w:t xml:space="preserve">El negocio.</w:t>
      </w:r>
      <w:r>
        <w:t xml:space="preserve"> Novo sigue siendo una de las farmacéuticas más rentables: margen operativo ajustado del 41 % en 2025, frente al 36 % de media de sus pares [14], y un ROIC del 39,6 % frente a un WACC del 6,85 %. Lo que se ha roto es la posición: su cuota en valor del mercado de GLP-1 e incretinas bajó del 66,2 % en 2023 al 47,5 % en 2025 [12, 15], y Eli Lilly se lleva unas seis de cada diez recetas de incretinas en EE. UU. [25].</w:t>
      </w:r>
    </w:p>
    <w:p>
      <w:pPr>
        <w:spacing w:after="100"/>
      </w:pPr>
      <w:r>
        <w:rPr>
          <w:b/>
        </w:rPr>
        <w:t xml:space="preserve">Sector y precio.</w:t>
      </w:r>
      <w:r>
        <w:t xml:space="preserve"> El volumen crece con fuerza, pero el precio cae: desde el 1-ene-2027 la lista de Wegovy y Ozempic baja a 675 USD al mes (−50 % y −35 %) [4] y entra el precio negociado de Medicare (274 USD) [26]. Fuera de EE. UU. ya hay genéricos de semaglutida en India, Canadá y Brasil [28, 31]; en EE. UU. la patente de la molécula vence en 2032 [6].</w:t>
      </w:r>
    </w:p>
    <w:p>
      <w:pPr>
        <w:spacing w:after="100"/>
      </w:pPr>
      <w:r>
        <w:rPr>
          <w:b/>
        </w:rPr>
        <w:t xml:space="preserve">Finanzas.</w:t>
      </w:r>
      <w:r>
        <w:t xml:space="preserve"> Las ventas de 2025 fueron de 309.064 M DKK con un margen EBITDA del 49,4 %, pero el flujo libre cayó a 56.931 M porque el capex llegó al 19,6 % de las ventas. La guía de 2026 baja el capex a unos 55.000 M y prevé un flujo libre de 45.000-55.000 M [4]. La deuda neta ajustada es de 0,8 veces el EBITDA. La reversión de 26.760 M de la provisión del 340B infla las ventas publicadas de 2026 [4].</w:t>
      </w:r>
    </w:p>
    <w:p>
      <w:pPr>
        <w:spacing w:after="100"/>
      </w:pPr>
      <w:r>
        <w:rPr>
          <w:b/>
        </w:rPr>
        <w:t xml:space="preserve">Equipo y gobierno.</w:t>
      </w:r>
      <w:r>
        <w:t xml:space="preserve"> Resta. La Novo Nordisk Foundation tiene el 77,28 % de los votos [6], forzó en 2025 la salida del presidente y de cinco independientes y puso al suyo al frente [39, 40]. La guía de 2025 se incumplió (beneficio operativo +6,0 % frente al +19-27 % inicial) [8, 38]. El 27,22 % del capital libre votó contra el informe de remuneración de 2025 [51].</w:t>
      </w:r>
    </w:p>
    <w:p>
      <w:pPr>
        <w:spacing w:after="100"/>
      </w:pPr>
      <w:r>
        <w:rPr>
          <w:b/>
        </w:rPr>
        <w:t xml:space="preserve">Valoración.</w:t>
      </w:r>
      <w:r>
        <w:t xml:space="preserve"> El DCF da 309,70 DKK, los comparables 367,77 y los escenarios 289,28. Novo cotiza a 8,4 veces el EBITDA de los próximos doce meses y a 11,5 veces el beneficio, frente a medianas de 11,5 y 17,7 veces. El DCF inverso dice que el precio exige una caída de ventas del 3,1 % anual en 2027-2035 o un margen EBITDA del 36,8 %, frente al 43 % de nuestro caso base tras la pérdida de exclusividad. Nuestro EBITDA de 2027 está un 4,7 % por debajo del consenso: no somos más optimistas que los analistas.</w:t>
      </w:r>
    </w:p>
    <w:p>
      <w:pPr>
        <w:spacing w:after="100"/>
      </w:pPr>
      <w:r>
        <w:rPr>
          <w:b/>
        </w:rPr>
        <w:t xml:space="preserve">Riesgos y catalizadores.</w:t>
      </w:r>
      <w:r>
        <w:t xml:space="preserve"> Un precio neto en EE. UU. peor de lo previsto (−12 % de valor con un punto menos de crecimiento y dos de margen) y más cuota para Lilly (−12 %) son los dos riesgos más probables; una pérdida de exclusividad sin relevo nos lleva al bajista (−41 % sobre el DCF). Los catalizadores: resultados del 4-nov-2026, la decisión de la FDA sobre CagriSema en el cuarto trimestre [19] y la guía de 2027 del 3-feb-2027.</w:t>
      </w:r>
    </w:p>
    <w:p>
      <w:pPr>
        <w:spacing w:after="100"/>
      </w:pPr>
      <w:r>
        <w:rPr>
          <w:b/>
        </w:rPr>
        <w:t xml:space="preserve">Qué cambiaría la decisión.</w:t>
      </w:r>
      <w:r>
        <w:t xml:space="preserve"> Compraríamos por debajo de 314,56 DKK y venderíamos por encima de 377,91. Pasaríamos a Mantener si la guía de 2027 anticipa una caída de ventas ajustadas de más del 5 % a tipo constante, si las recetas semanales de la Wegovy oral bajan de 200.000 o si la FDA rechaza CagriSema.</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315,19 DKK</w:t>
      </w:r>
      <w:r>
        <w:t xml:space="preserve"> (+26,1 % sobre 249,90; rentabilidad total esperada +30,8 %) · con la prima implícita del mercado: 350,05 (+40,1 %)</w:t>
      </w:r>
    </w:p>
    <w:p>
      <w:pPr>
        <w:spacing w:after="100"/>
      </w:pPr>
      <w:r>
        <w:t xml:space="preserve">Novo Nordisk es la mayor empresa de diabetes y obesidad del mundo: 309.064 M DKK de ventas en 2025, el 94 % en ese segmento, con un margen operativo ajustado del 41 % y un ROIC del 39,6 % [1, 14]. Inventó la categoría de GLP-1 para la obesidad y tiene la escala de fabricación de péptidos más grande del sector, tras invertir 134.848 M DKK en capex en 2023-2025 [1].</w:t>
      </w:r>
    </w:p>
    <w:p>
      <w:pPr>
        <w:spacing w:after="100"/>
      </w:pPr>
      <w:r>
        <w:t xml:space="preserve">El precio de 249,90 DKK descuenta un declive: a 8,4 veces el EBITDA de los próximos doce meses y 11,5 veces el beneficio, el DCF inverso exige que las ventas caigan un 3,1 % al año hasta 2035. Es lo que pasaría si Eli Lilly, que ya tiene unas seis de cada diez recetas de incretinas en EE. UU. [25], se quedara también el mercado oral, y si la rebaja de precios de 2027 en EE. UU. [4] no se compensara con volumen.</w:t>
      </w:r>
    </w:p>
    <w:p>
      <w:pPr>
        <w:spacing w:after="100"/>
      </w:pPr>
      <w:r>
        <w:t xml:space="preserve">El mercado acierta en la dirección y exagera la magnitud. La guía de 2026 se ha subido dos veces [13, 55], la Wegovy oral supera las 265.000 recetas semanales [4] y la cartera tiene un lanzamiento al año hasta 2030, empezando por CagriSema en 2027 [18, 19]. Para invertir hay que creer que las ventas se estabilizan en 2027 y vuelven a crecer en torno al 4 %, algo por debajo de lo que espera el consenso, y que el margen EBITDA aguanta en el 47 % hasta la pérdida de exclusividad. No hace falta creer en la ambición del CMD de crecer como la industria [18].</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315,19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60,1 % / -27,4 %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 frente a 6,8 % y 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6,2 %)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350,05 DKK</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 frente a 20,8 %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314,56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314,56 y 377,91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377,91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guía de 2027 (3-feb-2027) prevé una caída de ventas ajustadas de más del 5 % a tipo constante, pasaríamos a Mantener.</w:t>
      </w:r>
    </w:p>
    <w:p>
      <w:pPr>
        <w:pStyle w:val="ListParagraph"/>
        <w:numPr>
          <w:ilvl w:val="0"/>
          <w:numId w:val="2"/>
        </w:numPr>
        <w:spacing w:after="60"/>
      </w:pPr>
      <w:r>
        <w:t xml:space="preserve">Si las recetas semanales de la Wegovy oral en EE. UU. bajan de 200.000 (hoy, más de 265.000), pasaríamos a Mantener.</w:t>
      </w:r>
    </w:p>
    <w:p>
      <w:pPr>
        <w:pStyle w:val="ListParagraph"/>
        <w:numPr>
          <w:ilvl w:val="0"/>
          <w:numId w:val="2"/>
        </w:numPr>
        <w:spacing w:after="60"/>
      </w:pPr>
      <w:r>
        <w:t xml:space="preserve">Si la FDA no aprueba CagriSema en el cuarto trimestre de 2026, revisaríamos el caso base a la baja.</w:t>
      </w:r>
    </w:p>
    <w:p>
      <w:pPr>
        <w:pStyle w:val="ListParagraph"/>
        <w:numPr>
          <w:ilvl w:val="0"/>
          <w:numId w:val="2"/>
        </w:numPr>
        <w:spacing w:after="60"/>
      </w:pPr>
      <w:r>
        <w:t xml:space="preserve">Si la acción supera los 377,91 DKK sin cambios en las cifras, pasaríamos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Novo es un negocio en declive estructural: pierde cuota frente a Lilly en inyectables y orales, el precio neto en EE. UU. se hunde con la lista a 675 USD, Medicare y los acuerdos de nación más favorecida, y la pérdida de exclusividad de 2031-2033 llega sin relevo. Por eso cotiza a 11,5 veces el beneficio, el PER de una farmacéutica sin crecimiento como Sanofi o GSK, y el DCF inverso pide una caída de ventas del 3,1 % anual.</w:t>
      </w:r>
    </w:p>
    <w:p>
      <w:pPr>
        <w:keepNext/>
        <w:spacing w:after="100"/>
      </w:pPr>
      <w:r>
        <w:rPr>
          <w:b/>
          <w:bCs/>
        </w:rPr>
        <w:t xml:space="preserve">Lo que creemos nosotros.</w:t>
      </w:r>
    </w:p>
    <w:p>
      <w:pPr>
        <w:spacing w:after="100"/>
      </w:pPr>
      <w:r>
        <w:t xml:space="preserve">Que las ventas tocan fondo en 2026-2027 y vuelven a crecer en torno al 4 % entre 2028 y 2030, con más volumen en Medicare, en el autopago y en Internacional, y que el margen EBITDA se mantiene cerca del 47 %. Con el capex a la baja desde el máximo de 2025, el flujo libre se recupera. Incluso con una caída del 13 % de las ventas en 2032-2033, el valor es de 309,70 DKK.</w:t>
      </w:r>
    </w:p>
    <w:p>
      <w:pPr>
        <w:keepNext/>
        <w:spacing w:after="100"/>
      </w:pPr>
      <w:r>
        <w:rPr>
          <w:b/>
          <w:bCs/>
        </w:rPr>
        <w:t xml:space="preserve">Por qué podemos tener razón.</w:t>
      </w:r>
    </w:p>
    <w:p>
      <w:pPr>
        <w:spacing w:after="100"/>
      </w:pPr>
      <w:r>
        <w:t xml:space="preserve">Porque el volumen ya compensa el precio: las ventas ajustadas crecieron un 7 % a tipo constante en el 2T26, con la obesidad de Internacional un 37 % más [4], y la empresa ha subido la guía dos veces en 2026 [13, 55]. Y porque nuestras cifras quedan por debajo del consenso: no apostamos por un giro, solo por que el declive no sea perpetuo.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Barata frente a sus pares y a su historia</w:t>
      </w:r>
      <w:r>
        <w:t xml:space="preserve">: 8,4 veces el EBITDA de los próximos doce meses frente a una mediana de 11,5 veces.</w:t>
      </w:r>
    </w:p>
    <w:p>
      <w:pPr>
        <w:pStyle w:val="ListParagraph"/>
        <w:numPr>
          <w:ilvl w:val="0"/>
          <w:numId w:val="2"/>
        </w:numPr>
        <w:spacing w:after="60"/>
      </w:pPr>
      <w:r>
        <w:rPr>
          <w:b/>
        </w:rPr>
        <w:t xml:space="preserve">Rentabilidad muy alta</w:t>
      </w:r>
      <w:r>
        <w:t xml:space="preserve">: ROIC del 39,6 % y margen operativo ajustado del 41 %, cinco puntos por encima de la media de sus pares [14].</w:t>
      </w:r>
    </w:p>
    <w:p>
      <w:pPr>
        <w:pStyle w:val="ListParagraph"/>
        <w:numPr>
          <w:ilvl w:val="0"/>
          <w:numId w:val="2"/>
        </w:numPr>
        <w:spacing w:after="60"/>
      </w:pPr>
      <w:r>
        <w:rPr>
          <w:b/>
        </w:rPr>
        <w:t xml:space="preserve">El volumen vuelve a tirar</w:t>
      </w:r>
      <w:r>
        <w:t xml:space="preserve">: ventas ajustadas +7 % a tipo constante en el 2T26 y guía de 2026 subida dos veces [4, 55].</w:t>
      </w:r>
    </w:p>
    <w:p>
      <w:pPr>
        <w:pStyle w:val="ListParagraph"/>
        <w:numPr>
          <w:ilvl w:val="0"/>
          <w:numId w:val="2"/>
        </w:numPr>
        <w:spacing w:after="60"/>
      </w:pPr>
      <w:r>
        <w:rPr>
          <w:b/>
        </w:rPr>
        <w:t xml:space="preserve">Más caja por delante</w:t>
      </w:r>
      <w:r>
        <w:t xml:space="preserve">: el capex baja desde los 60.668 M DKK de 2025 a unos 55.000 M en 2026 y sigue bajando [1, 4].</w:t>
      </w:r>
    </w:p>
    <w:p>
      <w:pPr>
        <w:pStyle w:val="ListParagraph"/>
        <w:numPr>
          <w:ilvl w:val="0"/>
          <w:numId w:val="2"/>
        </w:numPr>
        <w:spacing w:after="60"/>
      </w:pPr>
      <w:r>
        <w:rPr>
          <w:b/>
        </w:rPr>
        <w:t xml:space="preserve">Dividendo del 4,7 %</w:t>
      </w:r>
      <w:r>
        <w:t xml:space="preserve"> y balance con rating AA y Aa3 [14].</w:t>
      </w:r>
    </w:p>
    <w:p>
      <w:pPr>
        <w:pStyle w:val="Heading2"/>
      </w:pPr>
      <w:r>
        <w:t xml:space="preserve">En contra</w:t>
      </w:r>
    </w:p>
    <w:p>
      <w:pPr>
        <w:pStyle w:val="ListParagraph"/>
        <w:numPr>
          <w:ilvl w:val="0"/>
          <w:numId w:val="2"/>
        </w:numPr>
        <w:spacing w:after="60"/>
      </w:pPr>
      <w:r>
        <w:rPr>
          <w:b/>
        </w:rPr>
        <w:t xml:space="preserve">Pierde cuota frente a Lilly</w:t>
      </w:r>
      <w:r>
        <w:t xml:space="preserve">: del 66,2 % del valor del mercado de GLP-1 e incretinas en 2023 al 47,5 % en 2025 [12, 15].</w:t>
      </w:r>
    </w:p>
    <w:p>
      <w:pPr>
        <w:pStyle w:val="ListParagraph"/>
        <w:numPr>
          <w:ilvl w:val="0"/>
          <w:numId w:val="2"/>
        </w:numPr>
        <w:spacing w:after="60"/>
      </w:pPr>
      <w:r>
        <w:rPr>
          <w:b/>
        </w:rPr>
        <w:t xml:space="preserve">Precio a la baja en EE. UU.</w:t>
      </w:r>
      <w:r>
        <w:t xml:space="preserve">: lista a 675 USD desde 2027 (−50 % en Wegovy) y precio de Medicare de 274 USD [4, 26].</w:t>
      </w:r>
    </w:p>
    <w:p>
      <w:pPr>
        <w:pStyle w:val="ListParagraph"/>
        <w:numPr>
          <w:ilvl w:val="0"/>
          <w:numId w:val="2"/>
        </w:numPr>
        <w:spacing w:after="60"/>
      </w:pPr>
      <w:r>
        <w:rPr>
          <w:b/>
        </w:rPr>
        <w:t xml:space="preserve">Precipicio de patentes</w:t>
      </w:r>
      <w:r>
        <w:t xml:space="preserve">: la semaglutida pierde la exclusividad en EE. UU. en 2032 y ya tiene genéricos en India, Canadá y Brasil [6, 28, 31].</w:t>
      </w:r>
    </w:p>
    <w:p>
      <w:pPr>
        <w:pStyle w:val="ListParagraph"/>
        <w:numPr>
          <w:ilvl w:val="0"/>
          <w:numId w:val="2"/>
        </w:numPr>
        <w:spacing w:after="60"/>
      </w:pPr>
      <w:r>
        <w:rPr>
          <w:b/>
        </w:rPr>
        <w:t xml:space="preserve">Gobierno controlado</w:t>
      </w:r>
      <w:r>
        <w:t xml:space="preserve">: la Fundación tiene el 77,28 % de los votos y cambió presidente, consejo y consejero delegado en 2025 [6, 39].</w:t>
      </w:r>
    </w:p>
    <w:p>
      <w:pPr>
        <w:pStyle w:val="ListParagraph"/>
        <w:numPr>
          <w:ilvl w:val="0"/>
          <w:numId w:val="2"/>
        </w:numPr>
        <w:spacing w:after="60"/>
      </w:pPr>
      <w:r>
        <w:rPr>
          <w:b/>
        </w:rPr>
        <w:t xml:space="preserve">Capital invertido triplicado</w:t>
      </w:r>
      <w:r>
        <w:t xml:space="preserve">: el ROIC cayó del 86,8 % en 2023 al 39,6 % en 2025.</w:t>
      </w:r>
    </w:p>
    <w:p>
      <w:pPr>
        <w:pStyle w:val="Heading2"/>
      </w:pPr>
      <w:r>
        <w:t xml:space="preserve">Qué tiene que pasar para que la tesis funcione</w:t>
      </w:r>
    </w:p>
    <w:p>
      <w:pPr>
        <w:spacing w:after="100"/>
      </w:pPr>
      <w:r>
        <w:t xml:space="preserve">La tesis depende de que el volumen compense la rebaja de precios de 2027 en EE. UU. La señal está en la guía del 3-feb-2027: si anticipa otra caída de ventas ajustadas de más del 5 % a tipo constante, el declive no toca fondo y el precio actual sería justo. La segunda señal es la cuota de nuevos pacientes de la Wegovy oral frente a la orforglipron de Lilly en las recetas semanales de IQVIA.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ajustadas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en el 1S26 y guía de 0 % a −6 % para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si el volumen compensa el precio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Recetas semanales de la Wegovy oral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&gt;265.000 (17-jul-2026)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&lt;200.000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defensa frente a la orforglipron de Lilly</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&lt;38 %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quiere mantenerlo estable hasta 2030</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unos 55.000 M DKK en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&gt;55.000 M DKK en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recuperación del flujo libre depende de que baje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Lilly en recetas de incretinas en EE. UU.</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&gt;70 %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Señal de pérdida de foso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8,1x / 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9,5x / 11,5x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Novo Nordisk nace en 1989 de la fusión de dos fabricantes daneses de insulina: Nordisk Gentofte, cuyo negocio arrancó en 1923, y Novo Industri, de 1925 [6]. En 2000 separó las enzimas industriales (Novozymes) y quedó como farmacéutica centrada en diabetes [89]. El giro decisivo fueron los análogos de GLP-1: Victoza (2009-2010), Ozempic (2017-2018) y Wegovy para la obesidad (2021) [88, 90], que la llevaron a ser la mayor empresa de Europa por capitalización. Su accionista de control es la Fundación Novo Nordisk, a través de Novo Holdings (77 % de los votos) [1]. Desde 2025 vive una crisis: competencia de Lilly, tres rebajas de guía, el relevo del consejero delegado por Mike Doustdar, 9.000 despidos y una junta extraordinaria en la que la Fundación impuso un consejo nuevo presidido por Lars Rebien Sørensen [9, 10, 11, 50]. La Wegovy oral (ene-2026) y el Capital Markets Day de sep-2026 abren la etapa actual [4, 18].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August Krogh, H. C. Hagedorn y A. Kongsted fundan el negocio de insulina que dará lugar a Nordisk Gentofte; en 1925 los hermanos Pedersen fundan Novo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1989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Novo Industri y Nordisk Gentofte en Novo Nordisk A/S [6].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las enzimas industriales en Novozymes (noviembre): Novo Nordisk queda como farmacéutica centrada en diabetes [89].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Victoza, primer análogo humano de GLP-1 de una vez al día, en Europa; aprobado en EE. UU. y Japón en enero de 2010 [88].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en EE. UU. y Canadá de Ozempic, GLP-1 semanal para la diabetes tipo 2 (febrero), base de las ventas actuales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FDA aprueba Wegovy para la obesidad (junio); la demanda supera a la capacidad y obliga a racionar el suministro [90].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 compra Catalent por 16.500 M USD y Novo Nordisk le compra tres plantas de llenado por 11.723 M USD (cierre el 18-dic) [1, 71].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rebajas de la guía de ventas a tipo constante (13-21 % en mayo, 8-14 % en agosto, 8-11 % en noviembre) [9, 10, 11]; Mike Doustdar sustituye a Lars Fruergaard Jørgensen como consejero delegado el 7-ago y en septiembre se anuncian unos 9.000 despidos [10, 11].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Puja perdida con Pfizer por Metsera y compra de Akero por 4.700 M USD más CVR (octubre-noviembre) [76, 79].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extraordinaria del 14-nov: la Fundación, como accionista mayoritario, renueva el consejo y Lars Rebien Sørensen pasa a presidirlo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la Wegovy oral en EE. UU. (5-ene), el lanzamiento de GLP-1 de mayor volumen en el país; guía de 2026 de ventas entre −5 % y −13 % [1, 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(21-sep): ambición de lanzar más de cinco multiblockbusters hasta 2030 y de vender más de 150.000 M DKK con la cartera nueva en 2035 [18].</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Novo Nordisk desarrolla, fabrica y vende medicamentos para enfermedades crónicas: </w:t>
      </w:r>
      <w:r>
        <w:rPr>
          <w:b/>
        </w:rPr>
        <w:t xml:space="preserve">diabetes</w:t>
      </w:r>
      <w:r>
        <w:t xml:space="preserve"> (Ozempic, Rybelsus, insulinas; 207.109 M DKK en 2025), </w:t>
      </w:r>
      <w:r>
        <w:rPr>
          <w:b/>
        </w:rPr>
        <w:t xml:space="preserve">obesidad</w:t>
      </w:r>
      <w:r>
        <w:t xml:space="preserve"> (Wegovy y Saxenda; 82.347 M DKK) y </w:t>
      </w:r>
      <w:r>
        <w:rPr>
          <w:b/>
        </w:rPr>
        <w:t xml:space="preserve">enfermedades raras</w:t>
      </w:r>
      <w:r>
        <w:t xml:space="preserve"> (hemofilia y hormona de crecimiento; 19.608 M DKK), sobre unas ventas de 309.064 M DKK [1]. EE. UU. pesa el 56 % (173.166 M DKK) y el resto del mundo el 44 % [1]. Trató a 45,6 millones de pacientes en 2025 (42,0 con diabetes y 3,6 con obesidad) con 69.505 empleados [1]. Vende a mayoristas, hospitales y farmacias, cobra a través de aseguradoras, gestores de prestaciones farmacéuticas (PBM) y programas públicos y, desde 2025-2026, directamente al paciente: la farmacia propia NovoCare y nueve plataformas de telemedicina, donde la Wegovy oral, lanzada el 5-ene-2026, se vende a 149-299 USD al mes [4]. Fabrica en red propia, ampliada en 2024 con las tres plantas de llenado compradas a Catalent por 82.146 M DKK [1].</w:t>
      </w:r>
    </w:p>
    <w:p>
      <w:pPr>
        <w:pStyle w:val="Heading2"/>
      </w:pPr>
      <w:r>
        <w:t xml:space="preserve">Cómo gana dinero</w:t>
      </w:r>
    </w:p>
    <w:p>
      <w:pPr>
        <w:spacing w:after="100"/>
      </w:pPr>
      <w:r>
        <w:t xml:space="preserve">Casi todo el ingreso es recurrente: tratamientos crónicos que el paciente usa durante años. El margen depende del </w:t>
      </w:r>
      <w:r>
        <w:rPr>
          <w:b/>
        </w:rPr>
        <w:t xml:space="preserve">precio neto en EE. UU.</w:t>
      </w:r>
      <w:r>
        <w:t xml:space="preserve"> más que del volumen. En 2025 las ventas brutas fueron 729.423 M DKK y los descuentos 420.359 M [1]; en EE. UU. los descuentos (seguros privados y Medicare, devoluciones a mayoristas, Medicaid) fueron 394.631 M, el 69,5 % de las ventas brutas del país (estimación propia: 394.631 ÷ (173.166 + 394.631)) [1]. Un punto de descuento en EE. UU. mueve unos 5.700 M DKK de ventas casi sin coste asociado. Por eso el acuerdo de «nación más favorecida» con la Administración de EE. UU. (nov-2025), el programa Bridge de Medicare para la obesidad (desde el 1-jul-2026) y el canal de autopago cambian la economía: más pacientes a menor precio por unidad [4]. La guía de 2026 prevé ventas ajustadas entre −5 % y −13 % a tipo constante por precios más bajos [1]. Hay poca estacionalidad; el apalancamiento operativo es alto (I+D y fábricas son costes fijos).</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y diabetes (Obesity and Diabetes care)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121.597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215.098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271.764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289.456</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Enfermedades raras (Rare disease)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19.203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20.542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18.639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19.608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concentración es alta en el canal: tres mayoristas estadounidenses supusieron el 23 %, el 18 % y el 14 % de las ventas netas mundiales de 2025 (55 % en conjunto; 57 % en 2024) [1]. Pero quien decide el precio no es el mayorista sino el pagador: los tres grandes PBM (que fijan las listas de cobertura), Medicare y Medicaid [1, 4]. No hay contratos largos: los acuerdos de cobertura se renegocian cada año y CVS Caremark añadirá desde el 1-oct-2026 otros fármacos de obesidad junto a Wegovy en sus listas comerciales más grandes [4]. El </w:t>
      </w:r>
      <w:r>
        <w:rPr>
          <w:b/>
        </w:rPr>
        <w:t xml:space="preserve">poder de precios se ha invertido</w:t>
      </w:r>
      <w:r>
        <w:t xml:space="preserve">: las ventas de Wegovy inyectable cayeron un 22 % a tipo constante en el 2T26 por precios realizados más bajos pese a más volumen [4], y la cuota de Novo en el valor del mercado mundial de la diabetes bajó 3,6 puntos en 2025, al 30,1 % [1]. Sigue líder en volumen de obesidad de marca (59,6 % en 2025) [1]. En el 2T26, de unas 310.000 recetas semanales de Wegovy inyectable en EE. UU., 120.000 fueron de autopago [4].</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Wegovy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58.206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79.106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 51.015 e Internacional 28.091 en 2025; en el 2T26, recetas semanales de Wegovy en EE. UU. ~575.000, de ellas ~265.000 de la pastilla [1,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Ozempic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120.342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127.089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 más vendido; EE. UU. 88.467. En el 1T26 la diabetes GLP-1 en EE. UU. cayó por volumen y precio [1,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Rybelsus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23.301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22.093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Cae en EE. UU. (8.833 frente a 10.795) y crece en Internacional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de insulinas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55.373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53.137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Levemir prácticamente desaparece en EE. UU. (6 frente a 2.451)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Obesidad frente a diabetes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65.146 / Diabetes 206.618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82.347 / Diabetes 207.109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Obesidad +26,4 %; diabetes +0,2 %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obesidad pasa del 22 % al 27 % de las ventas; 1S26 obesidad 44.064 M (+19 % a tipo constante)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EE. UU. frente a Internacional (ventas, M DKK)</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167.402 / IO 122.999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173.166 / IO 135.898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EE. UU. +3,4 %; IO +10,5 %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1S26 ajustado: EE. UU. 76.254 M (-4 % a tipo constante), IO 72.297 M (+8 %) [1, 4,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frente a precio (2T26)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1T26: ventas ajustadas -4 %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2T26: ventas ajustadas +7 % a tipo constante</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Volumen al alza, precio realizado a la baja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cuantifica el reparto: atribuye el 2T26 al volumen de GLP-1 en ambas unidades, compensado en parte por precios realizados más bajos, y a ajustes favorables de descuentos en EE. UU. [4, 5,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Plantilla (personas, fin de año)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77.349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69.505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Reestructuración de ~9.000 puestos anunciada el 10-sep-2025; -13.000 FTE (-16 %) de agosto de 2025 a agosto de 2026 [1,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los análogos de GLP-1 e incretinas de marca para diabetes tipo 2 y obesidad, en todo el mundo; las insulinas son un mercado maduro aparte, en el que Novo tiene el 28,9 % del volumen en EE. UU. y el 46,4 % fuera [12]. La serie es una </w:t>
      </w:r>
      <w:r>
        <w:rPr>
          <w:b/>
        </w:rPr>
        <w:t xml:space="preserve">estimación propia</w:t>
      </w:r>
      <w:r>
        <w:t xml:space="preserve">: suma las ventas de GLP-1 de Novo (GLP-1 para diabetes más Obesity care) [3, 8, 12, 22] y las incretinas de Eli Lilly (Trulicity, Mounjaro y Zepbound) [15, 21], convertidas a DKK al cambio de cierre de cada año (BCE) [17]; deja fuera a terceros que no llegan a un 2 % del mercado. Como contraste, J.P. Morgan estima un mercado mundial de incretinas de 200.000 M USD en 2030 [23], que es el dato de 2030e. En volumen, el mercado de obesidad de marca creció un 81 % (MAT mayo-2026) y el de GLP-1 para diabetes un 29 %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493.800 M DKK en 2025 (≈ 77.700 M USD), estimación propia con las ventas de Novo y Lilly [12, 15]; J.P. Morgan prevé 200.000 M USD en 2030 [23].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20,8 %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DKK (ventas de GLP-1 de Novo más incretinas de Lilly, al cambio de cierre; 2030e de J.P. Morgan))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Prevalencia y baja penetración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900 millones de personas con obesidad y más de 550 millones con diabetes [18]; la penetración del tratamiento de la obesidad es inferior al 2 % [19] y solo el ~7 % de los diagnosticados con diabetes tipo 2 recibe un GLP-1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Expansión del volumen de obesidad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mundial de obesidad de marca creció un 104 % en 2025 y un 81 % en el MAT a mayo-2026 (EE. UU. +87 %) [4, 12]; en EE. UU. las recetas de incretinas crecieron un 31 % en el 2T26 y las de obesidad un 78 % [25].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precio neto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nov-2025 con la Casa Blanca: 245 USD/mes en Medicare y Medicaid y 350 USD/mes en TrumpRx bajando a 245 en dos años [27]; precio máximo de Medicare de 274 USD/mes desde 2027, un 71 % por debajo del de lista [26]; Novo baja el precio de lista de Wegovy y Ozempic a 675 USD desde el 1-ene-2027 (−50 % y −35 %) [4]. Las ventas de Wegovy inyectable en EE. UU. cayeron un 22 % en el 2T26 por precio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Formas orales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Wegovy en pastilla (lanzada el 5-ene-2026) superó 5 millones de recetas en 30 semanas y ~265.000 recetas semanales [4, 5]; ~1,5 millones de pacientes en el mundo [18]. Lilly lanzó Foundayo (orforglipron) en EE. UU. en el 2T26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Genéricos lanzados en India (mar-2026) y Canadá (may-2026), aprobados en Brasil (29-jul-2026) y Sudáfrica (jul-2026) [28, 31]; en China la patente venció en mar-2026 y la protección de datos dura hasta abr-2027 [29]; en EE. UU. la patente de compuesto vence en 2032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Cobertura de Medicare y canal de autopago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programa Bridge da cobertura de obesidad en Medicare desde el 1-jul-2026 [4]; el autopago gana peso (120.000 de las ~310.000 recetas semanales de Wegovy inyectable [4]; 45 % de las de Zepbound [25]) con más volumen y menos precio por paciente.</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con guerra de precios: Lilly se lleva ~6 de cada 10 recetas de incretinas en EE. UU. [25] y su tirzepatida facturó en el 2T26 un 60 % más que la semaglutida de Novo en DKK (estimación propia con [4, 16]).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EE. UU. negocian pocos PBM y el Estado; los descuentos de Novo rondan el 70-75 % de las ventas brutas desde 2020 [5] y Medicare fijó para la semaglutida un precio un 71 % inferior al de lista [26].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materias primas no pesan en la rentabilidad [6]; el riesgo está en la capacidad subcontratada: Novo cargó ~3.000 M DKK en el 2T26 por redimensionar contratos de fabricación [4].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es la escala de fabricación de péptidos (capex de Novo de 60.000 M DKK en 2025 y ~55.000 M en 2026 [4]), pero varias grandes farmacéuticas y biotecnológicas desarrollan fármacos contra la obesidad [6] y los genéricos de semaglutida ya están en India, Canadá y Brasil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copias de farmacia (compounding) siguen permitidas para recetas individualizadas [30]; Hims &amp; Hers dejó de anunciarlas en mar-2026 tras un acuerdo con Novo [30]. Los orales de molécula pequeña (Foundayo) abaratan la producción [16].</w:t>
            </w:r>
          </w:p>
        </w:tc>
      </w:tr>
    </w:tbl>
    <w:p>
      <w:pPr>
        <w:spacing w:after="160" w:before="0"/>
      </w:pPr>
    </w:p>
    <w:p>
      <w:pPr>
        <w:pStyle w:val="Heading2"/>
      </w:pPr>
      <w:r>
        <w:t xml:space="preserve">Ciclo</w:t>
      </w:r>
    </w:p>
    <w:p>
      <w:pPr>
        <w:spacing w:after="100"/>
      </w:pPr>
      <w:r>
        <w:t xml:space="preserve">El volumen crece a doble dígito (obesidad +81 % y GLP-1 de diabetes +29 % en el MAT a mayo-2026 [4]), pero el valor ya no acompaña por la caída del precio: Novo prevé para 2026 ventas ajustadas entre 0 % y −6 % a tipo constante [5]. La demanda no depende del ciclo económico: Novo creció en 2020 (126.946 M DKK frente a 122.021 M en 2019) [3] y en 2022 (176.954 M, +26 %) [22]. El riesgo del sector es regulatorio y de precio, no macroeconómico.</w:t>
      </w:r>
    </w:p>
    <w:p>
      <w:pPr>
        <w:pStyle w:val="Heading2"/>
      </w:pPr>
      <w:r>
        <w:t xml:space="preserve">Regulación</w:t>
      </w:r>
    </w:p>
    <w:p>
      <w:pPr>
        <w:spacing w:after="100"/>
      </w:pPr>
      <w:r>
        <w:t xml:space="preserve">En EE. UU., el acuerdo de «nación más favorecida» de 6-nov-2025 fija 245 USD/mes para Medicare y Medicaid, 350 USD/mes en TrumpRx bajando a 245 en dos años y 149 USD/mes para la dosis inicial de las pastillas; Novo obtuvo tres años sin aranceles a cambio de invertir 10.000 M USD más en EE. UU. [27]. La negociación de Medicare (IRA) fijó para la semaglutida 274 USD/mes desde 2027 [26]. Novo rebaja el precio de lista a 675 USD desde el 1-ene-2027 [4]. Medicaid redujo la cobertura de obesidad [4]. Patentes: la de compuesto de semaglutida vence en 2032 en EE. UU. [6]; en China venció el 20-mar-2026, con protección de datos hasta abr-2027 [29].</w:t>
      </w:r>
    </w:p>
    <w:p>
      <w:pPr>
        <w:pStyle w:val="Heading2"/>
      </w:pPr>
      <w:r>
        <w:t xml:space="preserve">Tendencias y disrupción</w:t>
      </w:r>
    </w:p>
    <w:p>
      <w:pPr>
        <w:spacing w:after="100"/>
      </w:pPr>
      <w:r>
        <w:t xml:space="preserve">El paciente actúa como consumidor: la venta directa (NovoCare Pharmacy, telemedicina y suscripciones) y los precios de autopago de 149-299 USD/mes de Wegovy en pastilla desplazan el canal reembolsado [4, 18]. La forma oral amplía el mercado (~1,5 millones de pacientes en ocho meses [18]) y Novo lleva ventaja: ~172.000 recetas semanales de su pastilla frente a 34.219 de Foundayo en ago-2026 (IQVIA) [24]. Pierde en inyectables, donde Lilly tiene ~7 de cada 10 recetas en EE. UU. [25]. La siguiente ola son combinaciones con amilina (CagriSema, decisión de la FDA en el 4T26) y triples agonistas [19].</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valor en GLP-1 e incretinas desde 2025, por detrás de Eli Lilly: 47,5 % en 2025 frente al 66,2 % de 2023 (estimación propia con las ventas de ambos [12, 15, 22]) y ~37 % en el 1S26 (113.579 M DKK de Novo frente a 29.831 M USD de Lilly a 6,40 DKK/USD [4, 16]). En volumen sigue primero: 54,6 % del mercado mundial de GLP-1 a nov-2025 (IQVIA), 44,8 % en EE. UU. y 61,6 % fuera [12], y 58 % en Operaciones Internacionales en abr-2026 [5]. En EE. UU., Lilly declara ~6 de cada 10 recetas de incretinas en el 2T26 [25]. En insulina, 28,9 % del volumen en EE. UU. y 46,4 % fuera [12].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 and Company</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LLY</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414.312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65.179 M USD en 2025 a 6,3565 DKK/USD [15, 17]; EBIT de 26.302 M USD (ingresos menos coste de ventas, I+D, comercial, I+D adquirida y deterioros; estimación propia) [15]. La tirzepatida (Mounjaro y Zepbound) facturó 36.507 M USD en 2025 y el 65 % de sus ingresos del 1S26 [15, 16]. Lanzó Foundayo (orforglipron oral) para obesidad en EE. UU. en el 2T26 y lo presentó para diabetes en EE. UU., UE y Japón [16]. Varios genéricos han pedido aprobar copias de Mounjaro y Zepbound (jul-2026) [16].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SAN.PA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348.917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46.716 M EUR de ingresos 2025 (ventas más otros ingresos) y 6.344 M EUR de resultado de explotación, a 7,4689 DKK/EUR [17, 35]. Competidor en insulinas, mercado donde Novo pierde cuota [4]; sin GLP-1 relevante a la fecha de corte.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AZN.L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373.375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58.739 M USD de ingresos 2025 y 13.743 M USD de resultado de explotación [17, 36]. Grupo diversificado que figura entre los comparables de crecimiento elegidos por Novo [18]; sin cuota relevante en GLP-1.</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Amgen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AMGN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233.608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36.751 M USD de ingresos 2025 y 9.080 M USD de resultado de explotación [17, 32]. Sin ventas en obesidad a la fecha de corte; competidor potencial con candidatos en desarrollo.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Pfizer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397.783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62.579 M USD de ingresos 2025 [17, 33]. Pfizer no publica EBIT: el margen es el resultado antes de impuestos (7.520 M USD) sobre ingresos. Sin ventas en obesidad a la fecha de corte; competidor potencial.</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Viking Therapeutics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VKTX</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Biotecnológica sin ingresos; pérdida de explotación de 393 M USD en 2025 (≈ 2.500 M DKK) [17, 34]. Ilustra el coste de entrar: todo el gasto va a ensayos de obesidad.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efectos de red en la venta de medicamentos; la experiencia acumulada (más de 50 millones de pacientes-año con semaglutida [9]) pesa en el médico, pero no impidió que Lilly pasara a liderar las recetas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Bajos: Wegovy perdió el liderato de recetas de obesidad en EE. UU. a principios de 2025 y Ozempic el de diabetes durante 2025 [3]; la cuota de Novo en valor bajó del 66,2 % (2023) al 47,5 % (2025), estimación propia con [2, 4, 14].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Ozempic (127.089 M DKK) y Wegovy (79.106 M DKK) en 2025 [3]; patente de compuesto de semaglutida hasta 2032 en EE. UU. [3], pero ya hay genéricos en India, Canadá y Brasil [21, 24] y en China caduca la protección de datos en abr-2027 [22]. Siete genéricos de Ozempic firmaron acuerdos confidenciales en EE. UU.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explotación de 2025 del 41,3 % (44,2 % en 2024) [2], parejo con el 40,4 % estimado de Lilly [4]; el margen bruto de Novo (81,0 % en 2025 [2]; 79,3 % ajustado en el 1S26 [1]) ya es inferior al de Lilly (83,0 % en 2025, estimación propia con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Mayor fabricante mundial de insulina y GLP-1: 26 millones de pacientes con insulina, 15 con GLP-1 para diabetes y 4 con GLP-1 para obesidad en 2025 [7]; 14 plantas de llenado tras comprar tres de Catalent por 11.700 M USD [3, 7]; capex de 60.000 M DKK en 2025 [1]. El duopolio con Lilly limita el número de rivales que pueden fabricar a esa escala.</w:t>
            </w:r>
          </w:p>
        </w:tc>
      </w:tr>
    </w:tbl>
    <w:p>
      <w:pPr>
        <w:spacing w:after="160" w:before="0"/>
      </w:pPr>
    </w:p>
    <w:p>
      <w:pPr>
        <w:pStyle w:val="Heading2"/>
      </w:pPr>
      <w:r>
        <w:t xml:space="preserve">Amenazas</w:t>
      </w:r>
    </w:p>
    <w:p>
      <w:pPr>
        <w:spacing w:after="100"/>
      </w:pPr>
      <w:r>
        <w:t xml:space="preserve">La principal es Lilly: con la tirzepatida tiene ~6 de cada 10 recetas de incretinas en EE. UU. y ~7 de cada 10 en inyectables [25], y su oral Foundayo crece (+16 % semanal en ago-2026) [24]; la probabilidad de que Novo siga perdiendo cuota en inyectables es alta. Segunda, el precio: 245 USD/mes en Medicare y Medicaid, 274 USD de precio máximo desde 2027 y lista a 675 USD desde ene-2027 [4, 26, 27]. Tercera, los genéricos de semaglutida fuera de EE. UU. (India, Canadá, Brasil, Sudáfrica en 2026; China desde abr-2027) [28, 29, 31]: en Canadá ya bajan el precio realizado con volúmenes estables [4]. Cuarta, el compounding, contenido pero legal para recetas individualizadas [30].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64.669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176.954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82.171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74.809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232.261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111.987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102.574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290.403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128.339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309.064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152.635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130.653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p>
      <w:pPr>
        <w:spacing w:after="100"/>
      </w:pPr>
      <w:r>
        <w:t xml:space="preserve">Crecimiento anual compuesto 2021-2025: ingresos </w:t>
      </w:r>
      <w:r>
        <w:rPr>
          <w:b/>
          <w:bCs/>
        </w:rPr>
        <w:t xml:space="preserve">21,7 %</w:t>
      </w:r>
      <w:r>
        <w:t xml:space="preserve">, EBITDA </w:t>
      </w:r>
      <w:r>
        <w:rPr>
          <w:b/>
          <w:bCs/>
        </w:rPr>
        <w:t xml:space="preserve">23,9 %</w:t>
      </w:r>
      <w:r>
        <w:t xml:space="preserve">, BPA </w:t>
      </w:r>
      <w:r>
        <w:rPr>
          <w:b/>
          <w:bCs/>
        </w:rPr>
        <w:t xml:space="preserve">22,1 %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DKK,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pasan de 140.800 M DKK en 2021 a 309.064 M en 2025 (x2,2), todo orgánico salvo las plantas de Catalent, que aportan capacidad y no ventas [1, 2]. El crecimiento a tipo constante se frena del 35,6 % de 2023 al 25,7 % de 2024 y al 10,3 % de 2025 [1]. El margen operativo se mantiene en el 41-44 % hasta 2024 y cae 290 pb en 2025, al 41,3 %: el margen bruto pierde 370 pb (84,7 % a 81,0 %) por los costes de reestructuración (~3.000 M en el coste de ventas), deterioros de plantas y la amortización de las plantas de Catalent [1, 11]. La I+D sube del 12,6 % de las ventas en 2021 al 16,8 % en 2025, y los gastos comerciales bajan del 26,3 % al 20,8 % [1]. Las amortizaciones y deterioros saltan de 9.413 M en 2023 a 19.107 M en 2024 (deterioro de ocedurenona de 5.700 M) y 21.982 M en 2025 [1, 12]. En el 1S26 el beneficio operativo publicado sube un 20 % (86.679 M) solo por la reversión del 340B; el ajustado baja de 69.591 M a 66.247 M [4]. 2024 no es comparable en balance por Catalent.</w:t>
      </w:r>
    </w:p>
    <w:p>
      <w:pPr>
        <w:pStyle w:val="Heading2"/>
      </w:pPr>
      <w:r>
        <w:t xml:space="preserve">Ajustes y partidas no recurrentes</w:t>
      </w:r>
    </w:p>
    <w:p>
      <w:pPr>
        <w:spacing w:after="100"/>
      </w:pPr>
      <w:r>
        <w:t xml:space="preserve">Desde 2026 Novo publica ventas y beneficio operativo ajustados, que excluyen las reversiones de la provisión del 340B (2.649 M DKK de ventas en el 2T25 y 26.760 M en el 1T26), los deterioros de más de 1.000 M (6.328 M en el 2T26, 4.000 M de ellos de monlunabant) y los litigios de más de 1.000 M [4]. En 2025 la reestructuración costó 9.366 M: 5.220 M de indemnizaciones y 424 M de contratos cancelados (dentro del EBITDA), y 2.370 M de deterioro de inmovilizado y 1.352 M de intangibles (fuera del EBITDA, en amortizaciones) [1]. Los no recurrentes dentro del EBITDA son: 2025, 5.644 M de reestructuración menos 2.649 M del 340B = 2.995 M; LTM jun-26, 5.644 M (3T25) menos 26.760 M (1T26) más ~3.000 M de costes únicos por redimensionar contratos de capacidad de fabricación (2T26, en el margen bruto; Novo no los ajusta) = -18.116 M [1, 4, 11]. No se ajustan los ajustes de descuentos de años anteriores, que se repiten: 4.193 M revertidos en 2025, 6.452 M en 2024 [1]. El BPA ajustado de 2025 (26,17 DKK) excluye además la amortización de intangibles [1]. El FCF del LTM (72.518 M) es estimación propia, con el mismo criterio de capex que los flujos: flujo operativo antes de intereses 133.902 M menos capex material 56.043 M, software ~528 M (cifra de 2025), intereses netos pagados 3.310 M y arrendamientos de 2025 (1.503 M). Las compras de intangibles de I+D del LTM (unos 27.500 M, sobre todo Akero) se tratan como adquisiciones.</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71.311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41.935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76.857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63.154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78.488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37.365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de crecimiento orgánico son a tipo de cambio constante (la empresa no tiene compras relevantes en el periodo), tomadas de cada informe trimestral [7, 8, 9, 10, 11, 12, 13], y sobre ventas publicadas, que incluyen las reversiones del 340B: el 1T26 sube un 32 % publicado pero baja un 4 % ajustado, y el 2T26 sube un 3 % publicado y un 7 % ajustado [4, 13]. El 2T25 llevaba ~3.000 M DKK de ajustes de descuentos de años anteriores y el 3T25 ~2.000 M de ajustes y ~1.000 M de compras de mayoristas [10, 11].</w:t>
      </w:r>
    </w:p>
    <w:p>
      <w:pPr>
        <w:spacing w:after="100"/>
      </w:pPr>
      <w:r>
        <w:t xml:space="preserve">En mayo de 2026 la dirección guiaba una caída de las ventas y del beneficio operativo ajustados del 4 % al 12 % a tipo constante; en agosto la subió a una caída del 0 % al 6 % en ambas, por más ventas de GLP-1 [5]. Sin ajustar, el punto medio sería +5 % en ventas y +12 % en beneficio operativo [5]. El mensaje cambió de defender la base a la tracción del Wegovy oral: más de 5 millones de recetas en EE. UU. desde su lanzamiento el 5-ene-2026 y ~265.000 recetas semanales, el mejor lanzamiento de un GLP-1 en volumen [4, 5]. A la vez reconoció precios realizados más bajos, el fracaso del ensayo ZEUS de ziltivekimab y 6.328 M de deterioros en el 2T26 [4, 5]. En el Capital Markets Day del 21-sep-2026 fijó crecer en 2026-2030 al ritmo de sus pares con un margen operativo ajustado estable (41 % en 2025) y un capex en descenso desde el máximo de 2025 [14]. No se han leído transcripciones de las conferencias, así que este texto no recoge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194.508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51.394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59.361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23.574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314.486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60.406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21.280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465.630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76.479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143.486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542.902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130.053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100.721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122.386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103.996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194.047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(2024: Tres plantas de llenado y acabado de Catalent, compradas a Novo Holdings el 18-dic-2024 por 11.723 M USD (82.146 M DKK): entran en el balance de 2024 y casi nada en la cuenta; consolidan el año entero desde 2025.).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Novo pasó de caja neta a deuda: la deuda financiera sin arrendamientos sube de 21.280 M DKK en 2023 a 96.021 M en 2024 y 122.386 M en 2025, para pagar las plantas de Catalent (82.146 M) y luego Akero [1]. En 2025 emitió once tramos de eurobonos por 10.000 M EUR y devolvió los préstamos puente; la deuda neta de la empresa fue de 95.424 M (0,64x el EBITDA) [1, 14]. En 2026 devolvió 1.300 M EUR en mayo y emitió 1.090 M CHF en junio; hay 15.000 M EUR y 1.090 M CHF en bonos [4]. El circulante es negativo porque las provisiones de descuentos superan clientes y existencias; los clientes saltan de 70.856 M a 88.949 M en el 1S26 [4]. El inmovilizado material casi se triplica en dos años (90.961 M en 2023 a 208.378 M en 2025) por el capex de capacidad [1].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47.757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78.887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26.306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83.683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120.968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100.988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119.102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102.434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320.820</w:t>
      </w:r>
      <w:r>
        <w:t xml:space="preserve">, conversión </w:t>
      </w:r>
      <w:r>
        <w:rPr>
          <w:b/>
          <w:bCs/>
        </w:rPr>
        <w:t xml:space="preserve">82 %</w:t>
      </w:r>
      <w:r>
        <w:t xml:space="preserve"> del beneficio neto; adquisiciones 154.172, dividendos 174.490, recompras 95.026.</w:t>
      </w:r>
    </w:p>
    <w:p>
      <w:pPr>
        <w:spacing w:after="100"/>
      </w:pPr>
      <w:r>
        <w:t xml:space="preserve">El flujo operativo se dobla de 55.000 M DKK en 2021 a 119.102 M en 2025, pero el capex material se multiplica por diez (6.335 M a 60.140 M) y el FCF que publicaba la empresa cae de 68.326 M en 2023 a -14.707 M en 2024 (Catalent) y 28.295 M en 2025 [1]. Criterio del capex: inmovilizado material más altas de software; el resto de la compra de intangibles (derechos de propiedad intelectual y know-how: licencias y compras de cartera de I+D) va en adquisiciones. En 2025 la compra de intangibles fue de 29.973 M, de ellos 28.719 M de altas de propiedad intelectual (sobre todo Akero, contabilizada como compra de activos y no como combinación de negocios) y 528 M de software; en 2023, 13.090 M (12.567 M de propiedad intelectual, 500 M de software); en 2024, 4.145 M (710 M de software); en 2022, 2.607 M (1.426 M de software) [1, 2]. En 2021 no hay desglose y los 1.050 M quedan en capex. Así, las adquisiciones suman 29.445 M en 2025, 85.598 M en 2024 (82.163 M de Catalent), 12.590 M en 2023 y 8.256 M en 2022. Desde 2026 la empresa define el FCF como flujo operativo menos inmovilizado material: 61.000 M en 2025 y 55.300 M en el 1S26, con un capex material guiado de ~55.000 M y un FCF de 45.000-55.000 M para 2026 [4, 5, 14]. Novo dice que el capex tocó techo en 2025 y bajará hacia la media del sector, pero no separa mantenimiento y crecimiento. Estimación propia: si el mantenimiento se aproxima a la depreciación material (~8.100 M en 2025 = 14.666 M de amortizaciones menos 6.529 M de intangibles), ~52.000 M del capex de 2025 fue de capacidad, y el FCF sin ese capex ni la compra de Akero habría rondado 109.000 M. Los intereses fueron en el flujo operativo hasta 2025; desde 2026, en financiación e inversión [4].</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Statsautoriseret Revisionspartnerselskab (PCAOB 1294)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y sobre el control interno; asunto clave de auditoría: descuentos de ventas en EE. UU., incluidas las provisiones del 340B</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Deloitte audita a Novo desde 2021 y da opinión favorable sobre las cuentas y el control interno de 2025 [6]. El riesgo contable está en el reconocimiento de ingresos: las ventas netas salen de restar 420.359 M DKK de descuentos estimados a 729.423 M de ventas brutas, y la empresa revierte provisiones de años anteriores todos los años (2.364 M en 2023, 6.452 M en 2024, 4.193 M en 2025, más 26.760 M del 340B en el 1T26) [1, 4]. Un error del 1 % en los descuentos de EE. UU. mueve unos 3.900 M del beneficio operativo. Los deterioros de I+D se repiten: ocedurenona (5.700 M en el 2T24, comprada en 2023), 2.760 M de intangibles en 2025 y 6.328 M en el 2T26, de ellos 4.000 M de monlunabant (de Inversago, 2023) [1, 4, 12]. La empresa cambió en 2025-2026 la presentación del balance (fondo de comercio y deducciones de ventas en partidas propias), la definición del FCF y la clasificación de intereses, e introdujo métricas ajustadas: cada cambio está explicado, pero complica la comparación. La I+D no se capitaliza salvo licencias y compras. Altman, Piotroski y Beneish los calcula el motor; 2024 lleva el salto de activo de Catalent.</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Provisiones de descuentos en EE. UU. enormes y con reversiones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134.400 M DKK a fin de 2025; reversiones de 340B de 2.649 M (2T25) y 26.760 M (1T26) y ajustes de años anteriores todos los años [1,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de descuentos de años anteriores que mejoran trimestres concretos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4T24, 2T25 (~3.000 M), 3T25 (~2.000 M), 4T25 y 2T26 citan ajustes favorables en EE. UU. que la empresa no excluye de lo ajustado [4, 8, 10, 11,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Deterioros repetidos de activos comprados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Ocedurenona 5.700 M (2T24), monlunabant 4.000 M (2T26), 2.760 M de intangibles en 2025 [1, 4, 12].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Operación con el accionista de control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Catalent compradas a Novo Holdings por 82.146 M DKK, con 15.245 M de fondo de comercio y mecanismos de cierre aún abiertos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Cambios de definición y presentación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Métricas ajustadas desde 2026, nueva definición del FCF, intereses fuera del flujo operativo y reclasificaciones de balance en 2025 [1, 4, 14].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Subida de clientes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Clientes de 70.856 M a 88.949 M en seis meses con ventas ajustadas planas: vigilar los días de cobro [4].</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82.801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94.517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259.004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30,8 % · </w:t>
      </w:r>
      <w:r>
        <w:rPr>
          <w:b/>
          <w:bCs/>
        </w:rPr>
        <w:t xml:space="preserve">WACC</w:t>
      </w:r>
      <w:r>
        <w:t xml:space="preserve">: 6,8 %.</w:t>
      </w:r>
    </w:p>
    <w:p>
      <w:pPr>
        <w:spacing w:after="100"/>
      </w:pPr>
      <w:r>
        <w:t xml:space="preserve">Novo crea valor con holgura: su ROIC fue del 39,6 % en 2025 frente a un WACC del 6,85 %. Pero la tendencia es la contraria a la de los últimos años. El ROIC tocó el 86,8 % en 2023 y ha caído a menos de la mitad en dos ejercicios porque el capital invertido se ha triplicado, de 94.517 M DKK a 259.004 M, mientras el beneficio operativo después de impuestos se quedaba en unos 102.000 M en 2024 y 2025. Detrás están las plantas compradas a Catalent (82.163 M DKK en 2024) y un capex que pasó del 5,2 % de las ventas en 2021 al 19,6 % en 2025 [1]. El ROIC incremental del periodo, un 30,8 %, sigue siendo alto, pero el de 2024-2025 es casi nulo: más capital para el mismo beneficio. Eli Lilly, con un 42,2 % de ROIC y ventas que crecen un 24 %, rinde hoy más con su capital [66]. Con el capex a la baja desde 2026 (unos 55.000 M DKK) [4], la rotación debería recuperarse si las ventas vuelven a crecer.</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95.145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21.419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116.564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31-dic-2025: caja 26.464 M DKK + valores negociables 498 M + línea de crédito comprometida no dispuesta 24.401 M (3.267 M EUR, vence en 2030) + préstamo puente no dispuesto 7.469 M; reservas financieras de 48.151 M netas de la deuda que vence en 12 meses [1]. A 30-jun-2026 la caja era de 44.482 M [4].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Moody's Aa3 (subido el 22-ene-2025) y S&amp;P AA (subido el 19-may-2025); perspectiva no indicada en los documentos leídos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más grande no es deuda: las deducciones de ventas y devoluciones (descuentos en EE. UU., Medicaid, 340B, contracargos) suman 134.400 M DKK a fin de 2025 (135.909 M en 2024), el 39 % de todo el pasivo, y 141.730 M a junio de 2026 [1, 4]. Son estimaciones: el auditor las señala como asunto clave de auditoría, y en el 1T26 se revirtieron 26.760 M de la provisión del 340B [4, 6]. Otras provisiones (litigios, devoluciones de producto fuera de EE. UU., otras) 6.104 M y pensiones 861 M en 2025 [1]. La compra de las plantas de Catalent a Novo Holdings tiene mecanismos de cierre: 1.004 M ya cobrados y posibles ajustes futuros que irían a resultados [1]. No hay covenants financieros en los documentos leídos. Desde 2025 hay papel comercial (745 M) y préstamos bancarios casi amortizados (384 M) [1].</w:t>
      </w:r>
    </w:p>
    <w:p>
      <w:pPr>
        <w:pStyle w:val="Heading1"/>
      </w:pPr>
      <w:r>
        <w:t xml:space="preserve">12. Asignación de capital</w:t>
      </w:r>
    </w:p>
    <w:p>
      <w:pPr>
        <w:pStyle w:val="Confianza"/>
        <w:spacing w:after="100"/>
      </w:pPr>
      <w:r>
        <w:t xml:space="preserve">Confianza: Media</w:t>
      </w:r>
    </w:p>
    <w:p>
      <w:pPr>
        <w:spacing w:after="100"/>
      </w:pPr>
      <w:r>
        <w:t xml:space="preserve">Novo reparte cerca del 50 % del beneficio (payout del 49,6 % al 50,7 % en 2021-2025) en dos pagos: un dividendo a cuenta en agosto y el complementario tras la junta de marzo [1]. Para 2025 fueron 11,70 DKK por acción (3,75 a cuenta y 7,95 complementario) y para 2026 hay 3,75 DKK a cuenta pagados el 18-ago-2026 [1, 4]. Lleva 31 años seguidos subiendo el dividendo por acción [14]. Las recompras bajaron de 29.924 M en 2023 a 1.388 M en 2025; en 2026 hay un programa de hasta 15.000 M en 12 meses desde el 4-feb-2026, con 7.533 M ejecutados a 3-ago-2026 [1, 4]. Prioridades declaradas: crecimiento interno, dividendo por acción atractivo, compras pequeñas para la cartera de I+D y recompras flexibles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46.741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64.317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25.303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29.924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4.494,8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51.763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4.447,7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Dicerna Pharmaceuticals (ARN de interferencia)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 puente refinanciado en 2022 con eurobonos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de I+D sin ventas; no se ha evaluado su resultado en esta nota [1, 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Forma Therapeutics (etavopivat, anemia falciforme)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7.075</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Etavopivat completó con éxito la fase 3 HIBISCUS en 2026; presentación a EE. UU. y la UE prevista en el 4T26 [2, 5].</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(monlunabant, obesidad) y ocedurenona (KBP Biosciences, hipertensión)</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(compras de intangibles: 13.090 M en 2023)</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Mal: ocedurenona deteriorada en 5.700 M en el 2T24 y monlunabant en 4.000 M en el 2T26 [1, 4, 12].</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y acabado de Catalent, compradas a Novo Holdings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Préstamos puente y papel comercial, refinanciados con eurobonos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no ventas: 41.102 M de know-how y 15.245 M de fondo de comercio; elevan amortizaciones y coste de ventas desde 2025, y en el 2T26 hubo ~3.000 M de costes por redimensionar contratos de capacidad [1, 4,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(efruxifermin, MASH)</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Eurobonos emitidos en 2025</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Contabilizada como compra de activos dentro de los 28.719 M de altas de propiedad intelectual de 2025 (en adquisiciones en los flujos de esta nota); la fase 3 sigue en curso, con resultados de seguridad previstos en el 4T26 [1, 5].</w:t>
            </w:r>
          </w:p>
        </w:tc>
      </w:tr>
    </w:tbl>
    <w:p>
      <w:pPr>
        <w:spacing w:after="160" w:before="0"/>
      </w:pPr>
    </w:p>
    <w:p>
      <w:pPr>
        <w:spacing w:after="100"/>
      </w:pPr>
      <w:r>
        <w:t xml:space="preserve">En 2021-2025 Novo generó 482.865 M DKK de flujo operativo y los usó así: 155.805 M de capex (inmovilizado material y software), 154.172 M en compras de negocios y de activos de I+D (82.163 M de ellos en Catalent, 2024, y ~28.700 M en Akero y otras licencias en 2025), 174.490 M en dividendos y 95.026 M en recompras [1, 2]. Como el flujo no alcanzó, la deuda financiera sin arrendamientos pasó de 22.516 M a 122.386 M [1, 3]. Las acciones diluidas bajaron de 4.606 M a 4.448 M (-3,4 %) por las recompras [1, 2]. Las compras de I+D tienen un historial irregular: dos de las de 2023 se deterioraron en 9.700 M en total; Forma (etavopivat) sí ha dado una fase 3 positiva [1, 4, 5, 12]. La compra de Catalent a su propio accionista de control es la mayor de su historia y todavía no tiene un rendimiento medible por separado.</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Maziar Mike Doustdar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 (CEO)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Novo Nordisk en 1992 como administrativo en Viena; dirigió Operaciones Internacionales como vicepresidente ejecutivo desde 2015 y es consejero delegado desde el 7-ago-2025 [6]. En su primer año el grupo creció un 10,3 % en ventas y un 6,0 % en beneficio operativo a tipo constante, frente a una guía inicial de 16-24 % y 19-27 %, y su variable anual pagó el 24,7 % del máximo [8, 38]. Tenía 107.569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Karsten Munk Knudsen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y director financiero (CFO)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el grupo desde 1999 (NNIT), director financiero de la filial de EE. UU. de 2010 a 2014 y CFO desde febrero de 2018; asumió Legal y Compras en 2019, Global Solutions en 2022 y Estrategia corporativa en 2025 [6, 38]. Con él las ventas crecieron un 35,6 % y un 25,7 % a tipo constante en 2023 y 2024 y un 10,3 % en 2025 [38]. Tenía 238.828 acciones B a cierre de 2025 y vendió 26.557 (8,4 M DKK) el 10-feb-2026 [38, 48].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(y presidente de la Novo Nordisk Foundation)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Novo Nordisk de 2000 a 2016 y presidente de Novo Holdings de 2018 a 2025 [52]. Elegido presidente en la junta extraordinaria del 14-nov-2025 a propuesta de la Fundación, con el mandato declarado de apoyar la transformación y preparar a su sucesor [40]. Tenía 571.746 acciones B a cierre de 2025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Martin Holst Lange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I+D y director científico (CSO)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Novo Nordisk desde 2002; vicepresidente ejecutivo de Desarrollo desde 2021 y, desde agosto de 2025, de la I+D unificada [6]. En 2025 se cumplieron 10 de 12 hitos de I+D y sostenibilidad del variable anual, pero fracasaron EVOKE y EVOKE+ (semaglutida en Alzheimer) [38]. Vendió 22.000 acciones (7,0 M DKK) en feb-2026 para pagar impuestos del LTIP [47].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 Kongshøj Larsen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de Operaciones Internacionales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empresa desde 2007; dirigió Europa del Noroeste (2022) y Europa y Canadá con 40 países (2024) antes de sustituir a Doustdar al frente de todo el negocio fuera de EE. UU. en agosto de 2025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Jamey Millar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ejecutivo de Operaciones de EE. UU. y presidente de Novo Nordisk Inc.</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Fichado el 5-feb-2026 desde UnitedHealth Group, donde era consejero delegado de Optum Specialty Holdings y llevó relaciones con la industria (formularios, contratos con fabricantes); antes, 20 años en GSK [6]. Sustituye a David Moore, que solo estuvo un año al frente de EE. UU. [6].</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+5-9 % y beneficio operativo +4-8 % a tipo constante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+13,8 % y beneficio operativo +12,7 %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+6-10 % y beneficio operativo +4-8 % a tipo constante [3]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+16,4 % y beneficio operativo +14,6 %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y beneficio operativo +13-19 % a tipo constante [54]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+35,6 % y beneficio operativo +43,7 %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+18-26 % y beneficio operativo +21-29 % a tipo constante [22]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+25,7 % y beneficio operativo +26,2 %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+16-24 % y beneficio operativo +19-27 % (feb); rebajada a 8-14 % y 10-16 % en agosto y a 8-11 % y 4-7 % en noviembre [8, 10, 11]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+10,3 % y beneficio operativo +6,0 % a tipo constante [38]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y beneficio operativo ajustados de −5 % a −13 % a tipo constante (feb); −4 % a −12 % en mayo; 0 % a −6 % en agosto [12, 13, 55]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la guía se ha elevado dos veces en 2026 [13,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se rompió en 2025: tras cuatro años batiendo o cumpliendo el rango inicial (2021-2024), la dirección lo rebajó dos veces y cerró con un crecimiento del beneficio operativo de 6,0 % frente al 19-27 % prometido en febrero [8, 11, 38]. En 2026 partió de una guía prudente (−5 % a −13 %) y la ha subido dos veces [12, 13, 55]. La estabilidad es baja: en 2025-2026 cambiaron el consejero delegado, el presidente y cinco de los vicepresidentes ejecutivos (Comercial, Investigación, Producción, Cartera y EE. UU.), con nuevos jefes de EE. UU. y de Cartera traídos de fuera [6]. El director financiero, en el cargo desde 2018, es la principal pieza de continuidad. La sucesión del propio presidente está abierta: Sørensen dijo en la junta extraordinaria que la doble presidencia (Fundación y Novo Nordisk) se eliminaría «tan pronto como sea posible», sin garantizarlo en 18 meses [50]. El plan a 2030 presentado el 21-sep-2026 promete crecer en línea con la industria, sin cifra propia [18].</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Lars Rebien Sørensen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(presidente del consejo de la Novo Nordisk Foundation)</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la Chair Committee y de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Cees de Jong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(preside Novonesis A/S, participada de Novo Holdings)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Remuneración; Chair Committee;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Stephan Engels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(ex director financiero de Danske Bank)</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Auditoría; 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Britt Meelby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(consejera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Kasim Kutay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(consejero delegado de Novo Holdings A/S)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Helena Saxon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directora financiera de Investor AB)</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Jan van de Winkel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Ramona Sequeira</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(ex presidenta de la división de cartera global de Takeda)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I+D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Mette Bøjer Jensen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Elisabeth Dahl Christensen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Semsi Kilic Madsen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People &amp; Governance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Désirée Jantzen Asgreen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elegida por los empleados</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I+D</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42 %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27,2 %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y sobre el control interno; asunto clave de auditoría: descuentos de ventas en EE. UU., incluidas las provisiones del 340B</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2,02 / ventas 21,05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Holdings A/S (Novo Nordisk Foundation)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las 1.074,9 M acciones A (10 votos cada una) y 177,6 M acciones B; 77,28 % de los votos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las acciones A no pueden venderse mientras exista la Fundación [6]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21,4 M acciones B sin voto a 3-feb-2026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 hasta 15.000 M DKK en 2026, iniciada el 4-feb-2026 [6,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Consejo y alta dirección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1,17 M acciones B</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Casi la mitad son del presidente (571.746 acciones) [6, 38]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director de EE. UU. (salió en feb-2026)</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Stephan Engels, consejero independiente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David Moore (para pagar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Emil Kongshøj Larsen, director de Internacional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Martin Holst Lange, director de I+D (impuestos del LTIP)</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Karsten Munk Knudsen,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26.557</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8,38</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20,70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97,1 %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Se toma a </w:t>
      </w:r>
      <w:r>
        <w:rPr>
          <w:b/>
        </w:rPr>
        <w:t xml:space="preserve">Maziar Mike Doustdar</w:t>
      </w:r>
      <w:r>
        <w:t xml:space="preserve"> (CEO desde el 7-ago-2025): 20,7 M DKK, 34,6 M anualizados, frente a 57,1 M de su predecesor en 2024 [38]. El variable anual (tope de 12 meses de salario) pondera 25 % ventas, 25 % beneficio operativo, 25 % hitos y 25 % objetivos individuales; en 2025 los financieros quedaron bajo el umbral y pagó el 24,7 % del máximo [38]. El largo plazo (tope de 30 meses, tres años más dos de retención) mide crecimiento de ventas y de beneficio e hitos, </w:t>
      </w:r>
      <w:r>
        <w:rPr>
          <w:b/>
        </w:rPr>
        <w:t xml:space="preserve">sin ROIC, TSR ni caja</w:t>
      </w:r>
      <w:r>
        <w:t xml:space="preserve">: premia crecer [38]. Hay </w:t>
      </w:r>
      <w:r>
        <w:rPr>
          <w:i/>
        </w:rPr>
        <w:t xml:space="preserve">clawback</w:t>
      </w:r>
      <w:r>
        <w:t xml:space="preserve"> y malus, no aplicados [38]. Jørgensen se llevó 101,4 M DKK de salida (preaviso, 24 meses de indemnización y no competencia) y conserva sus LTIP [38]. En 2026 el informe obtuvo 97,09 % a favor, pero </w:t>
      </w:r>
      <w:r>
        <w:rPr>
          <w:b/>
        </w:rPr>
        <w:t xml:space="preserve">27,22 % en contra del capital libre</w:t>
      </w:r>
      <w:r>
        <w:t xml:space="preserve"> (5,65 % en 2025) [49, 51].</w:t>
      </w:r>
    </w:p>
    <w:p>
      <w:pPr>
        <w:pStyle w:val="Heading2"/>
      </w:pPr>
      <w:r>
        <w:t xml:space="preserve">Operaciones vinculadas, estructura de control y defensas</w:t>
      </w:r>
    </w:p>
    <w:p>
      <w:pPr>
        <w:spacing w:after="100"/>
      </w:pPr>
      <w:r>
        <w:t xml:space="preserve">La Novo Nordisk Foundation controla la compañía a través de Novo Holdings, dueña de todas las acciones A (10 votos) y de 177,6 M de B: 28,05 % del capital y 77,28 % de los votos; sus estatutos la obligan a mantener esa influencia y las acciones A no se pueden vender [6]. Es sociedad controlada a efectos de la NYSE y está exenta de la mayoría de independientes [37]. En octubre de 2025 la Fundación forzó la salida del presidente, el vicepresidente y cinco independientes por discrepar sobre la renovación del consejo, y colocó a su propio presidente, Lars Rebien Sørensen, al frente [39, 40]. Tres de los ocho consejeros elegidos por la junta representan al accionista de control [52]. Principal operación vinculada: en 2024 Novo compró a Novo Holdings tres plantas de llenado de Catalent por 11.700 M USD, con un ajuste de precio aún pendiente de cerrar a final de 2025 [6]. La junta autorizó ampliar capital sin derecho de suscripción hasta un 10 % [51].</w:t>
      </w:r>
    </w:p>
    <w:p>
      <w:pPr>
        <w:pStyle w:val="Heading2"/>
      </w:pPr>
      <w:r>
        <w:t xml:space="preserve">Señales de alerta</w:t>
      </w:r>
    </w:p>
    <w:p>
      <w:pPr>
        <w:pStyle w:val="ListParagraph"/>
        <w:numPr>
          <w:ilvl w:val="0"/>
          <w:numId w:val="2"/>
        </w:numPr>
        <w:spacing w:after="60"/>
      </w:pPr>
      <w:r>
        <w:t xml:space="preserve">El presidente lo es también de la Fundación que controla la empresa; en la junta extraordinaria solo el 38,70 % del capital libre votó a favor (61,30 % se abstuvo) y en la ordinaria de 2026 el 42,65 % (57,35 % abstención) [50, 51].</w:t>
      </w:r>
    </w:p>
    <w:p>
      <w:pPr>
        <w:pStyle w:val="ListParagraph"/>
        <w:numPr>
          <w:ilvl w:val="0"/>
          <w:numId w:val="2"/>
        </w:numPr>
        <w:spacing w:after="60"/>
      </w:pPr>
      <w:r>
        <w:t xml:space="preserve">El informe de remuneración de 2025 recibió un 27,22 % de votos en contra del capital libre en la junta de 2026, frente al 5,65 % un año antes [49, 51].</w:t>
      </w:r>
    </w:p>
    <w:p>
      <w:pPr>
        <w:pStyle w:val="ListParagraph"/>
        <w:numPr>
          <w:ilvl w:val="0"/>
          <w:numId w:val="2"/>
        </w:numPr>
        <w:spacing w:after="60"/>
      </w:pPr>
      <w:r>
        <w:t xml:space="preserve">Ruptura de gobierno en noviembre de 2025: salieron el presidente, el vicepresidente y cinco independientes; hasta la junta de marzo de 2026 solo 2 de 5 consejeros de la junta eran independientes, por debajo de la recomendación danesa [37, 39, 40].</w:t>
      </w:r>
    </w:p>
    <w:p>
      <w:pPr>
        <w:pStyle w:val="ListParagraph"/>
        <w:numPr>
          <w:ilvl w:val="0"/>
          <w:numId w:val="2"/>
        </w:numPr>
        <w:spacing w:after="60"/>
      </w:pPr>
      <w:r>
        <w:t xml:space="preserve">Rotación de la cúpula: salieron el consejero delegado y cinco vicepresidentes ejecutivos entre abril de 2025 y febrero de 2026; las salidas costaron 101,4 M DKK con Jørgensen y 118,5 M DKK con el resto (incluido un fichaje) [6, 38].</w:t>
      </w:r>
    </w:p>
    <w:p>
      <w:pPr>
        <w:pStyle w:val="ListParagraph"/>
        <w:numPr>
          <w:ilvl w:val="0"/>
          <w:numId w:val="2"/>
        </w:numPr>
        <w:spacing w:after="60"/>
      </w:pPr>
      <w:r>
        <w:t xml:space="preserve">Operación vinculada de 11.700 M USD con el accionista de control (plantas de Catalent), con el ajuste de precio sin cerrar a final de 2025 [6].</w:t>
      </w:r>
    </w:p>
    <w:p>
      <w:pPr>
        <w:pStyle w:val="ListParagraph"/>
        <w:numPr>
          <w:ilvl w:val="0"/>
          <w:numId w:val="2"/>
        </w:numPr>
        <w:spacing w:after="60"/>
      </w:pPr>
      <w:r>
        <w:t xml:space="preserve">La empresa confirmó en 2025 la cobertura de su esquema de indemnización a directivos citados en demandas colectivas de valores en EE. UU. [38].</w:t>
      </w:r>
    </w:p>
    <w:p>
      <w:pPr>
        <w:pStyle w:val="ListParagraph"/>
        <w:numPr>
          <w:ilvl w:val="0"/>
          <w:numId w:val="2"/>
        </w:numPr>
        <w:spacing w:after="60"/>
      </w:pPr>
      <w:r>
        <w:t xml:space="preserve">Posibles conflictos: el vicepresidente, calificado de independiente, preside Novonesis (participada de Novo Holdings), y el presidente es vicepresidente de Ferring Pharmaceuticals [52].</w:t>
      </w:r>
    </w:p>
    <w:p>
      <w:pPr>
        <w:pStyle w:val="ListParagraph"/>
        <w:numPr>
          <w:ilvl w:val="0"/>
          <w:numId w:val="2"/>
        </w:numPr>
        <w:spacing w:after="60"/>
      </w:pPr>
      <w:r>
        <w:t xml:space="preserve">El director financiero vendió 26.557 acciones (8,4 M DKK) el 10-feb-2026, una venta que el anuncio no vincula al pago de impuestos del LTIP [48].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4 de agosto de 2026, con las cuentas del primer semestre, Novo elevó por segunda vez su previsión para 2026: ventas ajustadas (sin las reversiones de provisiones del programa 340B de EE. UU.) entre 0 % y -6 % a tipos constantes, y resultado operativo ajustado (sin deterioros ni litigios relevantes) también entre 0 % y -6 %; en febrero esperaba -5 % a -13 % en ambas [4]. Prevé un tipo efectivo del 21-23 %, inversiones de unos 55.000 M DKK (60.000 M en 2025) y un flujo libre de 45.000-55.000 M DKK [4]. En el Capital Markets Day del 21 de septiembre de 2026 fijó como ambición para 2026-2030 un crecimiento anual de ventas en línea con el de sus pares farmacéuticos (Lilly, AstraZeneca, Roche, Novartis y otros diez) y un margen operativo ajustado estable hasta 2030, y aclaró que no son previsiones [14].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123.105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122.879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25 analistas [66]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131.317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12,01</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25 analistas [66]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300.491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144.145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304.513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144.812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308.569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322.351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145.028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153.690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10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305,82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203,00 – 452,00</w:t>
            </w:r>
          </w:p>
        </w:tc>
      </w:tr>
    </w:tbl>
    <w:p>
      <w:pPr>
        <w:spacing w:after="160" w:before="0"/>
      </w:pPr>
    </w:p>
    <w:p>
      <w:pPr>
        <w:pStyle w:val="Heading2"/>
      </w:pPr>
      <w:r>
        <w:t xml:space="preserve">Revisiones de estimaciones</w:t>
      </w:r>
    </w:p>
    <w:p>
      <w:pPr>
        <w:spacing w:after="100"/>
      </w:pPr>
      <w:r>
        <w:t xml:space="preserve">MarketScreener da una recomendación media de «mantener» con 25 analistas y un precio objetivo medio de 305,82 DKK (203-452) [67]; el reparto por recomendación es el de Stock Analysis para el ADR (14 analistas en octubre de 2026: 3 compra fuerte, 10 mantener y 1 venta fuerte; objetivo medio 46,07 USD, unos 308 DKK al cambio del BCE) [68]. Las cifras coinciden: ventas de 2026 de 300.491 M DKK en ambas y en Yahoo (27 analistas) [66, 69]. El BPA de 2026 ha subido un 4,3 % en tres meses (de 21,60 a 22,53 DKK) y el de 2027 un 4,1 % (de 21,22 a 22,09), por las dos mejoras de la previsión; en el último mes bajó (23,03 a 22,53) tras un Capital Markets Day que varios analistas juzgaron menos ambicioso de lo esperado [67, 69]. La revisión a 12 meses no está disponible gratis.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La acción ha perdido un 31,9 % en un año, frente a un 7,7 % de subida del índice danés y un 1,3 % de caída del sector europeo de salud, y un 25 % anual en tres años [59]. La caída máxima en cinco años es del 76,7 %, desde el máximo de 2024: el mercado ha pasado de pagar el crecimiento de Wegovy a descontar la pérdida de cuota frente a Eli Lilly, que ya se lleva unas seis de cada diez recetas de incretinas en EE. UU. [25], y las rebajas de precio en ese país. 2025 se cerró con un −46,4 % tras dos rebajas de la guía [8, 11]. Las dos peores sesiones del año fueron el 4 y el 23 de febrero de 2026 (−17,2 % y −16,5 %) [59]; la primera coincide con la guía de 2026, que esperaba una caída de ventas de entre el 5 % y el 13 % [12]. Desde entonces la empresa ha subido dos veces la guía [13, 55], pero la acción sigue cerca de su mínimo de 52 semanas (224,25 DKK). La volatilidad, del 48,1 %, es de biotecnológica, no de gran farmacéutica.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Novo cotiza a 8,1 veces el EBITDA de los últimos doce meses y a 9,5 veces el beneficio, un 69 % y un 73 % por debajo de su media de 2021-2025, y por debajo del mínimo de esos cinco cierres (10,2 y 14,1 veces). La comparación exagera el descuento: en 2021-2024 el mercado pagaba un crecimiento de ventas de más del 20 % anual y hoy la empresa prevé que bajen en 2026 [4]. Lo estructural es el cambio de perfil: de monopolio de hecho en GLP-1 a duopolio con precios regulados en EE. UU. y genéricos en mercados emergentes [26, 28]. Aun así, un PER por debajo de 10 es el de una empresa que se espera que encoja, no el de una que mantiene un margen operativo del 41 % [14].</w:t>
      </w:r>
    </w:p>
    <w:p>
      <w:pPr>
        <w:pStyle w:val="Heading1"/>
      </w:pPr>
      <w:r>
        <w:t xml:space="preserve">18. Comparables cotizados</w:t>
      </w:r>
    </w:p>
    <w:p>
      <w:pPr>
        <w:pStyle w:val="Confianza"/>
        <w:spacing w:after="100"/>
      </w:pPr>
      <w:r>
        <w:t xml:space="preserve">Confianza: Media</w:t>
      </w:r>
    </w:p>
    <w:p>
      <w:pPr>
        <w:spacing w:after="100"/>
      </w:pPr>
      <w:r>
        <w:t xml:space="preserve">Siete grandes farmacéuticas con presencia mundial, márgenes EBITDA del 28-52 % y carteras propias de I+D: Eli Lilly, su único rival en GLP-1 y obesidad; AstraZeneca y Sanofi, con diabetes y metabolismo; y Roche, Novartis, Merck &amp; Co y GSK, grandes europeas y americanas de tamaño y modelo parecidos [92, 93]. Lilly crece cuatro veces más que el resto y estira la muestra al alza. Zealand Pharma no entra: su resultado de los últimos doce meses lo inflan los cobros de la licencia de la petrelintida a Roche y su flujo libre es negativo, así que sus múltiplos de EBITDA no significan nada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Novo Nordisk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1.103.159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Eli Lilly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6.801.297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AstraZeneca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1.637.630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Roche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Novartis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1.802.997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Sanofi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634.673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Merck &amp; 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2.301.234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GSK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618.304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144.659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9,2x / 11,5x / 12,9x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151.140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 / 13,4x / 13,6x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437,57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 / 17,7x / 19,6x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302.671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 / 4,9x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212,93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310,98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362,74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(7 comparables): múltiplo = 7,9 + 0,52 × crecimiento; R² = 0,77. Para el crecimiento esperado de la empresa (0,2 %), el múltiplo ajustado es 8,0x y el valor por acción, 235,80.</w:t>
      </w:r>
    </w:p>
    <w:p>
      <w:pPr>
        <w:spacing w:after="100"/>
      </w:pPr>
      <w:r>
        <w:t xml:space="preserve">Novo cotiza a 8,4 veces el EBITDA de los próximos doce meses y a 11,5 veces el beneficio, frente a medianas de 11,5 y 17,7 veces. Es la segunda más barata de la muestra, solo por encima de Sanofi y GSK (6,6 y 6,9 veces), que crecen poco y ganan mucho menos (márgenes EBITDA del 28 % y el 33 %). Novo tiene el segundo margen más alto (49,9 % en los últimos doce meses) y un ROIC del 39,6 %, pero también el peor crecimiento esperado: −6,2 % en ventas a doce meses vista, por la guía de 2026 y la rebaja de precios de 2027 [4]. El descuento se explica por ese crecimiento y por la pérdida de exclusividad de la semaglutida en 2031-2033 [6], no por la calidad del negocio. La regresión entre múltiplo y crecimiento no sirve aquí: Lilly la domina. Usamos la mediana de EV/EBITDA y PER de los próximos doce meses con un peso del 20 %, porque un múltiplo de pares que no afrontan un precipicio de patentes tan cercano sobrevalora a Novo.</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Catalent (CDMO,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Holdings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114.484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publicado de 16.500 M USD a 63,50 USD por acción [71]. Múltiplos sobre los doce meses a diciembre de 2023: ventas de 4106 M USD [72, 73] y EBITDA ajustado de 463 M USD [72], deprimido por el fin de la demanda de la covid (era 1.167 M un año antes [72]): sobre aquel EBITDA el múltiplo sería 14,1x. Prima del 16,5 % sobre el cierre previo y del 47,5 % sobre la media de 60 sesiones [71]. Es la operación de capacidad que sostiene el plan industrial de Novo.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plantas de llenado de Catalent (Anagni, Bruselas, Bloomington)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82.146</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acordado de 11.000 M USD [74]; al cierre, el 18-dic-2024, 11.723 M USD (82.146 M DKK con coberturas), de los que 41.102 M DKK fueron know-how y 24.034 M DKK inmovilizado material [1]. Compra de activos a la parte vinculada (Novo Holdings), sin cuentas propias: no sirve como múltiplo de control, solo como coste de la capacidad.</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Metsera (obesidad, fase 2)</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Pfizer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45.210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inicial del 22-sep-2025 a 47,50 USD por acción, valor empresa de 4.900 M USD más CVR de hasta 22,50 USD [75]. Tras la contraoferta no solicitada de Novo Nordisk, Pfizer subió el 7-nov-2025 a 65,60 USD en efectivo más CVR de hasta 20,65 USD (hasta 86,25 USD por acción) [76]; el consejo de Metsera rechazó la estructura de Novo por el riesgo de competencia tras una llamada de la FTC [76]. Cerrada el 13-nov-2025 con un valor empresa de unos 7.000 M USD [77]. Sin ventas: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Akero Therapeutics (MASH, fase 3)</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25.723</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54 USD por acción en efectivo (4.700 M USD de capital) más CVR de 6 USD (500 M USD) si la FDA aprueba el efruxifermin en cirrosis por MASH antes del 30-jun-2031 [78, 79]. Novo cifró en unos 4.000 M USD el valor empresa esperado al cierre (el impacto en su flujo libre de 2025) [79]. Prima del 19 % sobre la media de 30 sesiones y del 42 % sobre el precio previo a los rumores [78].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Blueprint Medicines (enfermedades raras e inmunología)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129 USD por acción, valor del capital de 9.100 M USD más CVR (hasta 9.500 M USD) [80]. Valor empresa: estimación propia de 8544 M USD (capital menos 899,7 M de caja e inversiones y más 343,9 M de deuda garantizada a 31-mar-2025, sin el pasivo por regalías vendidas) [81]; EV/ventas sobre los 508,8 M USD de ingresos de 2024 [81] (Ayvakit, 479 M USD, crecía más de un 60 % [80]). EBITDA negativo. Farmacéutica comercial, no metabólica: referencia del precio de un activo con ventas en fuerte crecimiento.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Verve Therapeutics (edición genética cardiovascular)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Eli Lilly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6.448</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10,50 USD por acción en efectivo (unos 1.000 M USD de capital) más CVR de hasta 3 USD (hasta 1.300 M USD) [82]. La cifra es valor del capital: el valor empresa no se publicó (Verve tenía 497 M USD de caja e inversiones a corto a 31-mar-2025 según su 10-Q). Prima del 113 % sobre la media de 30 sesiones [82].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Carmot Therapeutics (incretinas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Roche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18.524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de 2.700 M USD en efectivo al cierre más hitos de hasta 400 M USD [83]. Sociedad no cotizada: precio de compra, no valor empresa publicado. Sin ventas.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Inversago Pharma (CB1 para obesidad, no cotizada)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1.075 M USD si se cumplen hitos de desarrollo y comerciales [84]; el pago inicial no se publicó. Es el máximo, no el precio pagado: excluida del cálculo.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Provention Bio (diabetes tipo 1, Tzield)</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Sanofi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20.165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 USD por acción, valor del capital de unos 2.900 M USD [85]; el valor empresa no se publicó. Tzield recién aprobado (nov-2022), sin ventas significativas: múltiplos no aplicables.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2023-01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(enfermedades metabólicas raras)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8.692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14,50 USD por ADS; valor de la operación al cierre de unos 1.250 M USD más CVR de unos 225 M USD (hasta 1.480 M USD) [86]. Amryt vendía Myalept y Juxtapid (lipodistrofia e hipercolesterolemia familiar), pero sus ingresos de 2022 no figuran en el comunicado ni en la SEC (no llegó a presentar el 20-F de 2022): múltiplo no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en obesidad y metabolismo son compras de biotecnológicas sin ventas: pagan opciones sobre la cartera clínica (Metsera, 7.000 M USD tras una puja con Novo; Akero, 4.000 M USD de valor empresa) y no dan múltiplos. Solo dos tienen múltiplo: Catalent (4,0x ventas y 35,6x un EBITDA deprimido, 14,1x sobre el normalizado) y Blueprint (16,8x ventas, estimación propia). Las primas de control van del 16 % (Catalent) al 113 % (Verve). </w:t>
      </w:r>
      <w:r>
        <w:rPr>
          <w:b/>
        </w:rPr>
        <w:t xml:space="preserve">Novo Nordisk no es objetivo posible</w:t>
      </w:r>
      <w:r>
        <w:t xml:space="preserve">: la Fundación Novo Nordisk, a través de Novo Holdings, controla el 77,3 % de los votos con el 28,1 % del capital, y su tamaño (más de 1,1 billones de DKK de capitalización) deja fuera a casi cualquier comprador. Las transacciones sirven para valorar su cartera de I+D y su disciplina compradora, no para fijar un precio de control: ponderarlas en la síntesis no tiene sentido.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2025 (309.064 M DKK publicados) [1]. Para 2026 tomamos el punto medio de la guía en coronas: ventas ajustadas un 3 % menos a tipo constante y un punto menos por divisa, lo que da 296.701 M DKK sin la reversión del 340B [4]. 2027 queda plano: la lista de Wegovy y Ozempic baja a 675 USD al mes y entra el precio negociado de Medicare (274 USD) [4, 26], frente a más volumen por Medicare Bridge, la Wegovy oral y el lanzamiento de CagriSema [19]. Entre 2028 y 2030 crecemos un 4 % anual, algo menos que la ambición del CMD de crecer como la industria [18]. En 2032-2033 restamos un 7 % y un 6 % por la pérdida de exclusividad de la semaglutida en EE. UU. y Europa [6]. Quedamos un 1,3 %, un 2,6 % y un 4,3 % por debajo del consenso en ventas de 2026, 2027 y 2028 [66].</w:t>
      </w:r>
    </w:p>
    <w:p>
      <w:pPr>
        <w:keepNext/>
        <w:spacing w:after="100"/>
      </w:pPr>
      <w:r>
        <w:rPr>
          <w:b/>
          <w:bCs/>
        </w:rPr>
        <w:t xml:space="preserve">Márgenes.</w:t>
      </w:r>
    </w:p>
    <w:p>
      <w:pPr>
        <w:spacing w:after="100"/>
      </w:pPr>
      <w:r>
        <w:t xml:space="preserve">El margen EBITDA fue del 49,4 % en 2025 y del 49,9 % en los últimos doce meses sin partidas no recurrentes. Lo bajamos al 48,0 % en 2026 y al 46,5 % en 2027 por el precio, y lo dejamos en el 47 % hasta 2030: equivale a un margen operativo de unos 38,5 puntos tras la amortización creciente de las plantas nuevas, por debajo del 41 % que la empresa quiere mantener hasta 2030 [14]. Tras la pérdida de exclusividad baja al 43 %. El consenso espera un 48 % en 2026 y un 47,6 % en 2027 [66]; nuestro EBITDA de 2027 queda un 4,7 % por debajo.</w:t>
      </w:r>
    </w:p>
    <w:p>
      <w:pPr>
        <w:keepNext/>
        <w:spacing w:after="100"/>
      </w:pPr>
      <w:r>
        <w:rPr>
          <w:b/>
          <w:bCs/>
        </w:rPr>
        <w:t xml:space="preserve">Inversión y circulante.</w:t>
      </w:r>
    </w:p>
    <w:p>
      <w:pPr>
        <w:spacing w:after="100"/>
      </w:pPr>
      <w:r>
        <w:t xml:space="preserve">El capex (inmovilizado material y software) pasó del 5,2 % de las ventas en 2021 al 19,6 % en 2025 (60.668 M DKK) [1]. La guía de 2026 es de unos 55.000 M DKK, el 18,7 % de nuestras ventas, y la empresa dice que bajará en los años siguientes hacia la media del sector [4, 14]. Lo llevamos al 10 % en 2029 y al 8 % desde 2032, por encima de la amortización (7,5 % en el último año), que sube con las plantas nuevas desde el 7,1 % de 2025. Las compras de cartera de I+D (29.445 M DKK en 2025, con Akero) no están en el capex del DCF: se tratan como adquisiciones. El circulante comercial se mantiene en el 32,5 % de las ventas, como en 2024-2025. El tipo impositivo es del 22 %, el centro de la guía (21-23 %) [4].</w:t>
      </w:r>
    </w:p>
    <w:p>
      <w:pPr>
        <w:keepNext/>
        <w:spacing w:after="100"/>
      </w:pPr>
      <w:r>
        <w:rPr>
          <w:b/>
          <w:bCs/>
        </w:rPr>
        <w:t xml:space="preserve">Coste del capital.</w:t>
      </w:r>
    </w:p>
    <w:p>
      <w:pPr>
        <w:spacing w:after="100"/>
      </w:pPr>
      <w:r>
        <w:t xml:space="preserve">La tasa libre es el bono danés a 10 años, un 3,1 % (3,13 % en agosto según Statistikbanken y 3,01 % según el BCE) [63, 64]. La beta, 0,85, es la semanal a cinco años frente al MSCI Europe ajustada por Blume [59]. Descartamos la del OMXC25 (1,07-1,24) y la del sector europeo de salud (1,17-1,31) porque Novo ha sido el mayor valor de los dos índices y la acción explica buena parte de su movimiento; la mensual frente al MSCI Europe (0,74 ajustada) subestima el riesgo actual, con una volatilidad del 48 %. Prima de mercado del 5 %, sin prima adicional: el riesgo de patentes y precio está en los flujos. Coste de la deuda del 3,7 % (tasa libre más un diferencial de rating AA, estimación propia) [14] y peso de la deuda del 11,3 % a valor de mercado. Resultado: 6,85 %.</w:t>
      </w:r>
    </w:p>
    <w:p>
      <w:pPr>
        <w:keepNext/>
        <w:spacing w:after="100"/>
      </w:pPr>
      <w:r>
        <w:rPr>
          <w:b/>
          <w:bCs/>
        </w:rPr>
        <w:t xml:space="preserve">Valor terminal.</w:t>
      </w:r>
    </w:p>
    <w:p>
      <w:pPr>
        <w:spacing w:after="100"/>
      </w:pPr>
      <w:r>
        <w:t xml:space="preserve">Crecimiento a perpetuidad del 2 %, la inflación esperada de la corona (anclada al euro) y medio punto largo por debajo de la tasa libre del 3,1 %. Parte de un año, 2035, en el que la semaglutida ya ha perdido la exclusividad y el margen EBITDA ha bajado al 43 %: no proyectamos al infinito el margen de hoy. El valor terminal pesa un 61 % del valor y equivale a 13 veces el EBITDA de salida, por encima de la mediana de los comparables (11,5 veces) porque estos tienen sus propios precipicios de patentes en el horizonte.</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55.483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14.787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25.131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65.063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308.569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69.436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150.829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73.013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94.384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27.701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310.386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138.122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96.096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54.846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297.598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127.967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23.242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23.808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79.021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44.301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1.663.396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1.151.706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580.673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902.803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1.483.476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-95.145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1.367.119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309,70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DKK,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494,18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289,66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299,44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323,16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271,02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289,58</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309,96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353,15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341,15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364,33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288,04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307,88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329,03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375,51</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-3,1 % (base: 0,1 %)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36,8 % (base: 43,0 %)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8,0 % (WACC: 6,8 %)</w:t>
            </w:r>
          </w:p>
        </w:tc>
      </w:tr>
    </w:tbl>
    <w:p>
      <w:pPr>
        <w:spacing w:after="160" w:before="0"/>
      </w:pPr>
    </w:p>
    <w:p>
      <w:pPr>
        <w:spacing w:after="100"/>
      </w:pPr>
      <w:r>
        <w:t xml:space="preserve">El DCF da 309,70 DKK por acción, un 23,9 % por encima del precio de 249,90 DKK, con proyecciones por debajo del consenso. El DCF inverso es la clave: para justificar el precio, las ventas tendrían que caer un 3,1 % al año entre 2027 y 2035, en vez del 0,1 % de crecimiento medio de nuestro caso base (que ya incluye la pérdida de exclusividad), o el margen EBITDA tendría que quedarse en el 36,8 % en vez del 43 %. El precio descuenta, por tanto, una erosión continua de volumen y precio sin relevo de la cartera: un escenario cercano a nuestro bajista. La rentabilidad anual implícita en el precio es del 8,0 %, frente a un WACC del 6,85 % y al 6,2 % que pide hoy el mercado. Lo exigente no es el precio, sino creer en la recuperación: si las ventas solo se estabilizan, la acción está barata; si siguen cayendo al ritmo del 1S26 en EE. UU., el precio es justo.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orforglipron y la tirzepatida ganan la mayor parte de los pacientes nuevos, el precio neto en EE. UU. cae más de lo previsto con la nueva lista y Medicare, y CagriSema no se diferencia. Las ventas no se recuperan antes de la pérdida de exclusividad de 2031-2033, como ya le pasó a la insulina de Novo, que perdió cuota y precio a la vez.</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fondo en 2026-2027 y vuelven a crecer en torno al 4 % entre 2028 y 2030 con la Wegovy oral, CagriSema y enfermedades raras; el margen operativo se mantiene cerca del 40 %, el capex baja hacia el 7 % de las ventas y la pérdida de exclusividad resta un 9 % de ventas en 2032-2033.</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400,00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Wegovy oral y CagriSema recuperan cuota frente a Lilly, el volumen de Medicare y del autopago compensa el precio y la cartera nueva cubre la pérdida de exclusividad; Novo crece al ritmo de sus pares, como promete el CMD.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289,28 DKK (+15,8 %).</w:t>
      </w:r>
    </w:p>
    <w:p>
      <w:pPr>
        <w:spacing w:after="100"/>
      </w:pPr>
      <w:r>
        <w:t xml:space="preserve">El alcista gana un 60,1 % y el bajista pierde un 27,4 %: la asimetría es de 2,19 veces, y de 4,41 veces con la prima implícita del mercado. El bajista no es cosmético: supone tres puntos menos de crecimiento cada año, cuatro puntos menos de margen y un terminal del 1 %, es decir, que Novo repita en GLP-1 lo que ya le pasó en insulina, donde perdió cuota y precio a la vez (las ventas de insulina bajaron un 17 % a tipo constante en el 1S26) [4]. Aun así, el bajista (181,43 DKK) está solo un 19 % por debajo del mínimo de 52 semanas. El alcista exige que la Wegovy oral y CagriSema recuperen cuota frente a Lilly. Con un 30 % de probabilidad en el bajista, el reparto compensa.</w:t>
      </w:r>
    </w:p>
    <w:p>
      <w:pPr>
        <w:pStyle w:val="Heading1"/>
      </w:pPr>
      <w:r>
        <w:t xml:space="preserve">22. Suma de partes</w:t>
      </w:r>
    </w:p>
    <w:p>
      <w:pPr>
        <w:pStyle w:val="Confianza"/>
        <w:spacing w:after="100"/>
      </w:pPr>
      <w:r>
        <w:t xml:space="preserve">Confianza: Media</w:t>
      </w:r>
    </w:p>
    <w:p>
      <w:pPr>
        <w:spacing w:after="100"/>
      </w:pPr>
      <w:r>
        <w:t xml:space="preserve">No aplica. Enfermedades raras es el 6,3 % de las ventas de 2025 (19.608 M DKK) y aportó 1.212 M de beneficio operativo [1]: aunque tiene otro perfil, su valor no cambia la conclusión. La parte que de verdad se valoraría aparte, la cartera de I+D, no se puede valorar por múltiplos y el motor no tiene rNPV: la tratamos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DKK) · precio actual 249,9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409,95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305,82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396,37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385,04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426,38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378,27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289,28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354,54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402,62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251,15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315,19 DKK (+26,1 % sobre 249,90).</w:t>
      </w:r>
    </w:p>
    <w:p>
      <w:pPr>
        <w:spacing w:after="100"/>
      </w:pPr>
      <w:r>
        <w:t xml:space="preserve">El DCF pesa la mitad porque es el único método que recoge lo que mueve el valor de Novo: la caída de precios en EE. UU. en 2026-2027, la recuperación del volumen y la pérdida de exclusividad de la semaglutida en 2031-2033. Los escenarios pesan un 30 % porque la dispersión es grande y el bajista es verosímil. Los comparables, un 20 %: sus pares no afrontan un precipicio de patentes tan cercano y el múltiplo mediano lo sobrevalora. Las transacciones no pesan: la Novo Nordisk Foundation controla el 77,28 % de los votos y sus estatutos la obligan a mantenerlo [6], así que no habrá oferta de compra. Todos los métodos quedan por encima del precio: el DCF da 309,70 DKK, los comparables 367,77 y los escenarios ponderados 289,28; el rango de los analistas va de 203 a 452 DKK, con una media de 305,82 [67]. Con la prima implícita del mercado, el DCF sube a 354,54 DKK.</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los nueve primeros meses de 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tras el Capital Markets Day: precio realizado en EE. UU., ritmo de la Wegovy oral y si la guía de ventas ajustadas (0 % a −6 % a tipo constante) se estrecha hacia arriba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de la FDA sobre CagriSema en control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previsto a principios de 2027; primer producto de nueva generación frente a la tirzepatida [5,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Decisiones regulatorias: semaglutida oral de 25 mg (EE. UU.) y denecimig (EE. UU. y UE)</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Amplían la franquicia oral y la de hemofilia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vigor el precio negociado de Medicare (IRA) para la semaglutida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el precio neto de Ozempic, Rybelsus y Wegovy en Medicare; pesa en la guía de 2027; Novo baja además el precio de lista de Wegovy y Ozempic a 675 USD al mes [4, 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2027 dirá si las ventas se estabilizan, como pide la ambición del CMD [14]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REDEFINE 11 (CagriSema, mayor pérdida de peso)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Diferenciación de CagriSema frente a la tirzepatida [19]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 ARTEMIS y HERMES (ziltivekimab, infarto e insuficiencia cardiaca)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el fracaso de ZEUS, decide si la apuesta cardiovascular sigue en pie [5]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 más bajo de lo previsto en 2027-2028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y 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(un punto menos de crecimiento y dos de margen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rebaja del precio de lista a 675 USD reduce sobre todo descuentos ya concedidos; el volumen sube con Medicare Bridge y el autopago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realizado en EE. UU. en los resultados de 2027 y guía de 2027 del 3-feb-2027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Más cuota para Eli Lilly (tirzepatida inyectable y orforglipron oral)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−12 % (dos puntos menos de crecimiento cada año)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franquicia Wegovy sigue siendo líder en nuevos pacientes de los fármacos de obesidad de marca en EE. UU. y CagriSema llega en 2027 [4, 5]</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Recetas semanales (IQVIA) de Wegovy oral frente a orforglipron y cuota de nuevos pacientes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exclusividad de la semaglutida en EE. UU. y Europa (2031-2033) sin relevo suficiente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−41 % (escenario bajista frente al DCF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Ambición de más de 150.000 M DKK de ventas de la cartera nueva en 2035, ajustadas por riesgo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Litigios de patentes (ANDA de Cipla) y resultados de fase 3 de CagriSema, cagrilintida y zenagamtida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Fracasos de la cartera de 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I+D</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(un punto menos de crecimiento y uno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Cartera amplia: más de cinco programas de fase 3 en obesidad y diabetes y otros tantos fuera [18]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ARTEMIS y HERMES (1S 2027) tras el fracaso de ZEUS; REDEFINE 11 (1T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Exceso de capacidad productiva y deterioros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(un punto menos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baja desde el máximo de 60.000 M DKK de 2025 y ya hay costes de reajuste de contratos de capacidad (~3.000 M DKK en el 2T26) [4, 14]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anual y nuevos deterioros de inmovilizado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Genéricos en China, Canadá, Brasil e India desde 2026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Patentes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Incluido en el caso base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 obesidad en Internacional (+40 % en el 1S26 a tipo constante)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la región China y de Mercados Emergentes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 la Fundación decide sola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 sube la prima de riesgo exigible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Interés de la Fundación alineado con el valor a largo plazo (vive de los dividendos)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Operaciones vinculadas con Novo Holdings y salidas de independientes</w:t>
            </w:r>
          </w:p>
        </w:tc>
      </w:tr>
    </w:tbl>
    <w:p>
      <w:pPr>
        <w:spacing w:after="160" w:before="0"/>
      </w:pP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 ESG Ratings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(escala AAA-CCC)</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bajo (escala de insignificante a grave)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Cambio climático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Agua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 (escala A-D)</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Access to Medicine Index</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12.º de las 20 mayores farmacéuticas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2025-12</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Corporate Knights Global 100</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51</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2025-12</w:t>
            </w:r>
          </w:p>
        </w:tc>
      </w:tr>
    </w:tbl>
    <w:p>
      <w:pPr>
        <w:spacing w:after="160" w:before="0"/>
      </w:pPr>
    </w:p>
    <w:p>
      <w:pPr>
        <w:pStyle w:val="Heading2"/>
      </w:pPr>
      <w:r>
        <w:t xml:space="preserve">Asuntos materiales</w:t>
      </w:r>
    </w:p>
    <w:p>
      <w:pPr>
        <w:spacing w:after="100"/>
      </w:pPr>
      <w:r>
        <w:t xml:space="preserve">Tres asuntos mueven sus cifras. </w:t>
      </w:r>
      <w:r>
        <w:rPr>
          <w:b/>
        </w:rPr>
        <w:t xml:space="preserve">Acceso y precio</w:t>
      </w:r>
      <w:r>
        <w:t xml:space="preserve">: el análisis de doble materialidad de 2025 prioriza la protección del paciente y su calidad de vida [1]; en la práctica es el precio neto en EE. UU., donde los descuentos son el 69,5 % de las ventas brutas (estimación propia) [1] y el acuerdo de «nación más favorecida» y el programa Bridge bajan el precio por paciente [4]. </w:t>
      </w:r>
      <w:r>
        <w:rPr>
          <w:b/>
        </w:rPr>
        <w:t xml:space="preserve">Emisiones de la nueva capacidad</w:t>
      </w:r>
      <w:r>
        <w:t xml:space="preserve">: las emisiones totales (alcances 1, 2 y 3, criterio de mercado) subieron de 1.836 a 2.690 miles de t de CO₂e entre 2023 y 2025, un 19 % solo en 2025, «como se esperaba» por la ampliación y la energía de las plantas nuevas; alcances 1 y 2 son solo el 7 % [1]. Los objetivos (cero en alcances 1 y 2 en 2030, −33 % en alcance 3 en 2033, cero neto en 2045) chocan con ese crecimiento [1]. </w:t>
      </w:r>
      <w:r>
        <w:rPr>
          <w:b/>
        </w:rPr>
        <w:t xml:space="preserve">Seguridad del producto</w:t>
      </w:r>
      <w:r>
        <w:t xml:space="preserve">: los litigios y alertas sobre la semaglutida afectan a la reputación de su franquicia principal [1, 91].</w:t>
      </w:r>
    </w:p>
    <w:p>
      <w:pPr>
        <w:pStyle w:val="Heading2"/>
      </w:pPr>
      <w:r>
        <w:t xml:space="preserve">Controversias</w:t>
      </w:r>
    </w:p>
    <w:p>
      <w:pPr>
        <w:spacing w:after="100"/>
      </w:pPr>
      <w:r>
        <w:t xml:space="preserve">Responsabilidad por producto: Novo y Lilly afrontan numerosas demandas en EE. UU. por lesiones gastrointestinales (gastroparesia, entre otras) atribuidas a los GLP-1, agrupadas en dos litigios multidistrito en Pensilvania; Novo no prevé impacto material [1]. En junio de 2025 el comité de farmacovigilancia de la EMA añadió la neuropatía óptica isquémica (NAION) como efecto adverso «muy raro» de la semaglutida [91]. Demandas colectivas de accionistas de ADR (ene-2025, por REDEFINE-1; ago-2025, por la guía) [1]. Incidente de seguridad informática comunicado el 11-jun-2026 con datos de pacientes en EE. UU., que ha dado lugar a varias demandas colectivas [4]. Ningún asunto está provisionado como material.</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neto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baja el precio neto medio por receta de la semaglutida en 2027 con la lista a 675 USD, el precio de Medicare y los acuerdos MFN?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más mueve 2027-2028 y la empresa solo dice que afectará a la caja [4]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Cartera frente a la pérdida de exclusividad</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más de 150.000 M DKK de ventas de la cartera en 2035 depende de productos con datos de fase 3 ya publicados?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rNPV, el valor terminal descansa en esa cifra [18]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productiva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 de la capacidad construida en 2023-2026 (unos 190.000 M DKK de capex en 2023-2026, con los 55.000 M previstos para este año) se usará en 2030?</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sobra, vendrán deterioros y la amortización frenará el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Patentes en EE. UU.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cuándo protegen las patentes de formulación y dispositivo a Ozempic y Wegovy frente al ANDA de Cipla?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adelanto de dos años de la entrada de genéricos en EE. UU. cambia el valor más que cualquier supuesto de margen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Cuota frente a Lilly</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nuevos pacientes necesita la Wegovy oral para que las ventas de obesidad en EE. UU. crezcan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descuenta que la oral de Lilly se impondrá</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umbral de rentabilidad exige el consejo a las compras de cartera tras Akero y los deterioros de monlunabant?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compras de I+D sustituyen a la recompra y su historial reciente es de deterioros</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13 de 13 controles correctos. Fuentes: 93 (75 primarias); citas distintas en el texto: 83.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Supuesto 32,5 % frente a 32,6 % real: genera una variación de circulante de -4.293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93 fuentes (75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41, 42, 43, 44, 45, 60, 61, 62, 65, 87.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trimestrales y presentaciones de la empresa: no publican el consenso; 2) web de inversores de Novo (consenso de analistas): novonordisk.com no respondía a las descargas; 3) búsqueda de prensa no hecha para no gastar el cupo compartido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Transcripción en la web de Novo: la web no respondía; 2) 6-K en EDGAR: Novo no deposita las transcripciones; 3) resumen de prensa no buscado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 de las compras de Inversago, ocedurenona y Akero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5.3 del informe anual 2025: no fueron combinaciones de negocios, no se desglosan; 2) informes del 4T23 y 4T25: solo el total de compras de intangibles; 3) derivar: solo se puede acotar por las compras de intangibles (13.090 M en 2023, 29.973 M en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4.6 del informe anual 2025: no la da; 2) presentación del 2T26 y CMD de finanzas: no la dan; 3) calcularla con la tabla de bonos: posible, pero no hecha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capex de mantenimiento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no lo separa; 2) CMD 2026 de finanzas: solo dice que el capex tocó techo en 2025; 3) estimación por la depreciación material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Novo (4T25, 2T26, CMD26): dan cuota de Novo por volumen (54,6 %) pero no la de los demás; 2) Lilly (10-Q y conferencia del 2T26): ~55 % del mercado mundial de incretinas sin definir si es valor o volumen; 3) estimación propia con ventas de Novo y Lilly: por construcción suma el 100 % y no mide a terceros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Votos de la junta ordinaria de 2024 (tercera junta con voto de remuneración)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la junta en novonordisk.com: solo enlaza los documentos de 2025 y 2026; 2) URL del acta con los patrones de 2025 y 2026 (agm/2024/…minutes.pdf): 404; 3) búsqueda web de las actas y resultados de votación de 2024: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los votos se calculan con las juntas de 2025 y 2026 (la extraordinaria de 2025 no votó remuneración)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Posiciones cortas netas ≥0,5 % (Finanstilsynet)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 de posiciones cortas publicadas de Finanstilsynet: 404; 2) búsqueda web en danés («korte nettopositioner Novo Nordisk»): sin resultado; 3) prensa y agregadores: nada citable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Participación en el capital de los vicepresidentes ejecutivos (Lange, Larsen, Millar)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remuneración 2025: solo detalla al CEO y al CFO (los demás van agregados); 2) 20-F 2025, Item 7: solo el total de consejo y dirección (1,17 M acciones); 3) anuncios MAR art. 19: dan operaciones, no saldos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inicial de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financiero 2020: da lo logrado (+7 % ventas y +7 % beneficio operativo a tipo constante) pero no la guía inicial; 2) informe de remuneración 2025: su tabla histórica empieza en 2021; 3) el informe de 2019 no se descargó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historial empieza en 2021</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Exhaustividad de las operaciones de directivos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Todos los 6-K de oct-2025 a oct-2026 en EDGAR (75), filtrados por los anuncios MAR art. 19: 7 anuncios; 2) GlobeNewswire: no responde a curl; 3) contraste de un anuncio (11-feb-2026) con un agregador de prensa: coincide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listan las 6 compraventas de mercado halladas; el resto de anuncios son entregas del LTIP, acciones del centenario y donaciones a familiares [46, 57, 58]</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operaciones de obesidad y metabolismo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y 8-K de cada operación (Metsera, Akero, Verve, Provention, Carmot, Inversago, Amryt): ninguno publica ventas ni EBITDA del objetivo; 2) XBRL de la SEC de las objetivo cotizadas: sin ingresos (fase clínica) salvo Amryt, que no presentó el 20-F de 2022; 3) cálculo propio: solo posible para Catalent y Blueprint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(múltiplos null salvo Catalent y Blueprint)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S&amp;P Global CSA y puntuaciones numéricas actuales de MSCI y Sustainalytics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apartado «Performance of ESG ratings and rankings»: da MSCI A, Sustainalytics riesgo bajo y CDP B/B, sin S&amp;P Global; 2) página pública de Sustainalytics (carga por JavaScript, sin dato legible con WebFetch ni curl); 3) búsqueda web: solo agregadores que citan un 23,1 (riesgo medio) sin fecha verificable, que contradice el informe anual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usan las calificaciones que publica la empresa a cierre de 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 salida a bolsa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Form 20-F 2025, Item 4: solo fecha de constitución (28-nov-1931) y fusión de 1989; 2) Form 20-F 2014 e informe anual 2009: sin fecha de cotización; 3) no se buscó en prensa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2025 (anexo al Form 20-F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https://www.sec.gov/Archives/edgar/data/353278/000035327826000012/nvo-20251231_d2.htm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Annual Report 2023 (anexo al Form 20-F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https://www.sec.gov/Archives/edgar/data/353278/000162828024002635/nvo-20231231_d2.htm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2021 to 31 December 2021 (Company announcement 7/2022,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https://www.sec.gov/Archives/edgar/data/353278/000162828022001621/caq42021.htm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30 June 2026 (Company announcement 48/2026,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https://www.sec.gov/Archives/edgar/data/353278/000035327826000023/caq22026.htm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presentation, second quarter of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https://www.novonordisk.com/content/dam/nncorp/global/en/investors/pdfs/financial-results/2026/Q2-2026-Full%20presentation.pdf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20-F 2025 (incluye el informe de auditoría de Deloitte)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https://www.sec.gov/Archives/edgar/data/353278/000035327826000012/nvo-20251231.htm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30 September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https://www.sec.gov/Archives/edgar/data/353278/000162828024045439/caq32024.htm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2024 to 31 December 2024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https://www.sec.gov/Archives/edgar/data/353278/000162828025003924/caq42024.htm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March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https://www.sec.gov/Archives/edgar/data/353278/000162828025022877/caq12025.htm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June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https://www.sec.gov/Archives/edgar/data/353278/000162828025038087/caq22025.htm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30 September 2025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https://www.sec.gov/Archives/edgar/data/353278/000035327825000005/caq32025.htm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2025 to 31 December 2025 (Company announcement 4/2026,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https://www.sec.gov/Archives/edgar/data/353278/000035327826000006/caq42025.htm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2026 to 31 March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https://www.sec.gov/Archives/edgar/data/353278/000035327826000018/caq12026.htm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Financials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https://www.novonordisk.com/content/dam/nncorp/global/en/investors/pdfs/capital-markets-day/2026/financials-presentation-cmd-2026.pdf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https://www.sec.gov/Archives/edgar/data/59478/000005947826000013/lly-20251231.htm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10-Q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https://www.sec.gov/Archives/edgar/data/59478/000005947826000081/lly-20260630.htm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DKK), cierres de 2021 a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https://data-api.ecb.europa.eu/service/data/EXR/D.USD+DKK.EUR.SP00.A?format=csvdata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Corporate strategy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https://www.novonordisk.com/content/dam/nncorp/global/en/investors/pdfs/capital-markets-day/2026/corporate-strategy-presentation-cmd-2026.pdf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Obesity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https://www.novonordisk.com/content/dam/nncorp/global/en/investors/pdfs/capital-markets-day/2026/obesity-presentation-cmd-2026.pdf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2026: Diabetes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https://www.novonordisk.com/content/dam/nncorp/global/en/investors/pdfs/capital-markets-day/2026/Diabetes-presentation-3.pdf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 Form 10-K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and Company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https://www.sec.gov/Archives/edgar/data/59478/000005947823000082/lly-20221231.htm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report for the period 1 January 2023 to 31 December 2023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https://www.sec.gov/Archives/edgar/data/353278/000162828024002639/caq42023.htm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Obesity drugs: what's next for GLP-1s (Global Research)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 Morgan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https://www.jpmorgan.com/insights/global-research/current-events/obesity-drugs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Lilly's Foundayo prescriptions rise as Novo Nordisk's Wegovy pill maintains lead (datos IQVIA citados por Citi)</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HLTH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https://hlth.com/insights/news/eli-lilly-s-foundayo-prescriptions-rise-as-novo-nordisk-s-wegovy-pill-maintains-lead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Eli Lilly Q2 2026 Earnings Call Transcript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https://www.webull.com/news/15393382814852096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Medicare price negotiation: Wegovy, Ozempic, Trelegy among 2027 drugs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Healthcare Dive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https://www.healthcaredive.com/news/medicare-price-negotiation-wegovy-ozempic-trelegy-2027/806578/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Weight-loss drug makers announce pricing agreement with Trump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Jazeera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https://www.aljazeera.com/economy/2025/11/6/weight-loss-drug-makers-announce-pricing-agreement-with-trump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wave of generic Ozempic (semaglutide) approvals underway in South America with Sandoz/Adalvo's Owozy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Pearce IP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https://www.pearceip.law/2026/07/29/first-wave-of-generic-ozempic-semaglutide-approvals-underway-in-south-america-with-sandoz-adalvos-owozy/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says Ozempic copycats in China may be delayed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ScandAsia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https://scandasia.com/novo-nordisk-says-ozempic-copycats-in-china-may-be-delayed/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Hims &amp; Hers Health and Novo Nordisk end lawsuit over weight loss medications, enter collaboration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WTOP (AP)</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https://wtop.com/national/2026/03/hims-hers-health-and-novo-nordisk-end-lawsuit-over-weight-loss-medications-enter-collaboration/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 launches its generic Semaglutide Injection in Canada (Business Wire)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Dr. Reddy's Laboratories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https://stocks.observer-reporter.com/observerreporter/article/bizwire-2026-5-16-dr-reddys-laboratories-launches-its-generic-semaglutide-injection-in-canada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Amgen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https://data.sec.gov/api/xbrl/companyfacts/CIK0000318154.json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Inc.,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https://data.sec.gov/api/xbrl/companyfacts/CIK0000078003.json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Viking Therapeutics, Form 10-K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https://data.sec.gov/api/xbrl/companyfacts/CIK0001607678.json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https://data.sec.gov/api/xbrl/companyfacts/CIK0001121404.json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AstraZeneca PLC, Form 20-F 2025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https://data.sec.gov/api/xbrl/companyfacts/CIK0000901832.json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https://www.novonordisk.com/content/dam/nncorp/global/en/investors/irmaterial/annual_report/2026/novo-nordisk-corporate-governance-report-2025.pdf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Remuneration Report 2025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https://www.sec.gov/Archives/edgar/data/353278/000035327826000009/novonordisk_remuneration.htm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28/2025: convocatoria de junta extraordinaria para elegir nuevo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https://www.sec.gov/Archives/edgar/data/353278/000117184325006550/f6k_102125.htm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35/2025: acuerdos de la junta extraordinaria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https://www.sec.gov/Archives/edgar/data/353278/000117184325007325/f6k_111425.htm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34/2025: Mikael Dolsten retira su candidatura al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https://www.sec.gov/Archives/edgar/data/353278/000117184325007307/f6k_111325.htm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Acuerdos de la junta general ordinaria de 26-mar-2026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https://www.sec.gov/Archives/edgar/data/353278/000117184326001932/f6k_032626.htm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16/2026: elección de consejeros de los empleados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https://www.sec.gov/Archives/edgar/data/353278/000117184326001236/f6k_030226.htm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(11-nov-2025)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https://www.sec.gov/Archives/edgar/data/353278/000117184325007200/f6k_111125.htm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https://www.sec.gov/Archives/edgar/data/353278/000117184325007383/f6k_111725.htm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(5-feb-2026)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https://www.sec.gov/Archives/edgar/data/353278/000117184326000652/f6k_020426.htm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(10-feb-2026)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https://www.sec.gov/Archives/edgar/data/353278/000117184326000718/f6k_021026.htm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Company announcement 10/2026: Trading in Novo Nordisk shares by board members, executives and associated persons (11-feb-2026)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https://www.sec.gov/Archives/edgar/data/353278/000117184326000749/f6k_021126.htm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27-mar-2025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https://www.novonordisk.com/content/dam/nncorp/global/en/investors/irmaterial/agm/2025/novo-nordisk-agm-2025-minutes.pdf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extraordinaria de 14-nov-2025 con resultados de votación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https://www.novonordisk.com/content/dam/nncorp/global/en/investors/irmaterial/egm/novo-nordisk-egm-2025-minutes.pdf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Acta de la junta general ordinaria de 26-mar-2026 con resultados de votación (anexos 1 y 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https://www.novonordisk.com/content/dam/nncorp/global/en/investors/irmaterial/agm/2026/AGM%202026%20minutes%20with%20appendices.pdf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Convocatoria de la junta general ordinaria 2026 (candidatos e independencia)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https://www.novonordisk.com/content/dam/nncorp/global/en/investors/irmaterial/agm/2026/novo-nordisk-agm-2026-notice.pdf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2020 (6-K): perspectivas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https://www.sec.gov/Archives/edgar/data/353278/000162828021001337/caq42020.htm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financiero 2022 (6-K): perspectivas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https://www.sec.gov/Archives/edgar/data/353278/000162828023001872/caq42022.htm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raises adjusted sales and adjusted operating profit outlook for 2026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https://www.sec.gov/Archives/edgar/data/353278/000117184326005184/f6k_080426.htm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initiates 2026 share repurchase programme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https://www.sec.gov/Archives/edgar/data/353278/000117184326000651/f6k_020426.htm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(6-ago-2026)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https://www.sec.gov/Archives/edgar/data/353278/000117184326005375/f6k_080626.htm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in Novo Nordisk shares by board members, executives and associated persons (12-may-2026)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(6-K, MAR art. 19)</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https://www.sec.gov/Archives/edgar/data/353278/000117184326003349/f6k_051226.htm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NOVO-B.CO, XACTC25.CO (ETF del OMXC25), ^OMXC25, EXV4.DE (iShares STOXX Europe 600 Health Care), IMAE.AS y ^STOXX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https://finance.yahoo.com/quote/NOVO-B.CO/history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5 de octubre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https://www.sec.gov/Archives/edgar/data/353278/000117184326006440/f6k_100526.htm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6 de julio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https://www.sec.gov/Archives/edgar/data/353278/000117184326004469/f6k_070626.htm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 repurchase programme, anuncio del 17 de agosto de 2026 (Form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https://www.sec.gov/Archives/edgar/data/353278/000117184326005599/f6k_081726.htm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Tabla MPK3: rentabilidad del bono del Estado a 10 años (mensual)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Statistics Denmark (Statbank)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https://api.statbank.dk/v1/data/MPK3/CSV?lang=en&amp;TYPE=5500701004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Long-term interest rate for convergence purposes, Danish krone (IRS.M.DK.L.L40.CI.0000.DKK.N.Z)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https://data.ecb.europa.eu/data/datasets/IRS/IRS.M.DK.L.L40.CI.0000.DKK.N.Z</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8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Financials (estimaciones 2026-2028)</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https://www.marketscreener.com/quote/stock/NOVO-NORDISK-A-S-1412980/consensus/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(NVO) Stock Forecast &amp;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https://stockanalysis.com/stocks/nvo/forecast/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A/S (NVO) Analysis: EPS trend and revisions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https://finance.yahoo.com/quote/NVO/analysis/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Holdings to Acquire Catalent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Novo Holdings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https://www.sec.gov/Archives/edgar/data/1596783/000119312524023426/d80880dex991.htm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resultados del 2T del ejercicio 2024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https://www.sec.gov/Archives/edgar/data/1596783/000159678324000014/earningsreleaseex991-fy24x.htm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formulario 10-K del ejercicio a 30-jun-2023 (ingresos 4.263 M USD,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Catalent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https://www.sec.gov/Archives/edgar/data/1596783/000159678323000185/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three fill-finish sites from Novo Holdings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https://www.sec.gov/Archives/edgar/data/353278/000117184324000577/f6k_020524.htm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to Acquire Metsera (comunicado,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 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https://www.sec.gov/Archives/edgar/data/2040807/000119312525210030/d921605dex991.htm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and Metsera Enter into Merger Agreement Amendment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Metsera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https://www.sec.gov/Archives/edgar/data/2040807/000119312525273292/d50740dex991.htm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 formulario 8-K de cierre de la compra de Metsera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Pfizer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https://www.sec.gov/Archives/edgar/data/78003/000007800325000159/pfe-20251113.htm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 acuerdo de compra por Novo Nordisk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Akero Therapeutics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https://www.sec.gov/Archives/edgar/data/1744659/000119312525235919/d42650dex991.htm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to acquire Akero Therapeutics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https://www.sec.gov/Archives/edgar/data/353278/000117184325006370/f6k_100925.htm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Blueprint Medicines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https://www.sec.gov/Archives/edgar/data/1597264/000110465925055143/tm2516831d1_ex99-1.htm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10-K 2024 y 10-Q del 1T25 (datos XBRL: ingresos, caja, deuda)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Blueprint Medicines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https://data.sec.gov/api/xbrl/companyfacts/CIK0001597264.json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Lilly to acquire Verve Therapeutics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Verve Therapeutics / Eli Lilly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https://www.sec.gov/Archives/edgar/data/1840574/000119312525141748/d30505dex991.htm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 to acquire Carmot Therapeutics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Roche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https://www.roche.com/media/releases/med-cor-2023-12-04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Interim report for the first six months of 2023 (Inversago)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ago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https://www.sec.gov/Archives/edgar/data/353278/000162828023028728/caq22023.htm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Sanofi to acquire Provention Bio (8-K ex.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Provention Bio / Sanofi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https://www.sec.gov/Archives/edgar/data/1695357/000149315223007347/ex99-1.htm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Chiesi Farmaceutici to Acquire Amryt Pharma (6-K ex. 99.7)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Amryt Pharma / Chiesi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ene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https://www.sec.gov/Archives/edgar/data/1783010/000114036123001045/brhc10046429_ex99-7.htm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Annual Report 2009 (6-K)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2010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https://www.sec.gov/Archives/edgar/data/353278/000120864610000074/c102184.htm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2014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2015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https://www.sec.gov/Archives/edgar/data/353278/000117184315000625/f20f_020515.htm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Form 20-F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Novo Nordisk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https://www.sec.gov/Archives/edgar/data/353278/000162828022001639/nvo-20211231.htm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EMA: Meeting highlights from the Pharmacovigilance Risk Assessment Committee (PRAC) 2-5 June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Agencia Europea de Medicamentos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https://www.ema.europa.eu/en/news/meeting-highlights-pharmacovigilance-risk-assessment-committee-prac-2-5-june-2025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cotización, capitalización, valor empresa, cuentas de los últimos doce meses, ROIC y flujo libre de los comparables (LLY, AZN, ROG, NOVN, SAN, MRK, GSK, ZEAL),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estimaciones 2026e y 2027e de ventas, EBITDA y beneficio de los comparables, consulta del 8-oct-2026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88,1 %</w:t>
      </w:r>
      <w:r>
        <w:t xml:space="preserve"> · Secciones con menos del 60 % de campos cubiertos: </w:t>
      </w:r>
      <w:r>
        <w:rPr>
          <w:b/>
          <w:bCs/>
        </w:rPr>
        <w:t xml:space="preserve">ninguna</w:t>
      </w:r>
      <w:r>
        <w:t xml:space="preserve"> · Generado el 8 oct 2026.</w:t>
      </w:r>
    </w:p>
    <w:p>
      <w:pPr>
        <w:pStyle w:val="Nota"/>
        <w:spacing w:after="100"/>
      </w:pPr>
      <w:r>
        <w:t xml:space="preserve">Se analiza la acción B de Novo Nordisk en Nasdaq Copenhague, en coronas danesas; el ADR de Nueva York (NVO) equivale a una acción B y no se usa. Las acciones A, todas de Novo Holdings, no cotizan y se cuentan en el número de acciones al mismo valor que las B. Las cifras de los últimos doce meses (LTM jun-26) son ventas ajustadas: se quita la reversión no monetaria de 26.760 M DKK de la provisión de descuentos del programa 340B del primer trimestre de 2026 [4], que inflaría las ventas, el EBITDA y el BPA de ese periodo; el beneficio neto y el BPA de los últimos doce meses sí la incluyen. El consenso es de MarketScreener y mezcla analistas que incluyen esa reversión con otros que no. Los comparables extranjeros se convierten a DKK con los cambios del BCE del 8-oct-2026. No hay transcripciones gratuitas de las conferencias con analistas ni un registro danés accesible de posiciones cortas.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Novo Nordisk A/S (NOVO B)</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(DKK, millones)</a:t>
            </a:r>
          </a:p>
        </c:rich>
      </c:tx>
      <c:overlay val="0"/>
    </c:title>
    <c:autoTitleDeleted val="0"/>
    <c:plotArea>
      <c:layout/>
      <c:barChart>
        <c:barDir val="col"/>
        <c:grouping val="stacked"/>
        <c:varyColors val="0"/>
        <c:ser>
          <c:idx val="0"/>
          <c:order val="0"/>
          <c:tx>
            <c:strRef>
              <c:f>Hoja1!$B$1</c:f>
              <c:strCache>
                <c:ptCount val="1"/>
                <c:pt idx="0">
                  <c:v>Obesidad y diabetes (Obesity and Diabetes care)</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121597</c:v>
                </c:pt>
                <c:pt idx="1">
                  <c:v>156412</c:v>
                </c:pt>
                <c:pt idx="2">
                  <c:v>215098</c:v>
                </c:pt>
                <c:pt idx="3">
                  <c:v>271764</c:v>
                </c:pt>
                <c:pt idx="4">
                  <c:v>289456</c:v>
                </c:pt>
              </c:numCache>
            </c:numRef>
          </c:val>
        </c:ser>
        <c:ser>
          <c:idx val="1"/>
          <c:order val="1"/>
          <c:tx>
            <c:strRef>
              <c:f>Hoja1!$C$1</c:f>
              <c:strCache>
                <c:ptCount val="1"/>
                <c:pt idx="0">
                  <c:v>Enfermedades raras (Rare disease)</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19203</c:v>
                </c:pt>
                <c:pt idx="1">
                  <c:v>20542</c:v>
                </c:pt>
                <c:pt idx="2">
                  <c:v>17163</c:v>
                </c:pt>
                <c:pt idx="3">
                  <c:v>18639</c:v>
                </c:pt>
                <c:pt idx="4">
                  <c:v>19608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Obesidad y diabetes (Obesity and Diabetes care)</c:v>
                </c:pt>
                <c:pt idx="1">
                  <c:v>Enfermedades raras (Rare disease)</c:v>
                </c:pt>
              </c:strCache>
            </c:strRef>
          </c:cat>
          <c:val>
            <c:numRef>
              <c:f>Hoja1!$B$2:$B$3</c:f>
              <c:numCache>
                <c:formatCode>General</c:formatCode>
                <c:ptCount val="2"/>
                <c:pt idx="0">
                  <c:v>93.7</c:v>
                </c:pt>
                <c:pt idx="1">
                  <c:v>6.3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EE. UU. (US Operations)</c:v>
                </c:pt>
                <c:pt idx="1">
                  <c:v>Europa y Canadá (EUCAN)</c:v>
                </c:pt>
                <c:pt idx="2">
                  <c:v>Mercados emergentes (Latinoamérica, Oriente Medio, África)</c:v>
                </c:pt>
                <c:pt idx="3">
                  <c:v>APAC (Japón, Corea, Oceanía, Sudeste Asiático)</c:v>
                </c:pt>
                <c:pt idx="4">
                  <c:v>Región China (China, Hong Kong, Taiwán)</c:v>
                </c:pt>
              </c:strCache>
            </c:strRef>
          </c:cat>
          <c:val>
            <c:numRef>
              <c:f>Hoja1!$B$2:$B$6</c:f>
              <c:numCache>
                <c:formatCode>0"%"</c:formatCode>
                <c:ptCount val="5"/>
                <c:pt idx="0">
                  <c:v>56</c:v>
                </c:pt>
                <c:pt idx="1">
                  <c:v>21.4</c:v>
                </c:pt>
                <c:pt idx="2">
                  <c:v>9.8</c:v>
                </c:pt>
                <c:pt idx="3">
                  <c:v>6.7</c:v>
                </c:pt>
                <c:pt idx="4">
                  <c:v>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DKK (ventas de GLP-1 de Novo más incretinas de Lilly, al cambio de cierre; 2030e de J.P. Morgan))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2021</c:v>
                </c:pt>
                <c:pt idx="1">
                  <c:v>2022</c:v>
                </c:pt>
                <c:pt idx="2">
                  <c:v>2023</c:v>
                </c:pt>
                <c:pt idx="3">
                  <c:v>2024</c:v>
                </c:pt>
                <c:pt idx="4">
                  <c:v>2025</c:v>
                </c:pt>
                <c:pt idx="5">
                  <c:v>2030e</c:v>
                </c:pt>
              </c:strCache>
            </c:strRef>
          </c:cat>
          <c:val>
            <c:numRef>
              <c:f>Hoja1!$B$2:$B$7</c:f>
              <c:numCache>
                <c:formatCode>#,##0</c:formatCode>
                <c:ptCount val="6"/>
                <c:pt idx="0">
                  <c:v>104490</c:v>
                </c:pt>
                <c:pt idx="1">
                  <c:v>155470</c:v>
                </c:pt>
                <c:pt idx="2">
                  <c:v>248877</c:v>
                </c:pt>
                <c:pt idx="3">
                  <c:v>370188</c:v>
                </c:pt>
                <c:pt idx="4">
                  <c:v>493786</c:v>
                </c:pt>
                <c:pt idx="5">
                  <c:v>1271300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2</c:v>
                </c:pt>
                <c:pt idx="3">
                  <c:v>3</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Novo Nordisk</c:v>
                </c:pt>
                <c:pt idx="1">
                  <c:v>Eli Lilly and Company</c:v>
                </c:pt>
                <c:pt idx="2">
                  <c:v>Sanofi</c:v>
                </c:pt>
                <c:pt idx="3">
                  <c:v>AstraZeneca</c:v>
                </c:pt>
                <c:pt idx="4">
                  <c:v>Amgen</c:v>
                </c:pt>
                <c:pt idx="5">
                  <c:v>Pfizer</c:v>
                </c:pt>
                <c:pt idx="6">
                  <c:v>Viking Therapeutics</c:v>
                </c:pt>
              </c:strCache>
            </c:strRef>
          </c:cat>
          <c:val>
            <c:numRef>
              <c:f>Hoja1!$B$2:$B$8</c:f>
              <c:numCache>
                <c:formatCode>0.0"%"</c:formatCode>
                <c:ptCount val="7"/>
                <c:pt idx="0">
                  <c:v>42.3</c:v>
                </c:pt>
                <c:pt idx="1">
                  <c:v>40.4</c:v>
                </c:pt>
                <c:pt idx="2">
                  <c:v>13.6</c:v>
                </c:pt>
                <c:pt idx="3">
                  <c:v>23.4</c:v>
                </c:pt>
                <c:pt idx="4">
                  <c:v>24.7</c:v>
                </c:pt>
                <c:pt idx="5">
                  <c:v>12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2</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(DKK,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140800</c:v>
                </c:pt>
                <c:pt idx="1">
                  <c:v>176954</c:v>
                </c:pt>
                <c:pt idx="2">
                  <c:v>232261</c:v>
                </c:pt>
                <c:pt idx="3">
                  <c:v>290403</c:v>
                </c:pt>
                <c:pt idx="4">
                  <c:v>309064</c:v>
                </c:pt>
                <c:pt idx="5">
                  <c:v>296701</c:v>
                </c:pt>
                <c:pt idx="6">
                  <c:v>296701</c:v>
                </c:pt>
                <c:pt idx="7">
                  <c:v>308569</c:v>
                </c:pt>
                <c:pt idx="8">
                  <c:v>320912</c:v>
                </c:pt>
                <c:pt idx="9">
                  <c:v>333749</c:v>
                </c:pt>
                <c:pt idx="10">
                  <c:v>333749</c:v>
                </c:pt>
                <c:pt idx="11">
                  <c:v>310386</c:v>
                </c:pt>
                <c:pt idx="12">
                  <c:v>291763</c:v>
                </c:pt>
                <c:pt idx="13">
                  <c:v>291763</c:v>
                </c:pt>
                <c:pt idx="14">
                  <c:v>297598</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64669</c:v>
                </c:pt>
                <c:pt idx="1">
                  <c:v>82171</c:v>
                </c:pt>
                <c:pt idx="2">
                  <c:v>111987</c:v>
                </c:pt>
                <c:pt idx="3">
                  <c:v>147446</c:v>
                </c:pt>
                <c:pt idx="4">
                  <c:v>152635</c:v>
                </c:pt>
                <c:pt idx="5">
                  <c:v>142417</c:v>
                </c:pt>
                <c:pt idx="6">
                  <c:v>137966</c:v>
                </c:pt>
                <c:pt idx="7">
                  <c:v>145028</c:v>
                </c:pt>
                <c:pt idx="8">
                  <c:v>150829</c:v>
                </c:pt>
                <c:pt idx="9">
                  <c:v>156862</c:v>
                </c:pt>
                <c:pt idx="10">
                  <c:v>155193</c:v>
                </c:pt>
                <c:pt idx="11">
                  <c:v>138122</c:v>
                </c:pt>
                <c:pt idx="12">
                  <c:v>125458</c:v>
                </c:pt>
                <c:pt idx="13">
                  <c:v>125458</c:v>
                </c:pt>
                <c:pt idx="14">
                  <c:v>127967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83.2</c:v>
                </c:pt>
                <c:pt idx="1">
                  <c:v>83.9</c:v>
                </c:pt>
                <c:pt idx="2">
                  <c:v>84.6</c:v>
                </c:pt>
                <c:pt idx="3">
                  <c:v>84.7</c:v>
                </c:pt>
                <c:pt idx="4">
                  <c:v>81</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45.9</c:v>
                </c:pt>
                <c:pt idx="1">
                  <c:v>46.4</c:v>
                </c:pt>
                <c:pt idx="2">
                  <c:v>48.2</c:v>
                </c:pt>
                <c:pt idx="3">
                  <c:v>50.8</c:v>
                </c:pt>
                <c:pt idx="4">
                  <c:v>49.4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41.7</c:v>
                </c:pt>
                <c:pt idx="1">
                  <c:v>42.3</c:v>
                </c:pt>
                <c:pt idx="2">
                  <c:v>44.2</c:v>
                </c:pt>
                <c:pt idx="3">
                  <c:v>44.2</c:v>
                </c:pt>
                <c:pt idx="4">
                  <c:v>42.3</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33.9</c:v>
                </c:pt>
                <c:pt idx="1">
                  <c:v>31.4</c:v>
                </c:pt>
                <c:pt idx="2">
                  <c:v>36</c:v>
                </c:pt>
                <c:pt idx="3">
                  <c:v>34.8</c:v>
                </c:pt>
                <c:pt idx="4">
                  <c:v>33.1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21</c:v>
                </c:pt>
                <c:pt idx="1">
                  <c:v>30</c:v>
                </c:pt>
                <c:pt idx="2">
                  <c:v>19</c:v>
                </c:pt>
                <c:pt idx="3">
                  <c:v>13</c:v>
                </c:pt>
                <c:pt idx="4">
                  <c:v>5</c:v>
                </c:pt>
                <c:pt idx="5">
                  <c:v>-8</c:v>
                </c:pt>
                <c:pt idx="6">
                  <c:v>24</c:v>
                </c:pt>
                <c:pt idx="7">
                  <c:v>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23</c:v>
                </c:pt>
                <c:pt idx="1">
                  <c:v>30</c:v>
                </c:pt>
                <c:pt idx="2">
                  <c:v>18</c:v>
                </c:pt>
                <c:pt idx="3">
                  <c:v>18</c:v>
                </c:pt>
                <c:pt idx="4">
                  <c:v>11</c:v>
                </c:pt>
                <c:pt idx="5">
                  <c:v>-2</c:v>
                </c:pt>
                <c:pt idx="6">
                  <c:v>32</c:v>
                </c:pt>
                <c:pt idx="7">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105</c:v>
                </c:pt>
                <c:pt idx="1">
                  <c:v>104</c:v>
                </c:pt>
                <c:pt idx="2">
                  <c:v>102</c:v>
                </c:pt>
                <c:pt idx="3">
                  <c:v>90</c:v>
                </c:pt>
                <c:pt idx="4">
                  <c:v>84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303</c:v>
                </c:pt>
                <c:pt idx="1">
                  <c:v>313</c:v>
                </c:pt>
                <c:pt idx="2">
                  <c:v>325</c:v>
                </c:pt>
                <c:pt idx="3">
                  <c:v>335</c:v>
                </c:pt>
                <c:pt idx="4">
                  <c:v>308</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137</c:v>
                </c:pt>
                <c:pt idx="1">
                  <c:v>200</c:v>
                </c:pt>
                <c:pt idx="2">
                  <c:v>261</c:v>
                </c:pt>
                <c:pt idx="3">
                  <c:v>141</c:v>
                </c:pt>
                <c:pt idx="4">
                  <c:v>123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(DKK,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46741</c:v>
                </c:pt>
                <c:pt idx="1">
                  <c:v>64317</c:v>
                </c:pt>
                <c:pt idx="2">
                  <c:v>81154</c:v>
                </c:pt>
                <c:pt idx="3">
                  <c:v>71677</c:v>
                </c:pt>
                <c:pt idx="4">
                  <c:v>56931</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47757</c:v>
                </c:pt>
                <c:pt idx="1">
                  <c:v>55525</c:v>
                </c:pt>
                <c:pt idx="2">
                  <c:v>83683</c:v>
                </c:pt>
                <c:pt idx="3">
                  <c:v>100988</c:v>
                </c:pt>
                <c:pt idx="4">
                  <c:v>102434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59.3</c:v>
                </c:pt>
                <c:pt idx="1">
                  <c:v>72.6</c:v>
                </c:pt>
                <c:pt idx="2">
                  <c:v>86.8</c:v>
                </c:pt>
                <c:pt idx="3">
                  <c:v>63</c:v>
                </c:pt>
                <c:pt idx="4">
                  <c:v>39.6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6.8</c:v>
                </c:pt>
                <c:pt idx="1">
                  <c:v>6.8</c:v>
                </c:pt>
                <c:pt idx="2">
                  <c:v>6.8</c:v>
                </c:pt>
                <c:pt idx="3">
                  <c:v>6.8</c:v>
                </c:pt>
                <c:pt idx="4">
                  <c:v>6.8</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67.5</c:v>
                </c:pt>
                <c:pt idx="1">
                  <c:v>72</c:v>
                </c:pt>
                <c:pt idx="2">
                  <c:v>88.1</c:v>
                </c:pt>
                <c:pt idx="3">
                  <c:v>80.8</c:v>
                </c:pt>
                <c:pt idx="4">
                  <c:v>60.7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0.14</c:v>
                </c:pt>
                <c:pt idx="1">
                  <c:v>0.03</c:v>
                </c:pt>
                <c:pt idx="2">
                  <c:v>-0.03</c:v>
                </c:pt>
                <c:pt idx="3">
                  <c:v>0.52</c:v>
                </c:pt>
                <c:pt idx="4">
                  <c:v>0.68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(DKK,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10638</c:v>
                </c:pt>
                <c:pt idx="1">
                  <c:v>19045</c:v>
                </c:pt>
                <c:pt idx="2">
                  <c:v>15685</c:v>
                </c:pt>
                <c:pt idx="3">
                  <c:v>12324</c:v>
                </c:pt>
                <c:pt idx="4">
                  <c:v>11203</c:v>
                </c:pt>
                <c:pt idx="5">
                  <c:v>53776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(DKK,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18283</c:v>
                </c:pt>
                <c:pt idx="1">
                  <c:v>8256</c:v>
                </c:pt>
                <c:pt idx="2">
                  <c:v>12590</c:v>
                </c:pt>
                <c:pt idx="3">
                  <c:v>85598</c:v>
                </c:pt>
                <c:pt idx="4">
                  <c:v>29445</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21517</c:v>
                </c:pt>
                <c:pt idx="1">
                  <c:v>25303</c:v>
                </c:pt>
                <c:pt idx="2">
                  <c:v>31767</c:v>
                </c:pt>
                <c:pt idx="3">
                  <c:v>44140</c:v>
                </c:pt>
                <c:pt idx="4">
                  <c:v>51763</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19447</c:v>
                </c:pt>
                <c:pt idx="1">
                  <c:v>24086</c:v>
                </c:pt>
                <c:pt idx="2">
                  <c:v>29924</c:v>
                </c:pt>
                <c:pt idx="3">
                  <c:v>20181</c:v>
                </c:pt>
                <c:pt idx="4">
                  <c:v>1388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Dominical</c:v>
                </c:pt>
                <c:pt idx="1">
                  <c:v>Independiente</c:v>
                </c:pt>
                <c:pt idx="2">
                  <c:v>Otro externo</c:v>
                </c:pt>
              </c:strCache>
            </c:strRef>
          </c:cat>
          <c:val>
            <c:numRef>
              <c:f>Hoja1!$B$2:$B$4</c:f>
              <c:numCache>
                <c:formatCode>0</c:formatCode>
                <c:ptCount val="3"/>
                <c:pt idx="0">
                  <c:v>3</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Novo Holdings A/S (Novo Nordisk Foundation)</c:v>
                </c:pt>
                <c:pt idx="1">
                  <c:v>Autocartera</c:v>
                </c:pt>
                <c:pt idx="2">
                  <c:v>Consejo y alta dirección</c:v>
                </c:pt>
              </c:strCache>
            </c:strRef>
          </c:cat>
          <c:val>
            <c:numRef>
              <c:f>Hoja1!$B$2:$B$4</c:f>
              <c:numCache>
                <c:formatCode>0.0"%"</c:formatCode>
                <c:ptCount val="3"/>
                <c:pt idx="0">
                  <c:v>28.05</c:v>
                </c:pt>
                <c:pt idx="1">
                  <c:v>0.48</c:v>
                </c:pt>
                <c:pt idx="2">
                  <c:v>0.03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Hoja1!$B$2:$B$7</c:f>
              <c:numCache>
                <c:formatCode>0"%"</c:formatCode>
                <c:ptCount val="6"/>
                <c:pt idx="0">
                  <c:v>12.8</c:v>
                </c:pt>
                <c:pt idx="1">
                  <c:v>75.6</c:v>
                </c:pt>
                <c:pt idx="2">
                  <c:v>29.5</c:v>
                </c:pt>
                <c:pt idx="3">
                  <c:v>50.7</c:v>
                </c:pt>
                <c:pt idx="4">
                  <c:v>-9.6</c:v>
                </c:pt>
                <c:pt idx="5">
                  <c:v>-46.4</c:v>
                </c:pt>
              </c:numCache>
            </c:numRef>
          </c:val>
        </c:ser>
        <c:ser>
          <c:idx val="1"/>
          <c:order val="1"/>
          <c:tx>
            <c:strRef>
              <c:f>Hoja1!$C$1</c:f>
              <c:strCache>
                <c:ptCount val="1"/>
                <c:pt idx="0">
                  <c:v>Índice</c:v>
                </c:pt>
              </c:strCache>
            </c:strRef>
          </c:tx>
          <c:spPr>
            <a:solidFill>
              <a:srgbClr val="EB6834"/>
            </a:solidFill>
            <a:ln w="9525">
              <a:noFill/>
            </a:ln>
          </c:spPr>
          <c:invertIfNegative val="0"/>
          <c:cat>
            <c:strRef>
              <c:f>Hoja1!$A$2:$A$7</c:f>
              <c:strCache>
                <c:ptCount val="6"/>
                <c:pt idx="0">
                  <c:v>2020</c:v>
                </c:pt>
                <c:pt idx="1">
                  <c:v>2021</c:v>
                </c:pt>
                <c:pt idx="2">
                  <c:v>2022</c:v>
                </c:pt>
                <c:pt idx="3">
                  <c:v>2023</c:v>
                </c:pt>
                <c:pt idx="4">
                  <c:v>2024</c:v>
                </c:pt>
                <c:pt idx="5">
                  <c:v>2025</c:v>
                </c:pt>
              </c:strCache>
            </c:strRef>
          </c:cat>
          <c:val>
            <c:numRef>
              <c:f>Hoja1!$C$2:$C$7</c:f>
              <c:numCache>
                <c:formatCode>0"%"</c:formatCode>
                <c:ptCount val="6"/>
                <c:pt idx="0">
                  <c:v>35.5</c:v>
                </c:pt>
                <c:pt idx="1">
                  <c:v>18.1</c:v>
                </c:pt>
                <c:pt idx="2">
                  <c:v>-12.1</c:v>
                </c:pt>
                <c:pt idx="3">
                  <c:v>10.6</c:v>
                </c:pt>
                <c:pt idx="4">
                  <c:v>0.1</c:v>
                </c:pt>
                <c:pt idx="5">
                  <c:v>4.5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5">
                  <c:v>26.3</c:v>
                </c:pt>
                <c:pt idx="6">
                  <c:v>26</c:v>
                </c:pt>
                <c:pt idx="7">
                  <c:v>28</c:v>
                </c:pt>
                <c:pt idx="8">
                  <c:v>19.4</c:v>
                </c:pt>
                <c:pt idx="9">
                  <c:v>10.2</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26</c:v>
                </c:pt>
                <c:pt idx="1">
                  <c:v>26</c:v>
                </c:pt>
                <c:pt idx="2">
                  <c:v>26</c:v>
                </c:pt>
                <c:pt idx="3">
                  <c:v>26</c:v>
                </c:pt>
                <c:pt idx="4">
                  <c:v>26</c:v>
                </c:pt>
                <c:pt idx="5">
                  <c:v>26</c:v>
                </c:pt>
                <c:pt idx="6">
                  <c:v>26</c:v>
                </c:pt>
                <c:pt idx="7">
                  <c:v>26</c:v>
                </c:pt>
                <c:pt idx="8">
                  <c:v>26</c:v>
                </c:pt>
                <c:pt idx="9">
                  <c:v>26</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Novo Nordisk</c:v>
                </c:pt>
                <c:pt idx="1">
                  <c:v>Eli Lilly</c:v>
                </c:pt>
                <c:pt idx="2">
                  <c:v>AstraZeneca</c:v>
                </c:pt>
                <c:pt idx="3">
                  <c:v>Roche</c:v>
                </c:pt>
                <c:pt idx="4">
                  <c:v>Novartis</c:v>
                </c:pt>
                <c:pt idx="5">
                  <c:v>Sanofi</c:v>
                </c:pt>
                <c:pt idx="6">
                  <c:v>Merck &amp; Co</c:v>
                </c:pt>
                <c:pt idx="7">
                  <c:v>GSK</c:v>
                </c:pt>
              </c:strCache>
            </c:strRef>
          </c:cat>
          <c:val>
            <c:numRef>
              <c:f>Hoja1!$B$2:$B$9</c:f>
              <c:numCache>
                <c:formatCode>0.0"x"</c:formatCode>
                <c:ptCount val="8"/>
                <c:pt idx="0">
                  <c:v>8.4</c:v>
                </c:pt>
                <c:pt idx="1">
                  <c:v>20.6</c:v>
                </c:pt>
                <c:pt idx="2">
                  <c:v>11.4</c:v>
                </c:pt>
                <c:pt idx="3">
                  <c:v>11.5</c:v>
                </c:pt>
                <c:pt idx="4">
                  <c:v>12.5</c:v>
                </c:pt>
                <c:pt idx="5">
                  <c:v>6.6</c:v>
                </c:pt>
                <c:pt idx="6">
                  <c:v>13.3</c:v>
                </c:pt>
                <c:pt idx="7">
                  <c:v>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Novo Nordisk</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0.2</c:v>
                </c:pt>
              </c:numCache>
            </c:numRef>
          </c:xVal>
          <c:yVal>
            <c:numRef>
              <c:f>Hoja1!$C$2</c:f>
              <c:numCache>
                <c:formatCode>0.0"x"</c:formatCode>
                <c:ptCount val="1"/>
                <c:pt idx="0">
                  <c:v>8.4</c:v>
                </c:pt>
              </c:numCache>
            </c:numRef>
          </c:yVal>
          <c:smooth val="0"/>
        </c:ser>
        <c:ser>
          <c:idx val="1"/>
          <c:order val="1"/>
          <c:tx>
            <c:strRef>
              <c:f>Hoja1!$A$3</c:f>
              <c:strCache>
                <c:ptCount val="1"/>
                <c:pt idx="0">
                  <c:v>Eli Lilly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24.4</c:v>
                </c:pt>
              </c:numCache>
            </c:numRef>
          </c:xVal>
          <c:yVal>
            <c:numRef>
              <c:f>Hoja1!$C$3</c:f>
              <c:numCache>
                <c:formatCode>0.0"x"</c:formatCode>
                <c:ptCount val="1"/>
                <c:pt idx="0">
                  <c:v>20.6</c:v>
                </c:pt>
              </c:numCache>
            </c:numRef>
          </c:yVal>
          <c:smooth val="0"/>
        </c:ser>
        <c:ser>
          <c:idx val="2"/>
          <c:order val="2"/>
          <c:tx>
            <c:strRef>
              <c:f>Hoja1!$A$4</c:f>
              <c:strCache>
                <c:ptCount val="1"/>
                <c:pt idx="0">
                  <c:v>AstraZeneca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7.8</c:v>
                </c:pt>
              </c:numCache>
            </c:numRef>
          </c:xVal>
          <c:yVal>
            <c:numRef>
              <c:f>Hoja1!$C$4</c:f>
              <c:numCache>
                <c:formatCode>0.0"x"</c:formatCode>
                <c:ptCount val="1"/>
                <c:pt idx="0">
                  <c:v>11.4</c:v>
                </c:pt>
              </c:numCache>
            </c:numRef>
          </c:yVal>
          <c:smooth val="0"/>
        </c:ser>
        <c:ser>
          <c:idx val="3"/>
          <c:order val="3"/>
          <c:tx>
            <c:strRef>
              <c:f>Hoja1!$A$5</c:f>
              <c:strCache>
                <c:ptCount val="1"/>
                <c:pt idx="0">
                  <c:v>Roche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3.5</c:v>
                </c:pt>
              </c:numCache>
            </c:numRef>
          </c:xVal>
          <c:yVal>
            <c:numRef>
              <c:f>Hoja1!$C$5</c:f>
              <c:numCache>
                <c:formatCode>0.0"x"</c:formatCode>
                <c:ptCount val="1"/>
                <c:pt idx="0">
                  <c:v>11.5</c:v>
                </c:pt>
              </c:numCache>
            </c:numRef>
          </c:yVal>
          <c:smooth val="0"/>
        </c:ser>
        <c:ser>
          <c:idx val="4"/>
          <c:order val="4"/>
          <c:tx>
            <c:strRef>
              <c:f>Hoja1!$A$6</c:f>
              <c:strCache>
                <c:ptCount val="1"/>
                <c:pt idx="0">
                  <c:v>Novartis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7</c:v>
                </c:pt>
              </c:numCache>
            </c:numRef>
          </c:xVal>
          <c:yVal>
            <c:numRef>
              <c:f>Hoja1!$C$6</c:f>
              <c:numCache>
                <c:formatCode>0.0"x"</c:formatCode>
                <c:ptCount val="1"/>
                <c:pt idx="0">
                  <c:v>12.5</c:v>
                </c:pt>
              </c:numCache>
            </c:numRef>
          </c:yVal>
          <c:smooth val="0"/>
        </c:ser>
        <c:ser>
          <c:idx val="5"/>
          <c:order val="5"/>
          <c:tx>
            <c:strRef>
              <c:f>Hoja1!$A$7</c:f>
              <c:strCache>
                <c:ptCount val="1"/>
                <c:pt idx="0">
                  <c:v>Sanofi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0.2</c:v>
                </c:pt>
              </c:numCache>
            </c:numRef>
          </c:xVal>
          <c:yVal>
            <c:numRef>
              <c:f>Hoja1!$C$7</c:f>
              <c:numCache>
                <c:formatCode>0.0"x"</c:formatCode>
                <c:ptCount val="1"/>
                <c:pt idx="0">
                  <c:v>6.6</c:v>
                </c:pt>
              </c:numCache>
            </c:numRef>
          </c:yVal>
          <c:smooth val="0"/>
        </c:ser>
        <c:ser>
          <c:idx val="6"/>
          <c:order val="6"/>
          <c:tx>
            <c:strRef>
              <c:f>Hoja1!$A$8</c:f>
              <c:strCache>
                <c:ptCount val="1"/>
                <c:pt idx="0">
                  <c:v>Merck &amp; 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4.3</c:v>
                </c:pt>
              </c:numCache>
            </c:numRef>
          </c:xVal>
          <c:yVal>
            <c:numRef>
              <c:f>Hoja1!$C$8</c:f>
              <c:numCache>
                <c:formatCode>0.0"x"</c:formatCode>
                <c:ptCount val="1"/>
                <c:pt idx="0">
                  <c:v>13.3</c:v>
                </c:pt>
              </c:numCache>
            </c:numRef>
          </c:yVal>
          <c:smooth val="0"/>
        </c:ser>
        <c:ser>
          <c:idx val="7"/>
          <c:order val="7"/>
          <c:tx>
            <c:strRef>
              <c:f>Hoja1!$A$9</c:f>
              <c:strCache>
                <c:ptCount val="1"/>
                <c:pt idx="0">
                  <c:v>GSK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5.4</c:v>
                </c:pt>
              </c:numCache>
            </c:numRef>
          </c:xVal>
          <c:yVal>
            <c:numRef>
              <c:f>Hoja1!$C$9</c:f>
              <c:numCache>
                <c:formatCode>0.0"x"</c:formatCode>
                <c:ptCount val="1"/>
                <c:pt idx="0">
                  <c:v>6.9</c:v>
                </c:pt>
              </c:numCache>
            </c:numRef>
          </c:yVal>
          <c:smooth val="0"/>
        </c:ser>
        <c:axId val="10"/>
        <c:axId val="20"/>
      </c:scatterChart>
      <c:valAx>
        <c:axId val="10"/>
        <c:scaling>
          <c:orientation val="minMax"/>
          <c:max val="4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Catalent (CDMO, EE. UU.)</c:v>
                </c:pt>
                <c:pt idx="1">
                  <c:v>Tres plantas de llenado de Catalent (Anagni, Bruselas, Bloomington)</c:v>
                </c:pt>
                <c:pt idx="2">
                  <c:v>Metsera (obesidad, fase 2)</c:v>
                </c:pt>
                <c:pt idx="3">
                  <c:v>Akero Therapeutics (MASH, fase 3)</c:v>
                </c:pt>
                <c:pt idx="4">
                  <c:v>Blueprint Medicines (enfermedades raras e inmunología)</c:v>
                </c:pt>
                <c:pt idx="5">
                  <c:v>Verve Therapeutics (edición genética cardiovascular)</c:v>
                </c:pt>
                <c:pt idx="6">
                  <c:v>Carmot Therapeutics (incretinas para obesidad, no cotizada)</c:v>
                </c:pt>
                <c:pt idx="7">
                  <c:v>Inversago Pharma (CB1 para obesidad, no cotizada)</c:v>
                </c:pt>
                <c:pt idx="8">
                  <c:v>Provention Bio (diabetes tipo 1, Tzield)</c:v>
                </c:pt>
                <c:pt idx="9">
                  <c:v>Amryt Pharma (enfermedades metabólicas raras)</c:v>
                </c:pt>
              </c:strCache>
            </c:strRef>
          </c:cat>
          <c:val>
            <c:numRef>
              <c:f>Hoja1!$B$2:$B$11</c:f>
              <c:numCache>
                <c:formatCode>0.0"x"</c:formatCode>
                <c:ptCount val="10"/>
                <c:pt idx="0">
                  <c:v>35.6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(DKK,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64790</c:v>
                </c:pt>
                <c:pt idx="1">
                  <c:v>68330</c:v>
                </c:pt>
                <c:pt idx="2">
                  <c:v>77871</c:v>
                </c:pt>
                <c:pt idx="3">
                  <c:v>87545</c:v>
                </c:pt>
                <c:pt idx="4">
                  <c:v>94384</c:v>
                </c:pt>
                <c:pt idx="5">
                  <c:v>98776</c:v>
                </c:pt>
                <c:pt idx="6">
                  <c:v>96096</c:v>
                </c:pt>
                <c:pt idx="7">
                  <c:v>85704</c:v>
                </c:pt>
                <c:pt idx="8">
                  <c:v>79523</c:v>
                </c:pt>
                <c:pt idx="9">
                  <c:v>79021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(DKK,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580673</c:v>
                </c:pt>
                <c:pt idx="1">
                  <c:v>902803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(DKK) · precio actual 249,90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181.43</c:v>
                </c:pt>
                <c:pt idx="1">
                  <c:v>309.7</c:v>
                </c:pt>
                <c:pt idx="2">
                  <c:v>400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(DKK) · precio actual 249,90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Hoja1!$B$2:$B$9</c:f>
              <c:numCache>
                <c:formatCode>#,##0</c:formatCode>
                <c:ptCount val="8"/>
                <c:pt idx="0">
                  <c:v>224.25</c:v>
                </c:pt>
                <c:pt idx="1">
                  <c:v>203</c:v>
                </c:pt>
                <c:pt idx="2">
                  <c:v>273.48</c:v>
                </c:pt>
                <c:pt idx="3">
                  <c:v>314.34</c:v>
                </c:pt>
                <c:pt idx="4">
                  <c:v>264.17</c:v>
                </c:pt>
                <c:pt idx="5">
                  <c:v>181.43</c:v>
                </c:pt>
                <c:pt idx="6">
                  <c:v>316.56</c:v>
                </c:pt>
                <c:pt idx="7">
                  <c:v>248.65</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(224,25 – 409,95)</c:v>
                </c:pt>
                <c:pt idx="1">
                  <c:v>Precio objetivo de los analistas (203,00 – 452,00)</c:v>
                </c:pt>
                <c:pt idx="2">
                  <c:v>Comparables: EV/EBITDA NTM (273,48 – 396,37)</c:v>
                </c:pt>
                <c:pt idx="3">
                  <c:v>Comparables: PER NTM (314,34 – 426,38)</c:v>
                </c:pt>
                <c:pt idx="4">
                  <c:v>DCF (WACC y g ± 0,5) (264,17 – 378,27)</c:v>
                </c:pt>
                <c:pt idx="5">
                  <c:v>Escenarios (bajista – alcista) (181,43 – 400,00)</c:v>
                </c:pt>
                <c:pt idx="6">
                  <c:v>DCF con la prima implícita del mercado (4,2 %)</c:v>
                </c:pt>
                <c:pt idx="7">
                  <c:v>Precio actual (249,90)</c:v>
                </c:pt>
              </c:strCache>
            </c:strRef>
          </c:cat>
          <c:val>
            <c:numRef>
              <c:f>Hoja1!$C$2:$C$9</c:f>
              <c:numCache>
                <c:formatCode>#,##0</c:formatCode>
                <c:ptCount val="8"/>
                <c:pt idx="0">
                  <c:v>185.7</c:v>
                </c:pt>
                <c:pt idx="1">
                  <c:v>249</c:v>
                </c:pt>
                <c:pt idx="2">
                  <c:v>122.88999999999999</c:v>
                </c:pt>
                <c:pt idx="3">
                  <c:v>112.04000000000002</c:v>
                </c:pt>
                <c:pt idx="4">
                  <c:v>114.09999999999997</c:v>
                </c:pt>
                <c:pt idx="5">
                  <c:v>218.57</c:v>
                </c:pt>
                <c:pt idx="6">
                  <c:v>86.06</c:v>
                </c:pt>
                <c:pt idx="7">
                  <c:v>2.5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1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