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f5054503e69c59e999d8b20044b29a48a05c05"/>
    <w:p>
      <w:pPr>
        <w:pStyle w:val="Heading1"/>
      </w:pPr>
      <w:r>
        <w:t xml:space="preserve">Siemens Energy (ENR): análisis growth, 14-oct-2026</w:t>
      </w:r>
    </w:p>
    <w:p>
      <w:pPr>
        <w:pStyle w:val="FirstParagraph"/>
      </w:pPr>
      <w:r>
        <w:rPr>
          <w:bCs/>
          <w:b/>
        </w:rPr>
        <w:t xml:space="preserve">Señal (método v7): Mantener</w:t>
      </w:r>
      <w:r>
        <w:t xml:space="preserve"> </w:t>
      </w:r>
      <w:r>
        <w:t xml:space="preserve">· Puntuación 57,5/100 · Señales de cambio de tendencia 3/8 · EV/beneficio bruto 11,5x</w:t>
      </w:r>
      <w:r>
        <w:t xml:space="preserve"> </w:t>
      </w:r>
      <w:r>
        <w:t xml:space="preserve">Precio 143,06 EUR · Objetivo 12 m 154,6 EUR (ponderada +8,5 %, base +9,7 %, bajista −39,5 %, alcista +54,2 %) · Compra hasta 147,9 EUR</w:t>
      </w:r>
      <w:r>
        <w:t xml:space="preserve"> </w:t>
      </w:r>
      <w:r>
        <w:t xml:space="preserve">Peso orientativo: no entra · Por qué: no compra: puntuación &lt; 60 (le faltan 2,5 puntos; todo lo demás lo cumple)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). Al ser una industrial rentable con márgenes bajos, se valora por</w:t>
      </w:r>
      <w:r>
        <w:t xml:space="preserve"> </w:t>
      </w:r>
      <w:r>
        <w:rPr>
          <w:bCs/>
          <w:b/>
        </w:rPr>
        <w:t xml:space="preserve">EV/EBITDA de los 12 meses siguientes</w:t>
      </w:r>
      <w:r>
        <w:t xml:space="preserve"> </w:t>
      </w:r>
      <w:r>
        <w:t xml:space="preserve">(15,2x hoy), no por EV/ventas: el código aplica el múltiplo a las ventas mecánicas con el margen EBITDA implícito de hoy (~16 %). Las tasas de crecimiento son</w:t>
      </w:r>
      <w:r>
        <w:t xml:space="preserve"> </w:t>
      </w:r>
      <w:r>
        <w:rPr>
          <w:bCs/>
          <w:b/>
        </w:rPr>
        <w:t xml:space="preserve">comparables</w:t>
      </w:r>
      <w:r>
        <w:t xml:space="preserve"> </w:t>
      </w:r>
      <w:r>
        <w:t xml:space="preserve">(sin efecto divisa), como las publica la empresa; en euros nominales son menores (sección 3).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Siemens Energy ha pasado de casi quebrar por Siemens Gamesa (2023) a ser la gran beneficiaria del gasto en electricidad para centros de datos y redes: pedidos récord (17.900 M EUR en el 3T FY26), cartera de 162.000 M EUR y un margen que se ha triplicado (14,2 % frente al 5,1 %) [1].</w:t>
      </w:r>
    </w:p>
    <w:p>
      <w:pPr>
        <w:numPr>
          <w:ilvl w:val="0"/>
          <w:numId w:val="1001"/>
        </w:numPr>
        <w:pStyle w:val="Compact"/>
      </w:pPr>
      <w:r>
        <w:t xml:space="preserve">Las ventas se aceleran (+18,5 % comparable en el 3T, +7,3 pp sobre la media de los cuatro trimestres anteriores), pero el crecimiento de fondo es de industrial (12-15 %), no de tecnológica: la puntuación growth se queda en 57,5/100, a 2,5 puntos del mínimo para comprar.</w:t>
      </w:r>
    </w:p>
    <w:p>
      <w:pPr>
        <w:numPr>
          <w:ilvl w:val="0"/>
          <w:numId w:val="1001"/>
        </w:numPr>
        <w:pStyle w:val="Compact"/>
      </w:pPr>
      <w:r>
        <w:t xml:space="preserve">La percepción ya giró y ahora va hacia el otro lado: la acción subió más de diez veces en dos años, tocó 191,66 EUR en abril y ha caído un 25 % por la tesis de «pico de ciclo» (Barclays) y por las dudas sobre la demanda eléctrica de la IA. Solo 3 de 8 señales están activas.</w:t>
      </w:r>
    </w:p>
    <w:p>
      <w:pPr>
        <w:numPr>
          <w:ilvl w:val="0"/>
          <w:numId w:val="1001"/>
        </w:numPr>
        <w:pStyle w:val="Compact"/>
      </w:pPr>
      <w:r>
        <w:t xml:space="preserve">El precio no es exigente para lo que gana: ~15x EV/EBITDA de los próximos 12 meses (GE Vernova, ~40x) y el DCF inverso pide solo un ~6,5 % anual a 10 años. Con la regla, la ponderada es +8,5 % y la base +9,7 %; el precio máximo de compra es 147,9 EUR, por encima del precio de hoy.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Mantener</w:t>
      </w:r>
      <w:r>
        <w:t xml:space="preserve">, a un paso de Comprar. Lo que falta es tendencia (precio bajo la media de 200 sesiones, sentimiento a la baja), no valoración. Se revisa tras los resultados del 11-nov.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Siemens Energy vende equipos y servicios para generar y transportar electricidad, en cuatro negocios [1][3]: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Gas Services</w:t>
      </w:r>
      <w:r>
        <w:t xml:space="preserve"> </w:t>
      </w:r>
      <w:r>
        <w:t xml:space="preserve">(turbinas de gas y su mantenimiento): ventas del 3T de ~3.800 M EUR (+21 %), margen del 17,3 %, cartera de 73.000 M. Es el número uno mundial en turbinas de más de 10 MW por cuota de pedidos en FY25 (~194 turbinas) [3]. Los centros de datos son ~28 % del volumen comprometido [16].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Grid Technologies</w:t>
      </w:r>
      <w:r>
        <w:t xml:space="preserve"> </w:t>
      </w:r>
      <w:r>
        <w:t xml:space="preserve">(transformadores, HVDC, subestaciones): ventas de 3.620 M (+28,6 %), margen del 19,9 %, cartera de 51.000 M [1].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Transformation of Industry</w:t>
      </w:r>
      <w:r>
        <w:t xml:space="preserve"> </w:t>
      </w:r>
      <w:r>
        <w:t xml:space="preserve">(compresores, electrolizadores, soluciones para industria y centros de datos).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Siemens Gamesa</w:t>
      </w:r>
      <w:r>
        <w:t xml:space="preserve"> </w:t>
      </w:r>
      <w:r>
        <w:t xml:space="preserve">(eólica terrestre y marina): primer trimestre con beneficio desde FY2022 (75 M EUR, margen 2,7 %), pero aún quema caja (−518 M en el 3T, −1.700 M en nueve meses) [1].</w:t>
      </w:r>
    </w:p>
    <w:p>
      <w:pPr>
        <w:pStyle w:val="BodyText"/>
      </w:pPr>
      <w:r>
        <w:t xml:space="preserve">Lo nuevo no es la tecnología (turbinas y transformadores son productos maduros), sino el</w:t>
      </w:r>
      <w:r>
        <w:t xml:space="preserve"> </w:t>
      </w:r>
      <w:r>
        <w:rPr>
          <w:bCs/>
          <w:b/>
        </w:rPr>
        <w:t xml:space="preserve">cambio de demanda</w:t>
      </w:r>
      <w:r>
        <w:t xml:space="preserve">: centros de datos de IA, electrificación y redes viejas que hay que renovar. Por eso la tecnología se puntúa con</w:t>
      </w:r>
      <w:r>
        <w:t xml:space="preserve"> </w:t>
      </w:r>
      <w:r>
        <w:rPr>
          <w:bCs/>
          <w:b/>
        </w:rPr>
        <w:t xml:space="preserve">4/5</w:t>
      </w:r>
      <w:r>
        <w:t xml:space="preserve"> </w:t>
      </w:r>
      <w:r>
        <w:t xml:space="preserve">(oligopolio de tres fabricantes de turbinas grandes —GE Vernova, Siemens Energy, Mitsubishi— y de HVDC, con plazos de entrega de años que nadie puede replicar rápido; pero no es una tecnología propia sin alternativas) y la posición con</w:t>
      </w:r>
      <w:r>
        <w:t xml:space="preserve"> </w:t>
      </w:r>
      <w:r>
        <w:rPr>
          <w:bCs/>
          <w:b/>
        </w:rPr>
        <w:t xml:space="preserve">4/5</w:t>
      </w:r>
      <w:r>
        <w:t xml:space="preserve"> </w:t>
      </w:r>
      <w:r>
        <w:t xml:space="preserve">(líder en turbinas de gas y entre los tres primeros en redes; seguidor con problemas en eólica).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comparable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 FY25 (abr-jun 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 FY25 (jul-sep 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 FY26 (oct-dic 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 FY26 (ene-mar 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 FY26 (abr-jun 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18,5 %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 (cierra en sep)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comparable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FY2026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~43.500 (estimación)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FY2028 objetivo de la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«low teens» FY25-28</w:t>
            </w:r>
          </w:p>
        </w:tc>
      </w:tr>
    </w:tbl>
    <w:p>
      <w:pPr>
        <w:pStyle w:val="BodyText"/>
      </w:pPr>
      <w:r>
        <w:t xml:space="preserve">Fuentes: [1][2][3][5].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Ventas de los últimos 12 meses</w:t>
      </w:r>
      <w:r>
        <w:t xml:space="preserve">: 41.790 M EUR. Crecimiento</w:t>
      </w:r>
      <w:r>
        <w:t xml:space="preserve"> </w:t>
      </w:r>
      <w:r>
        <w:rPr>
          <w:bCs/>
          <w:b/>
        </w:rPr>
        <w:t xml:space="preserve">comparable ponderado: 12,6 %</w:t>
      </w:r>
      <w:r>
        <w:t xml:space="preserve">; en euros nominales,</w:t>
      </w:r>
      <w:r>
        <w:t xml:space="preserve"> </w:t>
      </w:r>
      <w:r>
        <w:rPr>
          <w:bCs/>
          <w:b/>
        </w:rPr>
        <w:t xml:space="preserve">+8,7 %</w:t>
      </w:r>
      <w:r>
        <w:t xml:space="preserve"> </w:t>
      </w:r>
      <w:r>
        <w:t xml:space="preserve">(38.450 M un año antes): el dólar más débil resta 3-4 puntos.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CAGR propio a 2 años</w:t>
      </w:r>
      <w:r>
        <w:t xml:space="preserve">:</w:t>
      </w:r>
      <w:r>
        <w:t xml:space="preserve"> </w:t>
      </w:r>
      <w:r>
        <w:rPr>
          <w:bCs/>
          <w:b/>
        </w:rPr>
        <w:t xml:space="preserve">14,8 %</w:t>
      </w:r>
      <w:r>
        <w:t xml:space="preserve"> </w:t>
      </w:r>
      <w:r>
        <w:t xml:space="preserve">comparable; 12,1 % nominal (33.280 M dos años antes).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Aceleración</w:t>
      </w:r>
      <w:r>
        <w:t xml:space="preserve">: el 3T creció un 18,5 % frente a una media del 11,2 % en los cuatro anteriores:</w:t>
      </w:r>
      <w:r>
        <w:t xml:space="preserve"> </w:t>
      </w:r>
      <w:r>
        <w:rPr>
          <w:bCs/>
          <w:b/>
        </w:rPr>
        <w:t xml:space="preserve">+7,3 pp</w:t>
      </w:r>
      <w:r>
        <w:t xml:space="preserve"> </w:t>
      </w:r>
      <w:r>
        <w:t xml:space="preserve">(en nominal, el 3T creció un 16,9 %).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Cartera y pedidos</w:t>
      </w:r>
      <w:r>
        <w:t xml:space="preserve">: book-to-bill de 1,57 en el 3T; cartera de 162.000 M EUR, casi cuatro años de ventas. La visibilidad es muy alta, pero la conversión a ventas está limitada por la capacidad de fábrica.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Guía</w:t>
      </w:r>
      <w:r>
        <w:t xml:space="preserve">: FY26 elevada en abril (de +11-13 % a +14-16 % y margen del 10-12 %; FCF antes de impuestos ~8.000 M; beneficio neto ~4.000 M) y confirmada en agosto y en el pre-close del 30-sep, con el margen hacia la parte alta [1][2][8]. Objetivo FY2028: margen del 14-16 % [3].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Retención</w:t>
      </w:r>
      <w:r>
        <w:t xml:space="preserve">: no aplica (no es un negocio de suscripción;</w:t>
      </w:r>
      <w:r>
        <w:t xml:space="preserve"> </w:t>
      </w:r>
      <w:r>
        <w:rPr>
          <w:rStyle w:val="VerbatimChar"/>
        </w:rPr>
        <w:t xml:space="preserve">nrr_pct</w:t>
      </w:r>
      <w:r>
        <w:t xml:space="preserve"> </w:t>
      </w:r>
      <w:r>
        <w:t xml:space="preserve">= null). La parte de servicios de Gas Services hace de ingreso recurrente.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Mercado alcanzable</w:t>
      </w:r>
      <w:r>
        <w:t xml:space="preserve">: la empresa no da una cifra única; en la CMD de 2025 habló de ~1,3 billones EUR de inversión mundial en generación y redes en 2025 [3][18]. Tomamos como alcanzable en FY2028</w:t>
      </w:r>
      <w:r>
        <w:t xml:space="preserve"> </w:t>
      </w:r>
      <w:r>
        <w:rPr>
          <w:bCs/>
          <w:b/>
        </w:rPr>
        <w:t xml:space="preserve">~300.000 M EUR</w:t>
      </w:r>
      <w:r>
        <w:t xml:space="preserve"> </w:t>
      </w:r>
      <w:r>
        <w:t xml:space="preserve">(estimación propia: equipos y servicios de generación a gas, equipos de red y eólica).</w:t>
      </w:r>
      <w:r>
        <w:t xml:space="preserve"> </w:t>
      </w:r>
      <w:r>
        <w:rPr>
          <w:bCs/>
          <w:b/>
        </w:rPr>
        <w:t xml:space="preserve">Penetración: 13,9 %.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Rivales</w:t>
      </w:r>
      <w:r>
        <w:t xml:space="preserve">: GE Vernova y Mitsubishi Heavy en turbinas; Hitachi Energy, ABB, Schneider, Prysmian (cables) y fabricantes chinos en redes; Vestas y Nordex en eólica.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qué gana</w:t>
      </w:r>
      <w:r>
        <w:t xml:space="preserve">: capacidad instalada en un mercado con escasez (listas de espera de varios años, pagos por reserva de capacidad), base instalada que genera servicio durante décadas y una cuota de pedidos en turbinas de gas de ~40 %, frente al 25-27 % histórico [7]. Ese último dato es también el riesgo: Barclays espera que la cuota vuelva a la media.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(débil)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el 3T suben objetivos JPMorgan (245, eleva su previsión de resultado operativo), Deutsche Bank y RBC (210) y DZ Bank (de 128 a 157, 8-oct); guía FY26 confirmada en la parte alta. En contra: Barclays (130) y mwb (100). Se apoya más en precios objetivo que en estimaciones.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[6][7][8]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 EUR frente a una media de ~150 EUR (estimación: era 133,8 en junio y 146,1 a finales de julio) que se aplana.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−20/−25 % desde el máximo de abril (191,66 EUR), con el DAX estable.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 NTM ~15x, frente a ~22x en abril y ~14x hace un año: comprimido.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del 14,2 % frente al 5,1 % (+9,1 pp); Gamesa en beneficio por primera vez desde 2022.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Empeora desde abril: Barclays Underweight, Amundi sale, caídas por GE Vernova (jul) y por dudas sobre la IA (22-sep).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[7][12][14]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compras de directivos localizadas (sí una venta); Amundi baja del 3 %. La recompra de la empresa no cuenta.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[10][12][15]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y guía FY27 el 11-nov; recompra de 2.000 M hasta mar-2027; campus de IA de ~11 GW; Omán 2,6 GW.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[10][16]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La subida en 12 meses es de ~+35 % (de ~106 a 143 EUR, precio de partida aproximado [19]) y el EV/beneficio bruto es de 11,5x. La euforia fue en abril; hoy el precio está en fase de digestión.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bruto</w:t>
      </w:r>
      <w:r>
        <w:t xml:space="preserve">: ~</w:t>
      </w:r>
      <w:r>
        <w:rPr>
          <w:bCs/>
          <w:b/>
        </w:rPr>
        <w:t xml:space="preserve">21 %</w:t>
      </w:r>
      <w:r>
        <w:t xml:space="preserve"> </w:t>
      </w:r>
      <w:r>
        <w:t xml:space="preserve">en los 12 meses a junio (estimación: 18,9 % a marzo y ~22 % en el 2T según agregadores, con el 3T mejor) [17]. Es un margen de industrial: el código le da 1 de 5.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antes de partidas especiales</w:t>
      </w:r>
      <w:r>
        <w:t xml:space="preserve">: del 6 % en FY25 al 12,6 % en los nueve meses de FY26 (3.946 M EUR sobre 31.390 M) y 14,2 % en el 3T. Por negocio: Grid 19,9 %, Gas 17,3 %, Gamesa 2,7 % [1].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FCF</w:t>
      </w:r>
      <w:r>
        <w:t xml:space="preserve">: el de antes de impuestos de los últimos 12 meses es de ~8.500 M EUR (7.200 M en nueve meses más ~1.300 M del 4T FY25 [19]). Tras impuestos, estimamos un</w:t>
      </w:r>
      <w:r>
        <w:t xml:space="preserve"> </w:t>
      </w:r>
      <w:r>
        <w:rPr>
          <w:bCs/>
          <w:b/>
        </w:rPr>
        <w:t xml:space="preserve">margen FCF del ~18 %</w:t>
      </w:r>
      <w:r>
        <w:t xml:space="preserve">. Está inflado por los anticipos de clientes (pagos por reserva de capacidad): Barclays sitúa en FY26 el pico de FCF (~7.600 M para el accionista) [7]. FCF</w:t>
      </w:r>
      <w:r>
        <w:t xml:space="preserve"> </w:t>
      </w:r>
      <w:r>
        <w:rPr>
          <w:bCs/>
          <w:b/>
        </w:rPr>
        <w:t xml:space="preserve">creciente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Regla del 40</w:t>
      </w:r>
      <w:r>
        <w:t xml:space="preserve">: 12,6 + 18 =</w:t>
      </w:r>
      <w:r>
        <w:t xml:space="preserve"> </w:t>
      </w:r>
      <w:r>
        <w:rPr>
          <w:bCs/>
          <w:b/>
        </w:rPr>
        <w:t xml:space="preserve">30,6</w:t>
      </w:r>
      <w:r>
        <w:t xml:space="preserve"> </w:t>
      </w:r>
      <w:r>
        <w:t xml:space="preserve">(con crecimiento nominal, 26,7).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claro. Las ventas crecen al 18,5 % y el beneficio antes de partidas especiales se ha triplicado en el 3T.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Caja neta</w:t>
      </w:r>
      <w:r>
        <w:t xml:space="preserve"> </w:t>
      </w:r>
      <w:r>
        <w:t xml:space="preserve">de 7.719 M EUR a 30-jun-2026 (4.790 M un año antes, según la tabla del 3T) [1]. No se ha podido separar caja bruta y deuda con fuente segura, así que se mete la caja neta en</w:t>
      </w:r>
      <w:r>
        <w:t xml:space="preserve"> </w:t>
      </w:r>
      <w:r>
        <w:rPr>
          <w:rStyle w:val="VerbatimChar"/>
        </w:rPr>
        <w:t xml:space="preserve">caja_m</w:t>
      </w:r>
      <w:r>
        <w:t xml:space="preserve"> </w:t>
      </w:r>
      <w:r>
        <w:t xml:space="preserve">y la deuda en 0. Las provisiones por pensiones y los avales (incluidos los de 7.500 M del Estado alemán de 2023) no entran.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Pista</w:t>
      </w:r>
      <w:r>
        <w:t xml:space="preserve">: el FCF es positivo; no hay quema. Ojo: parte de la caja son anticipos de clientes que se consumirán al entregar.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Dilución</w:t>
      </w:r>
      <w:r>
        <w:t xml:space="preserve">: negativa. 861,1 M de acciones emitidas tras convertir la obligación obligatoria en sep-2025; la recompra (~2.000 M EUR entre marzo y mayo, ~1.000 M de junio a septiembre y 2,1 M de acciones desde el 24-sep) deja ~</w:t>
      </w:r>
      <w:r>
        <w:rPr>
          <w:bCs/>
          <w:b/>
        </w:rPr>
        <w:t xml:space="preserve">850 M</w:t>
      </w:r>
      <w:r>
        <w:t xml:space="preserve"> </w:t>
      </w:r>
      <w:r>
        <w:t xml:space="preserve">de acciones en circulación (estimación con el BPA del 3T de 1,28 EUR) [1][10]. Se usa −1 % anual.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Pagos en acciones</w:t>
      </w:r>
      <w:r>
        <w:t xml:space="preserve">: no encontrados con fuente (null); son programas para empleados, pequeños en comparación con las ventas.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Retorno al accionista</w:t>
      </w:r>
      <w:r>
        <w:t xml:space="preserve">: hasta 10.000 M EUR hasta FY2028, de los que hasta 6.000 M en recompras [3].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Historial (4/5)</w:t>
      </w:r>
      <w:r>
        <w:t xml:space="preserve">: cumplió todos los compromisos de FY25 y ha elevado la guía de FY26 en el 2T; los pedidos superan al consenso trimestre tras trimestre. No se le da el 5 porque las ventas del 2T quedaron por debajo del consenso (10.294 frente a ~10.840 M) y porque el equilibrio de Gamesa se retrasó varias veces [2].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Dirección (3/5)</w:t>
      </w:r>
      <w:r>
        <w:t xml:space="preserve">: Christian Bruch es CEO desde 2020 y ha ejecutado la recuperación; la asignación de capital actual es sensata (recompras, +20 % de inversión y de I+D). Pero no hay fundador ni participación relevante de directivos, la compra total de Gamesa (2022-2023) destruyó mucho valor y la empresa necesitó avales públicos. Siemens AG ha ido reduciendo su participación.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objetivo: FY2028</w:t>
      </w:r>
      <w:r>
        <w:t xml:space="preserve"> </w:t>
      </w:r>
      <w:r>
        <w:t xml:space="preserve">(oct-2027 a sep-2028), el primero que cierra más de 18 meses después de hoy; desde las ventas de 12 meses a junio-2026 son</w:t>
      </w:r>
      <w:r>
        <w:t xml:space="preserve"> </w:t>
      </w:r>
      <w:r>
        <w:rPr>
          <w:bCs/>
          <w:b/>
        </w:rPr>
        <w:t xml:space="preserve">2,25 años</w:t>
      </w:r>
      <w:r>
        <w:t xml:space="preserve">.</w:t>
      </w:r>
      <w:r>
        <w:t xml:space="preserve"> </w:t>
      </w:r>
      <w:r>
        <w:rPr>
          <w:bCs/>
          <w:b/>
        </w:rPr>
        <w:t xml:space="preserve">Métrica: EV/EBITDA de los 12 meses siguientes</w:t>
      </w:r>
      <w:r>
        <w:t xml:space="preserve">, porque la empresa ya es rentable de forma estable y su EV/ventas (2,4x) no dice nada de un negocio con un 16 % de margen EBITDA.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 de hoy</w:t>
      </w:r>
      <w:r>
        <w:t xml:space="preserve">: 143,06 × 850 − 7.719 =</w:t>
      </w:r>
      <w:r>
        <w:t xml:space="preserve"> </w:t>
      </w:r>
      <w:r>
        <w:rPr>
          <w:bCs/>
          <w:b/>
        </w:rPr>
        <w:t xml:space="preserve">113.882 M EUR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Ventas NTM</w:t>
      </w:r>
      <w:r>
        <w:t xml:space="preserve">: 41.790 × 1,13 = 47.220 M EUR (EV/ventas 2,4x).</w:t>
      </w:r>
      <w:r>
        <w:t xml:space="preserve"> </w:t>
      </w:r>
      <w:r>
        <w:rPr>
          <w:bCs/>
          <w:b/>
        </w:rPr>
        <w:t xml:space="preserve">EBITDA NTM</w:t>
      </w:r>
      <w:r>
        <w:t xml:space="preserve">: ~7.500 M EUR (margen de consenso del ~16 % para FY27 [11]).</w:t>
      </w:r>
      <w:r>
        <w:t xml:space="preserve"> </w:t>
      </w:r>
      <w:r>
        <w:rPr>
          <w:bCs/>
          <w:b/>
        </w:rPr>
        <w:t xml:space="preserve">EV/EBITDA NTM: 15,2x</w:t>
      </w:r>
      <w:r>
        <w:t xml:space="preserve">, coherente con el PER 2027 de ~26 que publica Der Aktionär [11].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Mediana de 3 años: ~11x</w:t>
      </w:r>
      <w:r>
        <w:t xml:space="preserve"> </w:t>
      </w:r>
      <w:r>
        <w:t xml:space="preserve">(estimación propia, poco útil: en 2023-2024 el EBITDA estaba hundido por Gamesa y el múltiplo sobre el EBITDA futuro iba de ~4x a ~6x; en 2025-2026, de 14x a 22x).</w:t>
      </w:r>
      <w:r>
        <w:t xml:space="preserve"> </w:t>
      </w:r>
      <w:r>
        <w:rPr>
          <w:bCs/>
          <w:b/>
        </w:rPr>
        <w:t xml:space="preserve">Mínimo de 3 años: ~4x</w:t>
      </w:r>
      <w:r>
        <w:t xml:space="preserve"> </w:t>
      </w:r>
      <w:r>
        <w:t xml:space="preserve">(oct-2023).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Comparables: ~19x</w:t>
      </w:r>
      <w:r>
        <w:t xml:space="preserve"> </w:t>
      </w:r>
      <w:r>
        <w:t xml:space="preserve">(mediana de GE Vernova ~40x NTM, ABB ~24x, Schneider ~18,5x y Prysmian ~13,5x, estos tres sobre los 12 meses pasados) [11].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Desaceleración</w:t>
      </w:r>
      <w:r>
        <w:t xml:space="preserve">: crecimiento NTM del 13 % frente al 11 % del FY2028 base → factor 0,92.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FY2028 (regla)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 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−39,5 %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+54,2 %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154,6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+8,5 %</w:t>
            </w:r>
          </w:p>
        </w:tc>
      </w:tr>
    </w:tbl>
    <w:p>
      <w:pPr>
        <w:pStyle w:val="BodyText"/>
      </w:pPr>
      <w:r>
        <w:t xml:space="preserve">Las acciones dentro de 12 meses serían ~841,5 M (−1 %) y la caja neta se mantiene en 7.719 M. La rentabilidad incluye un dividendo del 0,5 %.</w:t>
      </w:r>
      <w:r>
        <w:t xml:space="preserve"> </w:t>
      </w:r>
      <w:r>
        <w:rPr>
          <w:bCs/>
          <w:b/>
        </w:rPr>
        <w:t xml:space="preserve">Asimetría: 1,4.</w:t>
      </w:r>
      <w:r>
        <w:t xml:space="preserve"> </w:t>
      </w:r>
      <w:r>
        <w:rPr>
          <w:bCs/>
          <w:b/>
        </w:rPr>
        <w:t xml:space="preserve">Precio máximo de compra: 147,9 EUR</w:t>
      </w:r>
      <w:r>
        <w:t xml:space="preserve"> </w:t>
      </w:r>
      <w:r>
        <w:t xml:space="preserve">(+3 %): es el que da una ponderada del 5 %; el límite de EV/beneficio bruto (35x) quedaría muy lejos.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nuestra proyección</w:t>
      </w:r>
      <w:r>
        <w:t xml:space="preserve">: ventas FY2028 de 50.000 / 54.000 / 57.000 M EUR (bajista / base / alcista), en línea con la regla (55.772 en el base). El objetivo de la empresa (CAGR «low teens» comparable) da ~56.000 M sin efecto divisa.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el consenso</w:t>
      </w:r>
      <w:r>
        <w:t xml:space="preserve">: objetivo medio de ~197 EUR (26 analistas, MarketScreener) [6], un 27 % por encima de nuestro objetivo. La diferencia está en el margen: el consenso espera un margen EBITDA del 18,3 % en FY28 [11] y la regla congela el de hoy (~16 %). Con el 18,3 %, el base subiría a ~179 EUR.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</w:t>
      </w:r>
      <w:r>
        <w:t xml:space="preserve">: con un WACC del 9 %, un margen FCF normalizado del 12 % (sin anticipos) y un crecimiento terminal del 2,5 %, el EV de hoy descuenta un crecimiento de</w:t>
      </w:r>
      <w:r>
        <w:t xml:space="preserve"> </w:t>
      </w:r>
      <w:r>
        <w:rPr>
          <w:bCs/>
          <w:b/>
        </w:rPr>
        <w:t xml:space="preserve">~6,5 % anual durante 10 años</w:t>
      </w:r>
      <w:r>
        <w:t xml:space="preserve"> </w:t>
      </w:r>
      <w:r>
        <w:t xml:space="preserve">desde las ventas NTM. Es la mitad del ritmo actual:</w:t>
      </w:r>
      <w:r>
        <w:t xml:space="preserve"> </w:t>
      </w:r>
      <w:r>
        <w:rPr>
          <w:bCs/>
          <w:b/>
        </w:rPr>
        <w:t xml:space="preserve">no es exigente</w:t>
      </w:r>
      <w:r>
        <w:t xml:space="preserve">, si el margen se sostiene. Con margen del 10 % pediría ~10 %.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Prensa y analistas (alemanes sobre todo)</w:t>
      </w:r>
      <w:r>
        <w:t xml:space="preserve">: debate abierto entre la tesis del «superciclo» (JPMorgan en su lista de favoritos, Goldman en su lista de convicción, RBC, Deutsche Bank, Jefferies con 205-245 EUR) y la del</w:t>
      </w:r>
      <w:r>
        <w:t xml:space="preserve"> </w:t>
      </w:r>
      <w:r>
        <w:rPr>
          <w:bCs/>
          <w:b/>
        </w:rPr>
        <w:t xml:space="preserve">pico de ciclo</w:t>
      </w:r>
      <w:r>
        <w:t xml:space="preserve"> </w:t>
      </w:r>
      <w:r>
        <w:t xml:space="preserve">(Barclays Underweight 130, mwb Vender 100, Morningstar con valor razonable de 132) [6][7][13]. Recomendaciones: 5 compra fuerte, 14 compra, 4 mantener, 1 vender y 1 venta fuerte.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Seeking Alpha</w:t>
      </w:r>
      <w:r>
        <w:t xml:space="preserve">: los artículos reconocen el cambio del negocio pero recomiendan Mantener por valoración («At an all-time high, my rating remains Hold») [13].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Simply Wall St</w:t>
      </w:r>
      <w:r>
        <w:t xml:space="preserve">: la narrativa más seguida ve la acción ~16 % por encima de su valor razonable y teme que el precio descuente un ritmo de modernización de redes demasiado optimista [13].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Foros alemanes (boerse-express, trading-treff, wallstreet-online)</w:t>
      </w:r>
      <w:r>
        <w:t xml:space="preserve">: mucho ruido de titulares promocionales («Mega-Prognosen»), y en los hilos domina la pregunta de si la caída de abril a octubre es una oportunidad o el fin del ciclo. No se pudieron leer hilos de wallstreet-online con datos de sentimiento.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Reddit, StockTwits, X, Rankia, Investing ES</w:t>
      </w:r>
      <w:r>
        <w:t xml:space="preserve">: las búsquedas no devolvieron hilos ni datos recientes.</w:t>
      </w:r>
      <w:r>
        <w:t xml:space="preserve"> </w:t>
      </w:r>
      <w:r>
        <w:rPr>
          <w:bCs/>
          <w:b/>
        </w:rPr>
        <w:t xml:space="preserve">Laguna</w:t>
      </w:r>
      <w:r>
        <w:t xml:space="preserve">: no se puede decir qué se dice ahí. En abril, Capital.com marcaba un 86,7 % de posiciones compradoras en CFD (dato viejo).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negocio mejora más rápido que nunca (pedidos, margen, caja) mientras la acción cae un 25 %. El sentimiento ha pasado de euforia (abril) a duda; no hay capitulación ni entusiasmo. El riesgo de la percepción es que el mercado trate a Siemens Energy como «apuesta de IA» y la venda con cada duda sobre el gasto de los hiperescaladores.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Pico de ciclo</w:t>
      </w:r>
      <w:r>
        <w:t xml:space="preserve"> </w:t>
      </w:r>
      <w:r>
        <w:t xml:space="preserve">(riesgo principal): si los pedidos de turbinas de gas vuelven a 80-90 GW al año y la cuota a su media, el crecimiento y los anticipos caen a la vez; el mercado pagaría múltiplos de industrial cíclica (8-10x EBITDA, el escenario bajista: −40 %) [7].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Dependencia de la narrativa de IA y centros de datos</w:t>
      </w:r>
      <w:r>
        <w:t xml:space="preserve">: ~28 % del volumen comprometido de Gas Services. Las caídas de julio y septiembre lo muestran: una mala noticia de GE Vernova o de un hiperescalador se lleva la acción [14][16].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Siemens Gamesa</w:t>
      </w:r>
      <w:r>
        <w:t xml:space="preserve">: sigue quemando caja (−1.700 M en nueve meses), con historial de problemas de calidad en eólica terrestre; equilibrio de caja previsto solo en 2028 [1].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Ejecución en una cartera de 162.000 M</w:t>
      </w:r>
      <w:r>
        <w:t xml:space="preserve">: proyectos a precio fijo, cuellos de botella en fábrica y en proveedores, aranceles en EE. UU.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Anticipos de clientes</w:t>
      </w:r>
      <w:r>
        <w:t xml:space="preserve">: inflan la caja y el FCF; si los pedidos se frenan, se dan la vuelta.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Divisa</w:t>
      </w:r>
      <w:r>
        <w:t xml:space="preserve">: buena parte de las ventas es en dólares; el euro fuerte resta 3-4 puntos de crecimiento.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:</w:t>
      </w:r>
      <w:r>
        <w:t xml:space="preserve"> </w:t>
      </w:r>
      <w:r>
        <w:t xml:space="preserve">- Book-to-bill por debajo de 1 en dos trimestres seguidos en Gas Services o Grid.</w:t>
      </w:r>
      <w:r>
        <w:t xml:space="preserve"> </w:t>
      </w:r>
      <w:r>
        <w:t xml:space="preserve">- Recorte de la guía FY27 o del objetivo de margen FY28 (14-16 %).</w:t>
      </w:r>
      <w:r>
        <w:t xml:space="preserve"> </w:t>
      </w:r>
      <w:r>
        <w:t xml:space="preserve">- Cancelaciones de reservas de centros de datos.</w:t>
      </w:r>
      <w:r>
        <w:t xml:space="preserve"> </w:t>
      </w:r>
      <w:r>
        <w:t xml:space="preserve">- Un nuevo problema de calidad en Gamesa con provisiones relevantes.</w:t>
      </w:r>
    </w:p>
    <w:p>
      <w:pPr>
        <w:pStyle w:val="BodyText"/>
      </w:pPr>
      <w:r>
        <w:t xml:space="preserve">Hoy no hay tesis rota.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11-nov-2026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 y FY26, guía FY27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Hasta 31-mar-2027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Tramo de recompra de hasta 2.000 M EUR (~1,6 % del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1T FY27 y 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Gamesa: primer año completo con beneficio (por confirmar)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Conversión a ventas de la cartera de centros de datos (campus de ~11 GW)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de margen del 14-16 %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t xml:space="preserve">Con la cartera value propuesta de ~29.800 EUR (IGLN, Edenred, Daiichi Sankyo, Uber, Viscofan, Alphabet, Netflix, SAP, Intuit, Nemetschek, LVMH y ~6.300 EUR de liquidez), el bolsillo growth puede llegar al 20 % (~5.960 EUR). Ya hay compras growth aprobadas en Nu, argenx y Axon (~3.740 EUR, ~12 %), y se han analizado 8 growth antes de esta.</w:t>
      </w:r>
    </w:p>
    <w:p>
      <w:pPr>
        <w:pStyle w:val="BodyText"/>
      </w:pPr>
      <w:r>
        <w:rPr>
          <w:bCs/>
          <w:b/>
        </w:rPr>
        <w:t xml:space="preserve">Siemens Energy no entra hoy: peso 0 %.</w:t>
      </w:r>
      <w:r>
        <w:t xml:space="preserve"> </w:t>
      </w:r>
      <w:r>
        <w:t xml:space="preserve">La regla da Mantener porque la puntuación (57,5) no llega a 60, aunque la valoración sí acompaña (base +9,7 %, precio máximo de 147,9 EUR, por encima del de hoy). A favor de darle hueco más adelante: no se parece a nada de la cartera (industrial europea en euros, ligada a la electricidad y no al software) y diversificaría frente a Alphabet, SAP, Intuit y Nemetschek. En contra: depende del mismo ciclo de gasto en IA que mueve a Alphabet, y es más cíclica que cualquier valor de la cartera.</w:t>
      </w:r>
    </w:p>
    <w:p>
      <w:pPr>
        <w:pStyle w:val="BodyText"/>
      </w:pPr>
      <w:r>
        <w:rPr>
          <w:bCs/>
          <w:b/>
        </w:rPr>
        <w:t xml:space="preserve">Cuándo reconsiderarla</w:t>
      </w:r>
      <w:r>
        <w:t xml:space="preserve">: pasaría a</w:t>
      </w:r>
      <w:r>
        <w:t xml:space="preserve"> </w:t>
      </w:r>
      <w:r>
        <w:rPr>
          <w:bCs/>
          <w:b/>
        </w:rPr>
        <w:t xml:space="preserve">Comprar (baja, 3,5 %, ~1.040 EUR)</w:t>
      </w:r>
      <w:r>
        <w:t xml:space="preserve"> </w:t>
      </w:r>
      <w:r>
        <w:t xml:space="preserve">con una señal más, sin cambio de valoración. La más probable es que el precio vuelva por encima de la media de 200 sesiones (~150 EUR); pero entonces estaría por encima del precio máximo, así que habría que recalcularlo con la guía FY27 del 11-nov. Si se compra, sería en dos tramos, con la liquidez. Conviene apuntarla en la cola growth para revisarla tras el 11-nov.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+12,6 % comparable (1), CAGR a 2 años 14,8 % (1), aceleración +7,3 pp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13,9 % (2), tecnología 4,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~21 % (1), regla del 40 = 30,6 (2),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recompra: dilución −1 %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4, dirección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Mantener</w:t>
            </w:r>
            <w:r>
              <w:t xml:space="preserve"> </w:t>
            </w:r>
            <w:r>
              <w:t xml:space="preserve">(puntuación &lt; 60)</w:t>
            </w:r>
          </w:p>
        </w:tc>
      </w:tr>
    </w:tbl>
    <w:p>
      <w:pPr>
        <w:pStyle w:val="BodyText"/>
      </w:pPr>
      <w:r>
        <w:rPr>
          <w:bCs/>
          <w:b/>
        </w:rPr>
        <w:t xml:space="preserve">Lo que la regla mide mal aquí</w:t>
      </w:r>
      <w:r>
        <w:t xml:space="preserve"> </w:t>
      </w:r>
      <w:r>
        <w:t xml:space="preserve">(propuestas, sin tocar el código):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Margen EBITDA congelado</w:t>
      </w:r>
      <w:r>
        <w:t xml:space="preserve">: con EV/EBITDA, el código aplica el margen implícito de hoy (~16 %) a las ventas de FY2028. En una tesis que es justo de expansión de margen (del 6 % al 14-16 % en el beneficio antes de partidas especiales), eso deja fuera la mitad de la historia. Propuesta: un campo</w:t>
      </w:r>
      <w:r>
        <w:t xml:space="preserve"> </w:t>
      </w:r>
      <w:r>
        <w:rPr>
          <w:rStyle w:val="VerbatimChar"/>
        </w:rPr>
        <w:t xml:space="preserve">margen_ebitda_obj_pct</w:t>
      </w:r>
      <w:r>
        <w:t xml:space="preserve"> </w:t>
      </w:r>
      <w:r>
        <w:t xml:space="preserve">(el menor entre el objetivo de la empresa y el consenso, con su fuente) que sustituya al margen implícito, probado antes en el backtest.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El filtro de EV/beneficio bruto no filtra en industriales</w:t>
      </w:r>
      <w:r>
        <w:t xml:space="preserve">: con un margen bruto del 21 %, sale 11,5x aunque la acción estuviera al doble. Propuesta: si la métrica es EV/EBITDA, usar como filtro EV/EBITDA NTM ≤ 1,5 × la mediana de comparables (o ≤ 25x).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Crecimiento comparable o nominal</w:t>
      </w:r>
      <w:r>
        <w:t xml:space="preserve">: la plantilla no lo dice. Con el nominal (+8,7 % y CAGR del 12,1 %), la puntuación bajaría y la proyección sería un 5 % menor. Propuesta: un campo</w:t>
      </w:r>
      <w:r>
        <w:t xml:space="preserve"> </w:t>
      </w:r>
      <w:r>
        <w:rPr>
          <w:rStyle w:val="VerbatimChar"/>
        </w:rPr>
        <w:t xml:space="preserve">base_crecimiento</w:t>
      </w:r>
      <w:r>
        <w:t xml:space="preserve"> </w:t>
      </w:r>
      <w:r>
        <w:t xml:space="preserve">(«nominal» o «comparable») y una regla común (por ejemplo, nominal salvo que la divisa mueva más de 3 puntos, y entonces comparable, diciéndolo).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Siemens Energy, Earnings Release Q3 FY2026 (5-ago-2026), siemens-energy.com y assets.siemens-energy.com (pedidos 17.900 M, ventas 11.400 M +18,5 % comparable, beneficio antes de partidas especiales 1.623 M, FCF antes de impuestos 2.319 M, caja neta 7.719 M, BPA 1,28 EUR); resúmenes en tedmag.com, emr-online.com, windtech-international.com y GuruFocus (segmentos).</w:t>
      </w:r>
      <w:r>
        <w:t xml:space="preserve"> </w:t>
      </w:r>
      <w:r>
        <w:t xml:space="preserve">[2] Siemens Energy, Earnings Releases Q1 FY2026 (11-feb-2026: ventas 9.700 M, +12,8 % comparable) y Q2 FY2026 (12-may-2026: ventas 10.294 M, +8,9 %; guía FY26 elevada a +14-16 % y margen del 10-12 %, FCF ~8.000 M); Newsquawk; Bankinter.</w:t>
      </w:r>
      <w:r>
        <w:t xml:space="preserve"> </w:t>
      </w:r>
      <w:r>
        <w:t xml:space="preserve">[3] Siemens Energy, Earnings Release Q4 FY2025 (13-nov-2025): ventas FY25 39.100 M (+15,2 % comparable), 4T 10.400 M (+9,7 %); objetivos FY2028: crecimiento comparable «low teens» y margen del 14-16 %. CMD del 20-nov-2025: retorno al accionista de hasta 10.000 M hasta 2028, de ellos 6.000 M en recompras; ~194 turbinas vendidas en FY25.</w:t>
      </w:r>
      <w:r>
        <w:t xml:space="preserve"> </w:t>
      </w:r>
      <w:r>
        <w:t xml:space="preserve">[4] Cotización: ad-hoc-news / wallstreet-online / boerse.de / Lang &amp; Schwarz (cierre Xetra de 143,06 EUR el 13-oct-2026; 140,3 EUR en Tradegate el 14-oct); Admiral Markets (máximo de cierre de 191,66 EUR el 24-abr-2026).</w:t>
      </w:r>
      <w:r>
        <w:t xml:space="preserve"> </w:t>
      </w:r>
      <w:r>
        <w:t xml:space="preserve">[5] Siemens Energy, Q3 FY2025 (6-ago-2025: ventas 9.750 M, +13,5 %; beneficio 497 M, 5,1 %), Q2 FY2025 (9.960 M, +20,7 %) y Q4 FY2024 (9.741 M, +16,6 %; FY24 34.500 M): base de las tasas de crecimiento.</w:t>
      </w:r>
      <w:r>
        <w:t xml:space="preserve"> </w:t>
      </w:r>
      <w:r>
        <w:t xml:space="preserve">[6] finanzen.net / boerse-express.com: JPMorgan Overweight 245 EUR, Deutsche Bank 210, RBC 210, Jefferies 215, Metzler 205; MarketScreener: objetivo medio de ~197 EUR (26 analistas).</w:t>
      </w:r>
      <w:r>
        <w:t xml:space="preserve"> </w:t>
      </w:r>
      <w:r>
        <w:t xml:space="preserve">[7] boerse-express.com / boerse-global.de / coincentral / parameter.io: Barclays rebaja a Underweight (7-jul-2026, objetivo 130 EUR, «pico de ciclo» en 2026, demanda sostenible de 80-90 GW al año, cuota en turbinas de gas de ~40 % frente al 25-27 % histórico); mwb research, Vender con 100 EUR.</w:t>
      </w:r>
      <w:r>
        <w:t xml:space="preserve"> </w:t>
      </w:r>
      <w:r>
        <w:t xml:space="preserve">[8] trading-treff.de: DZ Bank sube su valor razonable de 128 a 157 EUR y mantiene Mantener (8-oct-2026); pre-close call del 30-sep (guía confirmada).</w:t>
      </w:r>
      <w:r>
        <w:t xml:space="preserve"> </w:t>
      </w:r>
      <w:r>
        <w:t xml:space="preserve">[9] XTB (11-jun-2026: media de 200 sesiones de 133,82 EUR); boerse-express.com (finales de jul-2026: 149,20 EUR, media de 200 sesiones de 146,10 EUR); trading-treff (+19 % en el año, a 140,78 EUR).</w:t>
      </w:r>
      <w:r>
        <w:t xml:space="preserve"> </w:t>
      </w:r>
      <w:r>
        <w:t xml:space="preserve">[10] pressetext.com / stock3.com: anuncios de recompra (art. 5 MAR), 2.122.004 acciones del 24-sep al 11-oct-2026; tramo de 2.000 M hasta el 31-mar-2027; finanztrends.de; Estatutos (5-mar-2026): 861.104.914 acciones.</w:t>
      </w:r>
      <w:r>
        <w:t xml:space="preserve"> </w:t>
      </w:r>
      <w:r>
        <w:t xml:space="preserve">[11] Estimación propia del EBITDA NTM con el margen EBITDA de consenso de MarketScreener (14,4 % FY26, 16,4 % FY27, 18,3 % FY28); Der Aktionär (precio/ventas 2027 de 2,6 y PER 2027 de 26 para Siemens Energy; 5,5 y 44 para GE Vernova); multiples.vc (ABB, Schneider, Prysmian); TIKR (GE Vernova, ~40-43x EV/EBITDA NTM).</w:t>
      </w:r>
      <w:r>
        <w:t xml:space="preserve"> </w:t>
      </w:r>
      <w:r>
        <w:t xml:space="preserve">[12] boerse-express.com: «Amundi reduziert unter 3 Prozent»; «9,46 Prozent Wochenminus nach Barclays»; finanztrends (caída del 22-sep).</w:t>
      </w:r>
      <w:r>
        <w:t xml:space="preserve"> </w:t>
      </w:r>
      <w:r>
        <w:t xml:space="preserve">[13] Morningstar (valor razonable de 132 EUR, «shares rich»); Seeking Alpha («At an all-time high, my rating remains Hold»); Simply Wall St (la narrativa más seguida la ve ~16 % por encima del valor razonable).</w:t>
      </w:r>
      <w:r>
        <w:t xml:space="preserve"> </w:t>
      </w:r>
      <w:r>
        <w:t xml:space="preserve">[14] ad-hoc-news.de / tapbit: caída del 7 % tras el aviso de GE Vernova (jul-2026); boerse-online.de («KI-Abwärtssog»).</w:t>
      </w:r>
      <w:r>
        <w:t xml:space="preserve"> </w:t>
      </w:r>
      <w:r>
        <w:t xml:space="preserve">[15] TipRanks: «Siemens Energy discloses managerial share sale» (2026); pressetext.com, Directors’ Dealings (jun-ago 2026).</w:t>
      </w:r>
      <w:r>
        <w:t xml:space="preserve"> </w:t>
      </w:r>
      <w:r>
        <w:t xml:space="preserve">[16] Simply Wall St: acuerdos para campus de energía de IA de 11 GW; boerse-express.com: 2,6 GW en Omán; Morningstar: los centros de datos son ~28 % del volumen comprometido de Gas Services.</w:t>
      </w:r>
      <w:r>
        <w:t xml:space="preserve"> </w:t>
      </w:r>
      <w:r>
        <w:t xml:space="preserve">[17] Macrotrends / AlphaQuery (ADR SMERY): margen bruto de 12 meses del 18,9 % a mar-2026 y beneficio bruto del 2T FY26 de ~2.640 M USD (~22 %). El 21 % de los 12 meses a jun-2026 es estimación propia.</w:t>
      </w:r>
      <w:r>
        <w:t xml:space="preserve"> </w:t>
      </w:r>
      <w:r>
        <w:t xml:space="preserve">[18] Mercado alcanzable (~300.000 M EUR en FY2028: equipos y servicios de generación a gas, equipos de red y eólica): estimación propia a partir de la CMD 2025 (1,3 billones de inversión mundial en generación y redes en 2025); la empresa no da una cifra única.</w:t>
      </w:r>
      <w:r>
        <w:t xml:space="preserve"> </w:t>
      </w:r>
      <w:r>
        <w:t xml:space="preserve">[19] De memoria o aproximados: precio de ~106 EUR a mediados de oct-2025 (IT-Boltwise: 106,25 EUR intradía y máximo de 110,35 EUR el 2-oct-2025), usado para la subida de 12 meses; FCF del 4T FY25 (~1.300 M) deducido de los 4.663 M de FY25 menos los nueve meses.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2026-10-14T15:44:32Z</dcterms:created>
  <dcterms:modified xsi:type="dcterms:W3CDTF">2026-10-14T15:44:32Z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