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e9c9e1f5c3bd595b53d595fc2ad0b72b50fd05"/>
    <w:p>
      <w:pPr>
        <w:pStyle w:val="Heading1"/>
      </w:pPr>
      <w:r>
        <w:t xml:space="preserve">Eli Lilly (LLY): análisis growth, 14-oct-2026</w:t>
      </w:r>
    </w:p>
    <w:p>
      <w:pPr>
        <w:pStyle w:val="FirstParagraph"/>
      </w:pPr>
      <w:r>
        <w:rPr>
          <w:bCs/>
          <w:b/>
        </w:rPr>
        <w:t xml:space="preserve">Señal (método v9, vigente): Comprar (convicción media)</w:t>
      </w:r>
      <w:r>
        <w:t xml:space="preserve"> </w:t>
      </w:r>
      <w:r>
        <w:t xml:space="preserve">· Puntuación 85,5/100 · Señales de cambio de tendencia 7/8 · EV/beneficio bruto NTM 13,7x</w:t>
      </w:r>
      <w:r>
        <w:t xml:space="preserve"> </w:t>
      </w:r>
      <w:r>
        <w:t xml:space="preserve">Precio 1.166,51 USD (cierre del 13-oct) · Objetivo 12 m 1.349,4 USD (ponderada +16,3 %, base +19,6 %, bajista −44,9 %, alcista +70,8 %) · Compra hasta 1.292,5 USD (prudente, ≤ 1.163 USD)</w:t>
      </w:r>
      <w:r>
        <w:t xml:space="preserve"> </w:t>
      </w:r>
      <w:r>
        <w:rPr>
          <w:bCs/>
          <w:b/>
        </w:rPr>
        <w:t xml:space="preserve">Al precio actual</w:t>
      </w:r>
      <w:r>
        <w:t xml:space="preserve"> </w:t>
      </w:r>
      <w:r>
        <w:t xml:space="preserve">(1.211,45 USD, 14-oct, 16:54 UTC; objetivo fijo): ponderada +11,4 % (+12,0 % con el dividendo) y base +14,6 %. Sigue bajo el «compra hasta».</w:t>
      </w:r>
      <w:r>
        <w:t xml:space="preserve"> </w:t>
      </w:r>
      <w:r>
        <w:t xml:space="preserve">Referencia v7: 85,5 puntos, Comprar (alta), ponderada +45,9 %, base +50,0 %, bajista −37,0 %, objetivo 1.695,4 USD, compra hasta 1.623,9 USD.</w:t>
      </w:r>
      <w:r>
        <w:t xml:space="preserve"> </w:t>
      </w:r>
      <w:r>
        <w:t xml:space="preserve">Peso orientativo: 4 %, pero</w:t>
      </w:r>
      <w:r>
        <w:t xml:space="preserve"> </w:t>
      </w:r>
      <w:r>
        <w:rPr>
          <w:bCs/>
          <w:b/>
        </w:rPr>
        <w:t xml:space="preserve">el bolsillo growth está lleno</w:t>
      </w:r>
      <w:r>
        <w:t xml:space="preserve">. Al precio actual no supera a Shopify (+18 %) ni a Snowflake (+16 %), así que</w:t>
      </w:r>
      <w:r>
        <w:t xml:space="preserve"> </w:t>
      </w:r>
      <w:r>
        <w:rPr>
          <w:bCs/>
          <w:b/>
        </w:rPr>
        <w:t xml:space="preserve">no sustituye a ninguna</w:t>
      </w:r>
      <w:r>
        <w:t xml:space="preserve">. Queda</w:t>
      </w:r>
      <w:r>
        <w:t xml:space="preserve"> </w:t>
      </w:r>
      <w:r>
        <w:rPr>
          <w:bCs/>
          <w:b/>
        </w:rPr>
        <w:t xml:space="preserve">cuarta en la lista de suplentes</w:t>
      </w:r>
      <w:r>
        <w:t xml:space="preserve"> </w:t>
      </w:r>
      <w:r>
        <w:t xml:space="preserve">(sección 13).</w:t>
      </w:r>
    </w:p>
    <w:p>
      <w:pPr>
        <w:pStyle w:val="BlockText"/>
      </w:pPr>
      <w:r>
        <w:rPr>
          <w:bCs/>
          <w:b/>
        </w:rPr>
        <w:t xml:space="preserve">Valorada por EV/EBITDA ajustado NTM</w:t>
      </w:r>
      <w:r>
        <w:t xml:space="preserve"> </w:t>
      </w:r>
      <w:r>
        <w:t xml:space="preserve">porque Lilly gana dinero de forma estable: margen de explotación &gt; 40 % y FCF positivo. Múltiplos: 11,8x / 19,7x / 25,7x. Las ventas del año objetivo salen de la regla v9: parte del +29,8 % (la guía implícita del 2S26, +17,2 %, más los 12,6 puntos con los que batió su primera guía de 2025) y lleva a 129.600 M USD en el base.</w:t>
      </w:r>
      <w:r>
        <w:t xml:space="preserve"> </w:t>
      </w:r>
      <w:r>
        <w:rPr>
          <w:bCs/>
          <w:b/>
        </w:rPr>
        <w:t xml:space="preserve">Este es el punto débil.</w:t>
      </w:r>
      <w:r>
        <w:t xml:space="preserve"> </w:t>
      </w:r>
      <w:r>
        <w:t xml:space="preserve">Mi proyección, cercana al consenso, da 109.900 M en el base (+20 % y +15 %). Con ella, la ponderada cae a</w:t>
      </w:r>
      <w:r>
        <w:t xml:space="preserve"> </w:t>
      </w:r>
      <w:r>
        <w:rPr>
          <w:bCs/>
          <w:b/>
        </w:rPr>
        <w:t xml:space="preserve">−1 %</w:t>
      </w:r>
      <w:r>
        <w:t xml:space="preserve"> </w:t>
      </w:r>
      <w:r>
        <w:t xml:space="preserve">y el bajista a −50 %: Mantener. Con probabilidades prudentes de 35/50/15 (el 65 % de las ventas es tirzepatida), la ponderada queda en +4,7 %: Mantener en vigilancia. Por eso el límite prudente es ~1.163 USD (sección 9).</w:t>
      </w:r>
    </w:p>
    <w:bookmarkStart w:id="20" w:name="la-tesis-en-cinco-líneas"/>
    <w:p>
      <w:pPr>
        <w:pStyle w:val="Heading2"/>
      </w:pPr>
      <w:r>
        <w:t xml:space="preserve">1. La tesis en cinco líneas</w:t>
      </w:r>
    </w:p>
    <w:p>
      <w:pPr>
        <w:numPr>
          <w:ilvl w:val="0"/>
          <w:numId w:val="1001"/>
        </w:numPr>
        <w:pStyle w:val="Compact"/>
      </w:pPr>
      <w:r>
        <w:t xml:space="preserve">Lilly es la empresa que domina la mayor categoría farmacéutica de la década, las incretinas para la diabetes y la obesidad: Mounjaro y Zepbound (tirzepatida), Foundayo (orforglipron, la pastilla) y, en 2027, retatrutide. Vende</w:t>
      </w:r>
      <w:r>
        <w:t xml:space="preserve"> </w:t>
      </w:r>
      <w:r>
        <w:rPr>
          <w:bCs/>
          <w:b/>
        </w:rPr>
        <w:t xml:space="preserve">79.666 M USD en 12 meses (+49,6 %)</w:t>
      </w:r>
      <w:r>
        <w:t xml:space="preserve">, con un 83 % de margen bruto, un EBITDA ajustado del 52 % y 18.190 M de FCF.</w:t>
      </w:r>
    </w:p>
    <w:p>
      <w:pPr>
        <w:numPr>
          <w:ilvl w:val="0"/>
          <w:numId w:val="1001"/>
        </w:numPr>
        <w:pStyle w:val="Compact"/>
      </w:pPr>
      <w:r>
        <w:t xml:space="preserve">Gana la guerra con Novo: el</w:t>
      </w:r>
      <w:r>
        <w:t xml:space="preserve"> </w:t>
      </w:r>
      <w:r>
        <w:rPr>
          <w:bCs/>
          <w:b/>
        </w:rPr>
        <w:t xml:space="preserve">60,9 % de las incretinas en EE. UU.</w:t>
      </w:r>
      <w:r>
        <w:t xml:space="preserve"> </w:t>
      </w:r>
      <w:r>
        <w:t xml:space="preserve">(2T26) frente al 38,8 %. Novo guía ventas de 0 % a −6 % para 2026 y su CagriSema perdió contra la tirzepatida en diabetes [7].</w:t>
      </w:r>
    </w:p>
    <w:p>
      <w:pPr>
        <w:numPr>
          <w:ilvl w:val="0"/>
          <w:numId w:val="1001"/>
        </w:numPr>
        <w:pStyle w:val="Compact"/>
      </w:pPr>
      <w:r>
        <w:t xml:space="preserve">El precio baja (−13 % de precio realizado en el 2T26, por el acuerdo con la Casa Blanca, el autopago y la lista de reembolso de China), pero el volumen sube un 60 %. Lilly ha subido la guía en cada trimestre desde 2025 y la ha batido por +12 puntos de crecimiento [1][4].</w:t>
      </w:r>
    </w:p>
    <w:p>
      <w:pPr>
        <w:numPr>
          <w:ilvl w:val="0"/>
          <w:numId w:val="1001"/>
        </w:numPr>
        <w:pStyle w:val="Compact"/>
      </w:pPr>
      <w:r>
        <w:t xml:space="preserve">Lo caro es el precio:</w:t>
      </w:r>
      <w:r>
        <w:t xml:space="preserve"> </w:t>
      </w:r>
      <w:r>
        <w:rPr>
          <w:bCs/>
          <w:b/>
        </w:rPr>
        <w:t xml:space="preserve">22,8x EV/EBITDA NTM</w:t>
      </w:r>
      <w:r>
        <w:t xml:space="preserve"> </w:t>
      </w:r>
      <w:r>
        <w:t xml:space="preserve">(Novo 6,9x, AstraZeneca 13,4x, AbbVie 17,9x en 12 meses pasados) y un DCF inverso que exige</w:t>
      </w:r>
      <w:r>
        <w:t xml:space="preserve"> </w:t>
      </w:r>
      <w:r>
        <w:rPr>
          <w:bCs/>
          <w:b/>
        </w:rPr>
        <w:t xml:space="preserve">~18 % anual durante 10 años</w:t>
      </w:r>
      <w:r>
        <w:t xml:space="preserve">. Eso pide que Lilly pase de 80.000 a más de 400.000 M de ventas.</w:t>
      </w:r>
    </w:p>
    <w:p>
      <w:pPr>
        <w:numPr>
          <w:ilvl w:val="0"/>
          <w:numId w:val="1001"/>
        </w:numPr>
        <w:pStyle w:val="Compact"/>
      </w:pPr>
      <w:r>
        <w:t xml:space="preserve">Conclusión: el método da</w:t>
      </w:r>
      <w:r>
        <w:t xml:space="preserve"> </w:t>
      </w:r>
      <w:r>
        <w:rPr>
          <w:bCs/>
          <w:b/>
        </w:rPr>
        <w:t xml:space="preserve">Comprar (media)</w:t>
      </w:r>
      <w:r>
        <w:t xml:space="preserve"> </w:t>
      </w:r>
      <w:r>
        <w:t xml:space="preserve">porque el negocio puntúa casi el máximo (85,5) y la tendencia acompaña (7/8). Pero la rentabilidad sale de suponer que Lilly sigue batiendo su guía como en 2025. Con una proyección cercana al consenso, el precio de hoy ya lo descuenta. Es una buena empresa a un precio justo, no una ganga.</w:t>
      </w:r>
    </w:p>
    <w:bookmarkEnd w:id="20"/>
    <w:bookmarkStart w:id="21" w:name="negocio-y-tecnología"/>
    <w:p>
      <w:pPr>
        <w:pStyle w:val="Heading2"/>
      </w:pPr>
      <w:r>
        <w:t xml:space="preserve">2. Negocio y tecnología</w:t>
      </w:r>
    </w:p>
    <w:p>
      <w:pPr>
        <w:pStyle w:val="FirstParagraph"/>
      </w:pPr>
      <w:r>
        <w:t xml:space="preserve">Lilly (Indianápolis, 150 años) vende medicamentos en cuatro áreas.</w:t>
      </w:r>
      <w:r>
        <w:t xml:space="preserve"> </w:t>
      </w:r>
      <w:r>
        <w:rPr>
          <w:bCs/>
          <w:b/>
        </w:rPr>
        <w:t xml:space="preserve">Incretinas</w:t>
      </w:r>
      <w:r>
        <w:t xml:space="preserve"> </w:t>
      </w:r>
      <w:r>
        <w:t xml:space="preserve">(diabetes y obesidad): Mounjaro 9.943 M en el 2T26 (+91 %) y Zepbound 4.928 M (+46 %), juntos el</w:t>
      </w:r>
      <w:r>
        <w:t xml:space="preserve"> </w:t>
      </w:r>
      <w:r>
        <w:rPr>
          <w:bCs/>
          <w:b/>
        </w:rPr>
        <w:t xml:space="preserve">65 % de las ventas</w:t>
      </w:r>
      <w:r>
        <w:t xml:space="preserve">, más Trulicity, que va a la baja, y Foundayo, aprobado en obesidad el 1-abr-2026 (98 M en el 2T) [1][2][22].</w:t>
      </w:r>
      <w:r>
        <w:t xml:space="preserve"> </w:t>
      </w:r>
      <w:r>
        <w:rPr>
          <w:bCs/>
          <w:b/>
        </w:rPr>
        <w:t xml:space="preserve">Oncología</w:t>
      </w:r>
      <w:r>
        <w:t xml:space="preserve">: Verzenio, Jaypirca, Retevmo, Inluriyo.</w:t>
      </w:r>
      <w:r>
        <w:t xml:space="preserve"> </w:t>
      </w:r>
      <w:r>
        <w:rPr>
          <w:bCs/>
          <w:b/>
        </w:rPr>
        <w:t xml:space="preserve">Inmunología</w:t>
      </w:r>
      <w:r>
        <w:t xml:space="preserve">: Taltz, Ebglyss, Omvoh.</w:t>
      </w:r>
      <w:r>
        <w:t xml:space="preserve"> </w:t>
      </w:r>
      <w:r>
        <w:rPr>
          <w:bCs/>
          <w:b/>
        </w:rPr>
        <w:t xml:space="preserve">Neurociencia</w:t>
      </w:r>
      <w:r>
        <w:t xml:space="preserve">: Kisunla (alzhéimer). Los «productos clave» de inmunología, oncología y neurociencia crecen un +121 % [1].</w:t>
      </w:r>
    </w:p>
    <w:p>
      <w:pPr>
        <w:pStyle w:val="BodyText"/>
      </w:pPr>
      <w:r>
        <w:t xml:space="preserve">Lo nuevo:</w:t>
      </w:r>
      <w:r>
        <w:t xml:space="preserve"> </w:t>
      </w:r>
      <w:r>
        <w:t xml:space="preserve">-</w:t>
      </w:r>
      <w:r>
        <w:t xml:space="preserve"> </w:t>
      </w:r>
      <w:r>
        <w:rPr>
          <w:bCs/>
          <w:b/>
        </w:rPr>
        <w:t xml:space="preserve">Foundayo (orforglipron)</w:t>
      </w:r>
      <w:r>
        <w:t xml:space="preserve">: la única pastilla GLP-1 que se toma a cualquier hora, sin ayuno ni agua. Es una molécula pequeña, más barata de fabricar a escala que un péptido. En diabetes tipo 2 ya está presentada a la FDA [1][2].</w:t>
      </w:r>
      <w:r>
        <w:t xml:space="preserve"> </w:t>
      </w:r>
      <w:r>
        <w:t xml:space="preserve">-</w:t>
      </w:r>
      <w:r>
        <w:t xml:space="preserve"> </w:t>
      </w:r>
      <w:r>
        <w:rPr>
          <w:bCs/>
          <w:b/>
        </w:rPr>
        <w:t xml:space="preserve">Retatrutide</w:t>
      </w:r>
      <w:r>
        <w:t xml:space="preserve">: triple agonista (GLP-1, GIP y glucagón). En TRIUMPH-1 logró</w:t>
      </w:r>
      <w:r>
        <w:t xml:space="preserve"> </w:t>
      </w:r>
      <w:r>
        <w:rPr>
          <w:bCs/>
          <w:b/>
        </w:rPr>
        <w:t xml:space="preserve">−25,0 % de peso a 80 semanas</w:t>
      </w:r>
      <w:r>
        <w:t xml:space="preserve"> </w:t>
      </w:r>
      <w:r>
        <w:t xml:space="preserve">(todos los pacientes; −28,3 % en tratamiento) y ~−30 % a 104 semanas en obesidad grave [19]. Es lo más potente del sector. El paquete está completo y la solicitud irá a la FDA en el</w:t>
      </w:r>
      <w:r>
        <w:t xml:space="preserve"> </w:t>
      </w:r>
      <w:r>
        <w:rPr>
          <w:bCs/>
          <w:b/>
        </w:rPr>
        <w:t xml:space="preserve">1T27</w:t>
      </w:r>
      <w:r>
        <w:t xml:space="preserve"> </w:t>
      </w:r>
      <w:r>
        <w:t xml:space="preserve">[1].</w:t>
      </w:r>
      <w:r>
        <w:t xml:space="preserve"> </w:t>
      </w:r>
      <w:r>
        <w:t xml:space="preserve">-</w:t>
      </w:r>
      <w:r>
        <w:t xml:space="preserve"> </w:t>
      </w:r>
      <w:r>
        <w:rPr>
          <w:bCs/>
          <w:b/>
        </w:rPr>
        <w:t xml:space="preserve">Capacidad de fabricación</w:t>
      </w:r>
      <w:r>
        <w:t xml:space="preserve">: más de 50.000 M USD comprometidos en EE. UU. desde 2020. La planta de principio activo de Lebanon (Indiana), la mayor de la historia de EE. UU., abrirá en 2027 para tirzepatida, orforglipron y retatrutide. Hay más plantas en Virginia, Alabama y Houston [20]. La falta de producto de 2022-2024 se resolvió (de memoria: la FDA sacó la tirzepatida de la lista de escasez a finales de 2024).</w:t>
      </w:r>
    </w:p>
    <w:p>
      <w:pPr>
        <w:numPr>
          <w:ilvl w:val="0"/>
          <w:numId w:val="1002"/>
        </w:numPr>
        <w:pStyle w:val="Compact"/>
      </w:pPr>
      <w:r>
        <w:rPr>
          <w:bCs/>
          <w:b/>
        </w:rPr>
        <w:t xml:space="preserve">Tecnología 4/5</w:t>
      </w:r>
      <w:r>
        <w:t xml:space="preserve">: es la mejor cartera de incretinas del mundo (eficacia de la tirzepatida, pastilla sin restricciones, el triple agonista más avanzado), con una escala de fabricación que nadie iguala a corto plazo. No es un 5 porque Novo (CagriSema, amicretina, Wegovy oral) y una decena de rivales (Amgen, Roche, Viking, Pfizer vía Metsera, chinas) persiguen el mismo mecanismo.</w:t>
      </w:r>
    </w:p>
    <w:p>
      <w:pPr>
        <w:numPr>
          <w:ilvl w:val="0"/>
          <w:numId w:val="1002"/>
        </w:numPr>
        <w:pStyle w:val="Compact"/>
      </w:pPr>
      <w:r>
        <w:rPr>
          <w:bCs/>
          <w:b/>
        </w:rPr>
        <w:t xml:space="preserve">Posición 5/5</w:t>
      </w:r>
      <w:r>
        <w:t xml:space="preserve">: líder claro con cuota creciente: 60,9 % en EE. UU. y Mounjaro +172 % fuera de EE. UU. [1][7].</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 interanual</w:t>
            </w:r>
          </w:p>
        </w:tc>
        <w:tc>
          <w:tcPr/>
          <w:p>
            <w:pPr>
              <w:pStyle w:val="Compact"/>
              <w:jc w:val="left"/>
            </w:pPr>
            <w:r>
              <w:t xml:space="preserve">Margen bruto GAAP</w:t>
            </w:r>
          </w:p>
        </w:tc>
        <w:tc>
          <w:tcPr/>
          <w:p>
            <w:pPr>
              <w:pStyle w:val="Compact"/>
              <w:jc w:val="left"/>
            </w:pPr>
            <w:r>
              <w:t xml:space="preserve">Margen de explotación sin IPR&amp;D</w:t>
            </w:r>
          </w:p>
        </w:tc>
      </w:tr>
      <w:tr>
        <w:tc>
          <w:tcPr/>
          <w:p>
            <w:pPr>
              <w:pStyle w:val="Compact"/>
              <w:jc w:val="left"/>
            </w:pPr>
            <w:r>
              <w:t xml:space="preserve">3T24</w:t>
            </w:r>
          </w:p>
        </w:tc>
        <w:tc>
          <w:tcPr/>
          <w:p>
            <w:pPr>
              <w:pStyle w:val="Compact"/>
              <w:jc w:val="left"/>
            </w:pPr>
            <w:r>
              <w:t xml:space="preserve">11.439,1</w:t>
            </w:r>
          </w:p>
        </w:tc>
        <w:tc>
          <w:tcPr/>
          <w:p>
            <w:pPr>
              <w:pStyle w:val="Compact"/>
              <w:jc w:val="left"/>
            </w:pPr>
            <w:r>
              <w:t xml:space="preserve">20,4 %</w:t>
            </w:r>
          </w:p>
        </w:tc>
        <w:tc>
          <w:tcPr/>
          <w:p>
            <w:pPr>
              <w:pStyle w:val="Compact"/>
              <w:jc w:val="left"/>
            </w:pPr>
            <w:r>
              <w:t xml:space="preserve">81,0 %</w:t>
            </w:r>
          </w:p>
        </w:tc>
        <w:tc>
          <w:tcPr/>
          <w:p>
            <w:pPr>
              <w:pStyle w:val="Compact"/>
              <w:jc w:val="left"/>
            </w:pPr>
            <w:r>
              <w:t xml:space="preserve">40,6 %</w:t>
            </w:r>
          </w:p>
        </w:tc>
      </w:tr>
      <w:tr>
        <w:tc>
          <w:tcPr/>
          <w:p>
            <w:pPr>
              <w:pStyle w:val="Compact"/>
              <w:jc w:val="left"/>
            </w:pPr>
            <w:r>
              <w:t xml:space="preserve">4T24</w:t>
            </w:r>
          </w:p>
        </w:tc>
        <w:tc>
          <w:tcPr/>
          <w:p>
            <w:pPr>
              <w:pStyle w:val="Compact"/>
              <w:jc w:val="left"/>
            </w:pPr>
            <w:r>
              <w:t xml:space="preserve">13.533,1</w:t>
            </w:r>
          </w:p>
        </w:tc>
        <w:tc>
          <w:tcPr/>
          <w:p>
            <w:pPr>
              <w:pStyle w:val="Compact"/>
              <w:jc w:val="left"/>
            </w:pPr>
            <w:r>
              <w:t xml:space="preserve">44,7 %</w:t>
            </w:r>
          </w:p>
        </w:tc>
        <w:tc>
          <w:tcPr/>
          <w:p>
            <w:pPr>
              <w:pStyle w:val="Compact"/>
              <w:jc w:val="left"/>
            </w:pPr>
            <w:r>
              <w:t xml:space="preserve">82,2 %</w:t>
            </w:r>
          </w:p>
        </w:tc>
        <w:tc>
          <w:tcPr/>
          <w:p>
            <w:pPr>
              <w:pStyle w:val="Compact"/>
              <w:jc w:val="left"/>
            </w:pPr>
            <w:r>
              <w:t xml:space="preserve">42,9 %</w:t>
            </w:r>
          </w:p>
        </w:tc>
      </w:tr>
      <w:tr>
        <w:tc>
          <w:tcPr/>
          <w:p>
            <w:pPr>
              <w:pStyle w:val="Compact"/>
              <w:jc w:val="left"/>
            </w:pPr>
            <w:r>
              <w:t xml:space="preserve">1T25</w:t>
            </w:r>
          </w:p>
        </w:tc>
        <w:tc>
          <w:tcPr/>
          <w:p>
            <w:pPr>
              <w:pStyle w:val="Compact"/>
              <w:jc w:val="left"/>
            </w:pPr>
            <w:r>
              <w:t xml:space="preserve">12.729,0</w:t>
            </w:r>
          </w:p>
        </w:tc>
        <w:tc>
          <w:tcPr/>
          <w:p>
            <w:pPr>
              <w:pStyle w:val="Compact"/>
              <w:jc w:val="left"/>
            </w:pPr>
            <w:r>
              <w:t xml:space="preserve">45,2 %</w:t>
            </w:r>
          </w:p>
        </w:tc>
        <w:tc>
          <w:tcPr/>
          <w:p>
            <w:pPr>
              <w:pStyle w:val="Compact"/>
              <w:jc w:val="left"/>
            </w:pPr>
            <w:r>
              <w:t xml:space="preserve">82,5 %</w:t>
            </w:r>
          </w:p>
        </w:tc>
        <w:tc>
          <w:tcPr/>
          <w:p>
            <w:pPr>
              <w:pStyle w:val="Compact"/>
              <w:jc w:val="left"/>
            </w:pPr>
            <w:r>
              <w:t xml:space="preserve">41,7 %</w:t>
            </w:r>
          </w:p>
        </w:tc>
      </w:tr>
      <w:tr>
        <w:tc>
          <w:tcPr/>
          <w:p>
            <w:pPr>
              <w:pStyle w:val="Compact"/>
              <w:jc w:val="left"/>
            </w:pPr>
            <w:r>
              <w:t xml:space="preserve">2T25</w:t>
            </w:r>
          </w:p>
        </w:tc>
        <w:tc>
          <w:tcPr/>
          <w:p>
            <w:pPr>
              <w:pStyle w:val="Compact"/>
              <w:jc w:val="left"/>
            </w:pPr>
            <w:r>
              <w:t xml:space="preserve">15.558,0</w:t>
            </w:r>
          </w:p>
        </w:tc>
        <w:tc>
          <w:tcPr/>
          <w:p>
            <w:pPr>
              <w:pStyle w:val="Compact"/>
              <w:jc w:val="left"/>
            </w:pPr>
            <w:r>
              <w:t xml:space="preserve">37,6 %</w:t>
            </w:r>
          </w:p>
        </w:tc>
        <w:tc>
          <w:tcPr/>
          <w:p>
            <w:pPr>
              <w:pStyle w:val="Compact"/>
              <w:jc w:val="left"/>
            </w:pPr>
            <w:r>
              <w:t xml:space="preserve">84,3 %</w:t>
            </w:r>
          </w:p>
        </w:tc>
        <w:tc>
          <w:tcPr/>
          <w:p>
            <w:pPr>
              <w:pStyle w:val="Compact"/>
              <w:jc w:val="left"/>
            </w:pPr>
            <w:r>
              <w:t xml:space="preserve">45,1 %</w:t>
            </w:r>
          </w:p>
        </w:tc>
      </w:tr>
      <w:tr>
        <w:tc>
          <w:tcPr/>
          <w:p>
            <w:pPr>
              <w:pStyle w:val="Compact"/>
              <w:jc w:val="left"/>
            </w:pPr>
            <w:r>
              <w:t xml:space="preserve">3T25</w:t>
            </w:r>
          </w:p>
        </w:tc>
        <w:tc>
          <w:tcPr/>
          <w:p>
            <w:pPr>
              <w:pStyle w:val="Compact"/>
              <w:jc w:val="left"/>
            </w:pPr>
            <w:r>
              <w:t xml:space="preserve">17.600,8</w:t>
            </w:r>
          </w:p>
        </w:tc>
        <w:tc>
          <w:tcPr/>
          <w:p>
            <w:pPr>
              <w:pStyle w:val="Compact"/>
              <w:jc w:val="left"/>
            </w:pPr>
            <w:r>
              <w:t xml:space="preserve">53,9 %</w:t>
            </w:r>
          </w:p>
        </w:tc>
        <w:tc>
          <w:tcPr/>
          <w:p>
            <w:pPr>
              <w:pStyle w:val="Compact"/>
              <w:jc w:val="left"/>
            </w:pPr>
            <w:r>
              <w:t xml:space="preserve">82,9 %</w:t>
            </w:r>
          </w:p>
        </w:tc>
        <w:tc>
          <w:tcPr/>
          <w:p>
            <w:pPr>
              <w:pStyle w:val="Compact"/>
              <w:jc w:val="left"/>
            </w:pPr>
            <w:r>
              <w:t xml:space="preserve">47,6 %</w:t>
            </w:r>
          </w:p>
        </w:tc>
      </w:tr>
      <w:tr>
        <w:tc>
          <w:tcPr/>
          <w:p>
            <w:pPr>
              <w:pStyle w:val="Compact"/>
              <w:jc w:val="left"/>
            </w:pPr>
            <w:r>
              <w:t xml:space="preserve">4T25</w:t>
            </w:r>
          </w:p>
        </w:tc>
        <w:tc>
          <w:tcPr/>
          <w:p>
            <w:pPr>
              <w:pStyle w:val="Compact"/>
              <w:jc w:val="left"/>
            </w:pPr>
            <w:r>
              <w:t xml:space="preserve">19.292,0</w:t>
            </w:r>
          </w:p>
        </w:tc>
        <w:tc>
          <w:tcPr/>
          <w:p>
            <w:pPr>
              <w:pStyle w:val="Compact"/>
              <w:jc w:val="left"/>
            </w:pPr>
            <w:r>
              <w:t xml:space="preserve">42,6 %</w:t>
            </w:r>
          </w:p>
        </w:tc>
        <w:tc>
          <w:tcPr/>
          <w:p>
            <w:pPr>
              <w:pStyle w:val="Compact"/>
              <w:jc w:val="left"/>
            </w:pPr>
            <w:r>
              <w:t xml:space="preserve">82,5 %</w:t>
            </w:r>
          </w:p>
        </w:tc>
        <w:tc>
          <w:tcPr/>
          <w:p>
            <w:pPr>
              <w:pStyle w:val="Compact"/>
              <w:jc w:val="left"/>
            </w:pPr>
            <w:r>
              <w:t xml:space="preserve">46,6 %</w:t>
            </w:r>
          </w:p>
        </w:tc>
      </w:tr>
      <w:tr>
        <w:tc>
          <w:tcPr/>
          <w:p>
            <w:pPr>
              <w:pStyle w:val="Compact"/>
              <w:jc w:val="left"/>
            </w:pPr>
            <w:r>
              <w:t xml:space="preserve">1T26</w:t>
            </w:r>
          </w:p>
        </w:tc>
        <w:tc>
          <w:tcPr/>
          <w:p>
            <w:pPr>
              <w:pStyle w:val="Compact"/>
              <w:jc w:val="left"/>
            </w:pPr>
            <w:r>
              <w:t xml:space="preserve">19.799,0</w:t>
            </w:r>
          </w:p>
        </w:tc>
        <w:tc>
          <w:tcPr/>
          <w:p>
            <w:pPr>
              <w:pStyle w:val="Compact"/>
              <w:jc w:val="left"/>
            </w:pPr>
            <w:r>
              <w:t xml:space="preserve">55,5 %</w:t>
            </w:r>
          </w:p>
        </w:tc>
        <w:tc>
          <w:tcPr/>
          <w:p>
            <w:pPr>
              <w:pStyle w:val="Compact"/>
              <w:jc w:val="left"/>
            </w:pPr>
            <w:r>
              <w:t xml:space="preserve">81,9 %</w:t>
            </w:r>
          </w:p>
        </w:tc>
        <w:tc>
          <w:tcPr/>
          <w:p>
            <w:pPr>
              <w:pStyle w:val="Compact"/>
              <w:jc w:val="left"/>
            </w:pPr>
            <w:r>
              <w:t xml:space="preserve">49,4 %</w:t>
            </w:r>
          </w:p>
        </w:tc>
      </w:tr>
      <w:tr>
        <w:tc>
          <w:tcPr/>
          <w:p>
            <w:pPr>
              <w:pStyle w:val="Compact"/>
              <w:jc w:val="left"/>
            </w:pPr>
            <w:r>
              <w:t xml:space="preserve">2T26</w:t>
            </w:r>
          </w:p>
        </w:tc>
        <w:tc>
          <w:tcPr/>
          <w:p>
            <w:pPr>
              <w:pStyle w:val="Compact"/>
              <w:jc w:val="left"/>
            </w:pPr>
            <w:r>
              <w:t xml:space="preserve">22.974,0</w:t>
            </w:r>
          </w:p>
        </w:tc>
        <w:tc>
          <w:tcPr/>
          <w:p>
            <w:pPr>
              <w:pStyle w:val="Compact"/>
              <w:jc w:val="left"/>
            </w:pPr>
            <w:r>
              <w:t xml:space="preserve">47,7 %</w:t>
            </w:r>
          </w:p>
        </w:tc>
        <w:tc>
          <w:tcPr/>
          <w:p>
            <w:pPr>
              <w:pStyle w:val="Compact"/>
              <w:jc w:val="left"/>
            </w:pPr>
            <w:r>
              <w:t xml:space="preserve">85,8 %</w:t>
            </w:r>
          </w:p>
        </w:tc>
        <w:tc>
          <w:tcPr/>
          <w:p>
            <w:pPr>
              <w:pStyle w:val="Compact"/>
              <w:jc w:val="left"/>
            </w:pPr>
            <w:r>
              <w:t xml:space="preserve">54,2 %</w:t>
            </w:r>
          </w:p>
        </w:tc>
      </w:tr>
    </w:tbl>
    <w:p>
      <w:pPr>
        <w:pStyle w:val="BodyText"/>
      </w:pPr>
      <w:r>
        <w:t xml:space="preserve">Fuentes: [1][2][3][4][5]. «Margen de explotación sin IPR&amp;D» = beneficio bruto − I+D − comercial y administración, la base del «performance margin» que guía la empresa.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Ejercicio</w:t>
            </w:r>
          </w:p>
        </w:tc>
        <w:tc>
          <w:tcPr/>
          <w:p>
            <w:pPr>
              <w:pStyle w:val="Compact"/>
              <w:jc w:val="left"/>
            </w:pPr>
            <w:r>
              <w:t xml:space="preserve">Ventas (M USD)</w:t>
            </w:r>
          </w:p>
        </w:tc>
        <w:tc>
          <w:tcPr/>
          <w:p>
            <w:pPr>
              <w:pStyle w:val="Compact"/>
              <w:jc w:val="left"/>
            </w:pPr>
            <w:r>
              <w:t xml:space="preserve">Crec.</w:t>
            </w:r>
          </w:p>
        </w:tc>
        <w:tc>
          <w:tcPr/>
          <w:p>
            <w:pPr>
              <w:pStyle w:val="Compact"/>
              <w:jc w:val="left"/>
            </w:pPr>
            <w:r>
              <w:t xml:space="preserve">Primera guía</w:t>
            </w:r>
          </w:p>
        </w:tc>
      </w:tr>
      <w:tr>
        <w:tc>
          <w:tcPr/>
          <w:p>
            <w:pPr>
              <w:pStyle w:val="Compact"/>
              <w:jc w:val="left"/>
            </w:pPr>
            <w:r>
              <w:t xml:space="preserve">2023</w:t>
            </w:r>
          </w:p>
        </w:tc>
        <w:tc>
          <w:tcPr/>
          <w:p>
            <w:pPr>
              <w:pStyle w:val="Compact"/>
              <w:jc w:val="left"/>
            </w:pPr>
            <w:r>
              <w:t xml:space="preserve">34.124</w:t>
            </w:r>
          </w:p>
        </w:tc>
        <w:tc>
          <w:tcPr/>
          <w:p>
            <w:pPr>
              <w:pStyle w:val="Compact"/>
              <w:jc w:val="left"/>
            </w:pPr>
            <w:r>
              <w:t xml:space="preserve">20 %</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45.043</w:t>
            </w:r>
          </w:p>
        </w:tc>
        <w:tc>
          <w:tcPr/>
          <w:p>
            <w:pPr>
              <w:pStyle w:val="Compact"/>
              <w:jc w:val="left"/>
            </w:pPr>
            <w:r>
              <w:t xml:space="preserve">32 %</w:t>
            </w:r>
          </w:p>
        </w:tc>
        <w:tc>
          <w:tcPr/>
          <w:p>
            <w:pPr>
              <w:pStyle w:val="Compact"/>
              <w:jc w:val="left"/>
            </w:pPr>
            <w:r>
              <w:t xml:space="preserve">~41.000 (de memoria [23])</w:t>
            </w:r>
          </w:p>
        </w:tc>
      </w:tr>
      <w:tr>
        <w:tc>
          <w:tcPr/>
          <w:p>
            <w:pPr>
              <w:pStyle w:val="Compact"/>
              <w:jc w:val="left"/>
            </w:pPr>
            <w:r>
              <w:t xml:space="preserve">2025</w:t>
            </w:r>
          </w:p>
        </w:tc>
        <w:tc>
          <w:tcPr/>
          <w:p>
            <w:pPr>
              <w:pStyle w:val="Compact"/>
              <w:jc w:val="left"/>
            </w:pPr>
            <w:r>
              <w:t xml:space="preserve">65.179</w:t>
            </w:r>
          </w:p>
        </w:tc>
        <w:tc>
          <w:tcPr/>
          <w:p>
            <w:pPr>
              <w:pStyle w:val="Compact"/>
              <w:jc w:val="left"/>
            </w:pPr>
            <w:r>
              <w:t xml:space="preserve">44,7 %</w:t>
            </w:r>
          </w:p>
        </w:tc>
        <w:tc>
          <w:tcPr/>
          <w:p>
            <w:pPr>
              <w:pStyle w:val="Compact"/>
              <w:jc w:val="left"/>
            </w:pPr>
            <w:r>
              <w:t xml:space="preserve">58.000-61.000 (+32 %)</w:t>
            </w:r>
          </w:p>
        </w:tc>
      </w:tr>
      <w:tr>
        <w:tc>
          <w:tcPr/>
          <w:p>
            <w:pPr>
              <w:pStyle w:val="Compact"/>
              <w:jc w:val="left"/>
            </w:pPr>
            <w:r>
              <w:t xml:space="preserve">2026 (guía)</w:t>
            </w:r>
          </w:p>
        </w:tc>
        <w:tc>
          <w:tcPr/>
          <w:p>
            <w:pPr>
              <w:pStyle w:val="Compact"/>
              <w:jc w:val="left"/>
            </w:pPr>
            <w:r>
              <w:t xml:space="preserve">85.000-87.000</w:t>
            </w:r>
          </w:p>
        </w:tc>
        <w:tc>
          <w:tcPr/>
          <w:p>
            <w:pPr>
              <w:pStyle w:val="Compact"/>
              <w:jc w:val="left"/>
            </w:pPr>
            <w:r>
              <w:t xml:space="preserve">30-33 %</w:t>
            </w:r>
          </w:p>
        </w:tc>
        <w:tc>
          <w:tcPr/>
          <w:p>
            <w:pPr>
              <w:pStyle w:val="Compact"/>
              <w:jc w:val="left"/>
            </w:pPr>
            <w:r>
              <w:t xml:space="preserve">80.000-83.000 (+25 %)</w:t>
            </w:r>
          </w:p>
        </w:tc>
      </w:tr>
    </w:tbl>
    <w:p>
      <w:pPr>
        <w:numPr>
          <w:ilvl w:val="0"/>
          <w:numId w:val="1003"/>
        </w:numPr>
        <w:pStyle w:val="Compact"/>
      </w:pPr>
      <w:r>
        <w:rPr>
          <w:bCs/>
          <w:b/>
        </w:rPr>
        <w:t xml:space="preserve">Ventas de 12 meses</w:t>
      </w:r>
      <w:r>
        <w:t xml:space="preserve"> </w:t>
      </w:r>
      <w:r>
        <w:t xml:space="preserve">(3T25-2T26):</w:t>
      </w:r>
      <w:r>
        <w:t xml:space="preserve"> </w:t>
      </w:r>
      <w:r>
        <w:rPr>
          <w:bCs/>
          <w:b/>
        </w:rPr>
        <w:t xml:space="preserve">79.665,8 M USD, +49,6 %</w:t>
      </w:r>
      <w:r>
        <w:t xml:space="preserve">.</w:t>
      </w:r>
      <w:r>
        <w:t xml:space="preserve"> </w:t>
      </w:r>
      <w:r>
        <w:rPr>
          <w:bCs/>
          <w:b/>
        </w:rPr>
        <w:t xml:space="preserve">CAGR propio a 2 años: 43,1 %</w:t>
      </w:r>
      <w:r>
        <w:t xml:space="preserve">.</w:t>
      </w:r>
      <w:r>
        <w:t xml:space="preserve"> </w:t>
      </w:r>
      <w:r>
        <w:rPr>
          <w:bCs/>
          <w:b/>
        </w:rPr>
        <w:t xml:space="preserve">Aceleración: +0,3 pp</w:t>
      </w:r>
      <w:r>
        <w:t xml:space="preserve"> </w:t>
      </w:r>
      <w:r>
        <w:t xml:space="preserve">(2T26 +47,7 % frente a una media de +47,4 % de los cuatro anteriores) [5].</w:t>
      </w:r>
    </w:p>
    <w:p>
      <w:pPr>
        <w:numPr>
          <w:ilvl w:val="0"/>
          <w:numId w:val="1003"/>
        </w:numPr>
        <w:pStyle w:val="Compact"/>
      </w:pPr>
      <w:r>
        <w:rPr>
          <w:bCs/>
          <w:b/>
        </w:rPr>
        <w:t xml:space="preserve">Volumen frente a precio</w:t>
      </w:r>
      <w:r>
        <w:t xml:space="preserve">: en el 2T26 el volumen sube un +60 % y el precio baja un −13 %: −3 % en EE. UU. (−9 % sin ajustes de rebajas) y −36 % fuera, por la entrada de Mounjaro en la lista de reembolso de China [1]. La empresa crece por volumen y cede precio.</w:t>
      </w:r>
    </w:p>
    <w:p>
      <w:pPr>
        <w:numPr>
          <w:ilvl w:val="0"/>
          <w:numId w:val="1003"/>
        </w:numPr>
        <w:pStyle w:val="Compact"/>
      </w:pPr>
      <w:r>
        <w:rPr>
          <w:bCs/>
          <w:b/>
        </w:rPr>
        <w:t xml:space="preserve">Ayudas del 1S26</w:t>
      </w:r>
      <w:r>
        <w:t xml:space="preserve">: hitos de Jardiance (250 M en el 1T y 250 M en el 2T) y ajustes de rebajas a favor. La guía lo dice: el 2S26 implícito es de 43.227 M,</w:t>
      </w:r>
      <w:r>
        <w:t xml:space="preserve"> </w:t>
      </w:r>
      <w:r>
        <w:rPr>
          <w:bCs/>
          <w:b/>
        </w:rPr>
        <w:t xml:space="preserve">+17,2 %</w:t>
      </w:r>
      <w:r>
        <w:t xml:space="preserve">, frente al +51 % del primer semestre [1].</w:t>
      </w:r>
    </w:p>
    <w:p>
      <w:pPr>
        <w:numPr>
          <w:ilvl w:val="0"/>
          <w:numId w:val="1003"/>
        </w:numPr>
        <w:pStyle w:val="Compact"/>
      </w:pPr>
      <w:r>
        <w:rPr>
          <w:bCs/>
          <w:b/>
        </w:rPr>
        <w:t xml:space="preserve">Guía (para v9)</w:t>
      </w:r>
      <w:r>
        <w:t xml:space="preserve">:</w:t>
      </w:r>
      <w:r>
        <w:t xml:space="preserve"> </w:t>
      </w:r>
      <w:r>
        <w:rPr>
          <w:rStyle w:val="VerbatimChar"/>
        </w:rPr>
        <w:t xml:space="preserve">guia_12m_pct</w:t>
      </w:r>
      <w:r>
        <w:t xml:space="preserve"> </w:t>
      </w:r>
      <w:r>
        <w:t xml:space="preserve">= 17,2 % (2S26 implícito; no hay guía de 2027) y</w:t>
      </w:r>
      <w:r>
        <w:t xml:space="preserve"> </w:t>
      </w:r>
      <w:r>
        <w:rPr>
          <w:rStyle w:val="VerbatimChar"/>
        </w:rPr>
        <w:t xml:space="preserve">exceso_guia_pp</w:t>
      </w:r>
      <w:r>
        <w:t xml:space="preserve"> </w:t>
      </w:r>
      <w:r>
        <w:t xml:space="preserve">= +12,6 pp (2025 creció un 44,7 % frente al 32,1 % de su primera guía). Partida v9 = 29,8 %, frente al 45,9 % de la regla v7.</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~300.000 M USD en 2028</w:t>
      </w:r>
      <w:r>
        <w:t xml:space="preserve"> </w:t>
      </w:r>
      <w:r>
        <w:t xml:space="preserve">(estimación propia). Son ~170.000-200.000 M de incretinas a 2028-2030 (previsiones de bancos recogidas en prensa, sin fuente primaria) más los mercados de oncología, inmunología y neurociencia donde vende Lilly.</w:t>
      </w:r>
      <w:r>
        <w:t xml:space="preserve"> </w:t>
      </w:r>
      <w:r>
        <w:rPr>
          <w:bCs/>
          <w:b/>
        </w:rPr>
        <w:t xml:space="preserve">Penetración: 26,6 %</w:t>
      </w:r>
      <w:r>
        <w:t xml:space="preserve">: ya es grande y el método lo puntúa con 1 de 5.</w:t>
      </w:r>
    </w:p>
    <w:p>
      <w:pPr>
        <w:numPr>
          <w:ilvl w:val="0"/>
          <w:numId w:val="1004"/>
        </w:numPr>
        <w:pStyle w:val="Compact"/>
      </w:pPr>
      <w:r>
        <w:rPr>
          <w:bCs/>
          <w:b/>
        </w:rPr>
        <w:t xml:space="preserve">Rivales en obesidad y diabetes</w:t>
      </w:r>
      <w:r>
        <w:t xml:space="preserve">:</w:t>
      </w:r>
    </w:p>
    <w:p>
      <w:pPr>
        <w:numPr>
          <w:ilvl w:val="1"/>
          <w:numId w:val="1005"/>
        </w:numPr>
        <w:pStyle w:val="Compact"/>
      </w:pPr>
      <w:r>
        <w:rPr>
          <w:bCs/>
          <w:b/>
        </w:rPr>
        <w:t xml:space="preserve">Novo Nordisk</w:t>
      </w:r>
      <w:r>
        <w:t xml:space="preserve">: Wegovy y Ozempic (semaglutida), Wegovy oral (lanzado en enero y más rápido que Foundayo en recetas al principio: 3.071 en cuatro días frente a 1.390 en una semana [22]; 494 M USD en el 2T frente a 98 M de Foundayo [7]), CagriSema en revisión y amicretina. Va perdiendo cuota y guía ventas a la baja. Anunció recortes del precio de lista a 675 USD al mes desde 2027 (WSJ, vía [7]).</w:t>
      </w:r>
    </w:p>
    <w:p>
      <w:pPr>
        <w:numPr>
          <w:ilvl w:val="1"/>
          <w:numId w:val="1005"/>
        </w:numPr>
        <w:pStyle w:val="Compact"/>
      </w:pPr>
      <w:r>
        <w:rPr>
          <w:bCs/>
          <w:b/>
        </w:rPr>
        <w:t xml:space="preserve">Orales y nuevos</w:t>
      </w:r>
      <w:r>
        <w:t xml:space="preserve">: Viking (VK2735 oral en fase 3 desde octubre), Amgen (MariTide), Pfizer (Metsera), Roche, Structure y varias chinas (de memoria [23]).</w:t>
      </w:r>
    </w:p>
    <w:p>
      <w:pPr>
        <w:numPr>
          <w:ilvl w:val="1"/>
          <w:numId w:val="1005"/>
        </w:numPr>
        <w:pStyle w:val="Compact"/>
      </w:pPr>
      <w:r>
        <w:rPr>
          <w:bCs/>
          <w:b/>
        </w:rPr>
        <w:t xml:space="preserve">Genéricos de semaglutida</w:t>
      </w:r>
      <w:r>
        <w:t xml:space="preserve">: India desde marzo de 2026 (hasta −60 % de precio), Canadá desde mayo, Brasil aprobado en julio y China en revisión [21].</w:t>
      </w:r>
      <w:r>
        <w:t xml:space="preserve"> </w:t>
      </w:r>
      <w:r>
        <w:rPr>
          <w:bCs/>
          <w:b/>
        </w:rPr>
        <w:t xml:space="preserve">No afectan a la tirzepatida en EE. UU.</w:t>
      </w:r>
      <w:r>
        <w:t xml:space="preserve"> </w:t>
      </w:r>
      <w:r>
        <w:t xml:space="preserve">(patente hasta ~2036, de memoria), pero bajan el precio de referencia fuera de EE. UU., donde Lilly ya vende el 37 % y donde el precio ha caído un 36 %.</w:t>
      </w:r>
    </w:p>
    <w:p>
      <w:pPr>
        <w:numPr>
          <w:ilvl w:val="1"/>
          <w:numId w:val="1005"/>
        </w:numPr>
        <w:pStyle w:val="Compact"/>
      </w:pPr>
      <w:r>
        <w:rPr>
          <w:bCs/>
          <w:b/>
        </w:rPr>
        <w:t xml:space="preserve">Preparados magistrales</w:t>
      </w:r>
      <w:r>
        <w:t xml:space="preserve"> </w:t>
      </w:r>
      <w:r>
        <w:t xml:space="preserve">de tirzepatida y semaglutida, y retatrutide de mercado ilegal: la FDA recibió dos informes de muertes con producto vendido como retatrutide [12]. Es un riesgo de reputación, no de Lilly.</w:t>
      </w:r>
    </w:p>
    <w:p>
      <w:pPr>
        <w:numPr>
          <w:ilvl w:val="0"/>
          <w:numId w:val="1004"/>
        </w:numPr>
        <w:pStyle w:val="Compact"/>
      </w:pPr>
      <w:r>
        <w:rPr>
          <w:bCs/>
          <w:b/>
        </w:rPr>
        <w:t xml:space="preserve">Por qué gana</w:t>
      </w:r>
      <w:r>
        <w:t xml:space="preserve">: la eficacia (tirzepatida &gt; semaglutida, y retatrutide por encima), la pastilla sin restricciones, la capacidad de fabricación y la venta directa (LillyDirect, TrumpRx).</w:t>
      </w:r>
    </w:p>
    <w:p>
      <w:pPr>
        <w:numPr>
          <w:ilvl w:val="0"/>
          <w:numId w:val="1004"/>
        </w:numPr>
        <w:pStyle w:val="Compact"/>
      </w:pPr>
      <w:r>
        <w:rPr>
          <w:bCs/>
          <w:b/>
        </w:rPr>
        <w:t xml:space="preserve">Precios y política de EE. UU.</w:t>
      </w:r>
      <w:r>
        <w:t xml:space="preserve"> </w:t>
      </w:r>
      <w:r>
        <w:t xml:space="preserve">(riesgo principal; sección 11): acuerdo de nación más favorecida de noviembre de 2025 con la Casa Blanca. Medicare y Medicaid pagan</w:t>
      </w:r>
      <w:r>
        <w:t xml:space="preserve"> </w:t>
      </w:r>
      <w:r>
        <w:rPr>
          <w:bCs/>
          <w:b/>
        </w:rPr>
        <w:t xml:space="preserve">245 USD al mes</w:t>
      </w:r>
      <w:r>
        <w:t xml:space="preserve"> </w:t>
      </w:r>
      <w:r>
        <w:t xml:space="preserve">(50 USD de copago en Medicare Parte D desde el 1-jul-2026), TrumpRx vende Zepbound a 299-449 USD y los lanzamientos futuros irán al precio de otros países ricos. A cambio, Lilly tiene</w:t>
      </w:r>
      <w:r>
        <w:t xml:space="preserve"> </w:t>
      </w:r>
      <w:r>
        <w:rPr>
          <w:bCs/>
          <w:b/>
        </w:rPr>
        <w:t xml:space="preserve">tres años de exención de los aranceles de la sección 232</w:t>
      </w:r>
      <w:r>
        <w:t xml:space="preserve"> </w:t>
      </w:r>
      <w:r>
        <w:t xml:space="preserve">[16][22]. Es un intercambio de precio por volumen (decenas de millones de personas en Medicare y Medicaid) cuyo saldo aún no se ve en las cuentas.</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Guía 2026 subida dos veces (80-83 → 82-85 → 85-87 mil M) y margen guiado del 47-48,5 % al 49-50,5 %. Objetivos: Berenberg a Compra (1.220 → 1.400), JPMorgan 1.400 → 1.500, RBC 1.250 → 1.500, Cantor 1.440 (9-oct). Basada en guía y precios objetivo.</w:t>
            </w:r>
          </w:p>
        </w:tc>
        <w:tc>
          <w:tcPr/>
          <w:p>
            <w:pPr>
              <w:pStyle w:val="Compact"/>
              <w:jc w:val="left"/>
            </w:pPr>
            <w:r>
              <w:t xml:space="preserve">[1][2][11]</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Sí</w:t>
            </w:r>
          </w:p>
        </w:tc>
        <w:tc>
          <w:tcPr/>
          <w:p>
            <w:pPr>
              <w:pStyle w:val="Compact"/>
              <w:jc w:val="left"/>
            </w:pPr>
            <w:r>
              <w:t xml:space="preserve">1.166,51 frente a 1.077,5 USD, y la media sube (1.009 → 1.065 → 1.078 en 60 sesiones).</w:t>
            </w:r>
          </w:p>
        </w:tc>
        <w:tc>
          <w:tcPr/>
          <w:p>
            <w:pPr>
              <w:pStyle w:val="Compact"/>
              <w:jc w:val="left"/>
            </w:pPr>
            <w:r>
              <w:t xml:space="preserve">[9]</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Sí</w:t>
            </w:r>
          </w:p>
        </w:tc>
        <w:tc>
          <w:tcPr/>
          <w:p>
            <w:pPr>
              <w:pStyle w:val="Compact"/>
              <w:jc w:val="left"/>
            </w:pPr>
            <w:r>
              <w:t xml:space="preserve">+25,5 % desde el 13-abr frente a +13,4 % del S&amp;P 500, +14,7 % de XLV (salud) y +0,2 % de Novo.</w:t>
            </w:r>
          </w:p>
        </w:tc>
        <w:tc>
          <w:tcPr/>
          <w:p>
            <w:pPr>
              <w:pStyle w:val="Compact"/>
              <w:jc w:val="left"/>
            </w:pPr>
            <w:r>
              <w:t xml:space="preserve">[9]</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w:t>
            </w:r>
          </w:p>
        </w:tc>
        <w:tc>
          <w:tcPr/>
          <w:p>
            <w:pPr>
              <w:pStyle w:val="Compact"/>
              <w:jc w:val="left"/>
            </w:pPr>
            <w:r>
              <w:t xml:space="preserve">EV/EBITDA NTM de ~17,1x (21-oct-2025) a ~22,8x (+33 %), en su mediana de 3 años (~23,2x).</w:t>
            </w:r>
          </w:p>
        </w:tc>
        <w:tc>
          <w:tcPr/>
          <w:p>
            <w:pPr>
              <w:pStyle w:val="Compact"/>
              <w:jc w:val="left"/>
            </w:pPr>
            <w:r>
              <w:t xml:space="preserve">[9][18]</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Margen de explotación sin IPR&amp;D +9,1 pp en el 2T26 (54,2 %) y +7,7 pp en el 1T26 (49,4 %). Ojo: la guía implica ~47,5 % en el 2S26.</w:t>
            </w:r>
          </w:p>
        </w:tc>
        <w:tc>
          <w:tcPr/>
          <w:p>
            <w:pPr>
              <w:pStyle w:val="Compact"/>
              <w:jc w:val="left"/>
            </w:pPr>
            <w:r>
              <w:t xml:space="preserve">[1][2][5]</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Sí</w:t>
            </w:r>
          </w:p>
        </w:tc>
        <w:tc>
          <w:tcPr/>
          <w:p>
            <w:pPr>
              <w:pStyle w:val="Compact"/>
              <w:jc w:val="left"/>
            </w:pPr>
            <w:r>
              <w:t xml:space="preserve">Del mínimo de oct-2025 (miedo a los precios y al Wegovy oral) al billón de dólares de capitalización (ago-2026), con mejoras de recomendación. StockTwits: 7 alcistas y 2 bajistas. Consenso muy comprador, pero sin euforia minorista.</w:t>
            </w:r>
          </w:p>
        </w:tc>
        <w:tc>
          <w:tcPr/>
          <w:p>
            <w:pPr>
              <w:pStyle w:val="Compact"/>
              <w:jc w:val="left"/>
            </w:pPr>
            <w:r>
              <w:t xml:space="preserve">[11][12][13]</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Ninguna compra en abr-oct 2026: solo asignaciones a consejeros, donaciones y ventas (Jonsson, Hakim, Yuffa, Zakrowski). La Lilly Endowment vende con regularidad.</w:t>
            </w:r>
          </w:p>
        </w:tc>
        <w:tc>
          <w:tcPr/>
          <w:p>
            <w:pPr>
              <w:pStyle w:val="Compact"/>
              <w:jc w:val="left"/>
            </w:pPr>
            <w:r>
              <w:t xml:space="preserve">[8]</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Resultados del 3T el 29-oct (primer trimestre con Medicare para obesidad), Foundayo en diabetes (FDA), solicitud de retatrutide en el 1T27, planta de Lebanon en 2027 y Foundayo en el Reino Unido.</w:t>
            </w:r>
          </w:p>
        </w:tc>
        <w:tc>
          <w:tcPr/>
          <w:p>
            <w:pPr>
              <w:pStyle w:val="Compact"/>
              <w:jc w:val="left"/>
            </w:pPr>
            <w:r>
              <w:t xml:space="preserve">[1][6][19][20]</w:t>
            </w:r>
          </w:p>
        </w:tc>
      </w:tr>
    </w:tbl>
    <w:p>
      <w:pPr>
        <w:pStyle w:val="BodyText"/>
      </w:pPr>
      <w:r>
        <w:rPr>
          <w:bCs/>
          <w:b/>
        </w:rPr>
        <w:t xml:space="preserve">Euforia: no.</w:t>
      </w:r>
      <w:r>
        <w:t xml:space="preserve"> </w:t>
      </w:r>
      <w:r>
        <w:t xml:space="preserve">Sube un</w:t>
      </w:r>
      <w:r>
        <w:t xml:space="preserve"> </w:t>
      </w:r>
      <w:r>
        <w:rPr>
          <w:bCs/>
          <w:b/>
        </w:rPr>
        <w:t xml:space="preserve">+42,4 %</w:t>
      </w:r>
      <w:r>
        <w:t xml:space="preserve"> </w:t>
      </w:r>
      <w:r>
        <w:t xml:space="preserve">en 12 meses (de 819,40 a 1.166,51 USD) con 13,7x de EV/beneficio bruto, lejos del +150 % del veto.</w:t>
      </w:r>
      <w:r>
        <w:t xml:space="preserve"> </w:t>
      </w:r>
      <w:r>
        <w:rPr>
          <w:bCs/>
          <w:b/>
        </w:rPr>
        <w:t xml:space="preserve">Aviso</w:t>
      </w:r>
      <w:r>
        <w:t xml:space="preserve">: 7 de 8 señales es mucho. Las señales 2, 3 y 4 son la misma recuperación del precio desde el mínimo de octubre de 2025 vista de tres maneras. La 1 se basa en guía y precios objetivo, y la 5 en un margen que la propia guía hace bajar en el 2S26.</w:t>
      </w:r>
    </w:p>
    <w:bookmarkEnd w:id="24"/>
    <w:bookmarkStart w:id="25" w:name="X6a3ced9ea5ed5bb9ac58f5e7c1bb09ad4718b77"/>
    <w:p>
      <w:pPr>
        <w:pStyle w:val="Heading2"/>
      </w:pPr>
      <w:r>
        <w:t xml:space="preserve">6. Economía unitaria y camino a la rentabilidad</w:t>
      </w:r>
    </w:p>
    <w:p>
      <w:pPr>
        <w:numPr>
          <w:ilvl w:val="0"/>
          <w:numId w:val="1006"/>
        </w:numPr>
        <w:pStyle w:val="Compact"/>
      </w:pPr>
      <w:r>
        <w:rPr>
          <w:bCs/>
          <w:b/>
        </w:rPr>
        <w:t xml:space="preserve">Margen bruto</w:t>
      </w:r>
      <w:r>
        <w:t xml:space="preserve">:</w:t>
      </w:r>
      <w:r>
        <w:t xml:space="preserve"> </w:t>
      </w:r>
      <w:r>
        <w:rPr>
          <w:bCs/>
          <w:b/>
        </w:rPr>
        <w:t xml:space="preserve">83,4 %</w:t>
      </w:r>
      <w:r>
        <w:t xml:space="preserve"> </w:t>
      </w:r>
      <w:r>
        <w:t xml:space="preserve">GAAP en 12 meses (66.441 M) y 85,8 % en el 2T26. Sube por la mezcla y el menor coste de producción, aunque baje el precio [1][5].</w:t>
      </w:r>
    </w:p>
    <w:p>
      <w:pPr>
        <w:numPr>
          <w:ilvl w:val="0"/>
          <w:numId w:val="1006"/>
        </w:numPr>
        <w:pStyle w:val="Compact"/>
      </w:pPr>
      <w:r>
        <w:rPr>
          <w:bCs/>
          <w:b/>
        </w:rPr>
        <w:t xml:space="preserve">EBITDA ajustado de 12 meses</w:t>
      </w:r>
      <w:r>
        <w:t xml:space="preserve">: 41.707 M (</w:t>
      </w:r>
      <w:r>
        <w:rPr>
          <w:bCs/>
          <w:b/>
        </w:rPr>
        <w:t xml:space="preserve">52,4 %</w:t>
      </w:r>
      <w:r>
        <w:t xml:space="preserve">), sin IPR&amp;D adquirido ni cargos especiales. Cuadra con el de StockAnalysis (41.710 M) [13]. Con el IPR&amp;D adquirido (4.544 M en 12 meses), el 46,6 %. Para Lilly es casi un gasto recurrente: compra biotecnológicas cada trimestre.</w:t>
      </w:r>
    </w:p>
    <w:p>
      <w:pPr>
        <w:numPr>
          <w:ilvl w:val="0"/>
          <w:numId w:val="1006"/>
        </w:numPr>
        <w:pStyle w:val="Compact"/>
      </w:pPr>
      <w:r>
        <w:rPr>
          <w:bCs/>
          <w:b/>
        </w:rPr>
        <w:t xml:space="preserve">FCF de 12 meses</w:t>
      </w:r>
      <w:r>
        <w:t xml:space="preserve">: flujo operativo 28.083 − inversiones en planta 9.893 =</w:t>
      </w:r>
      <w:r>
        <w:t xml:space="preserve"> </w:t>
      </w:r>
      <w:r>
        <w:rPr>
          <w:bCs/>
          <w:b/>
        </w:rPr>
        <w:t xml:space="preserve">18.190 M (22,8 %)</w:t>
      </w:r>
      <w:r>
        <w:t xml:space="preserve">, frente a 4.885 M un año antes [5]. La inversión en fábricas (~10.000 M al año, el 12 % de las ventas) deprime el FCF frente al EBITDA.</w:t>
      </w:r>
    </w:p>
    <w:p>
      <w:pPr>
        <w:numPr>
          <w:ilvl w:val="0"/>
          <w:numId w:val="1006"/>
        </w:numPr>
        <w:pStyle w:val="Compact"/>
      </w:pPr>
      <w:r>
        <w:rPr>
          <w:bCs/>
          <w:b/>
        </w:rPr>
        <w:t xml:space="preserve">Regla del 40</w:t>
      </w:r>
      <w:r>
        <w:t xml:space="preserve">: 49,6 + 22,8 =</w:t>
      </w:r>
      <w:r>
        <w:t xml:space="preserve"> </w:t>
      </w:r>
      <w:r>
        <w:rPr>
          <w:bCs/>
          <w:b/>
        </w:rPr>
        <w:t xml:space="preserve">72,4</w:t>
      </w:r>
      <w:r>
        <w:t xml:space="preserve">.</w:t>
      </w:r>
    </w:p>
    <w:p>
      <w:pPr>
        <w:numPr>
          <w:ilvl w:val="0"/>
          <w:numId w:val="1006"/>
        </w:numPr>
        <w:pStyle w:val="Compact"/>
      </w:pPr>
      <w:r>
        <w:rPr>
          <w:bCs/>
          <w:b/>
        </w:rPr>
        <w:t xml:space="preserve">Apalancamiento</w:t>
      </w:r>
      <w:r>
        <w:t xml:space="preserve">: la I+D crece un 14 % y la comercial un 25 % en el 2T, frente al 48 % de las ventas. La guía de margen 2026 (49-50,5 %) incluye el coste de Medicare y de los lanzamientos [1].</w:t>
      </w:r>
    </w:p>
    <w:bookmarkEnd w:id="25"/>
    <w:bookmarkStart w:id="26" w:name="caja-deuda-y-dilución"/>
    <w:p>
      <w:pPr>
        <w:pStyle w:val="Heading2"/>
      </w:pPr>
      <w:r>
        <w:t xml:space="preserve">7. Caja, deuda y dilución</w:t>
      </w:r>
    </w:p>
    <w:p>
      <w:pPr>
        <w:numPr>
          <w:ilvl w:val="0"/>
          <w:numId w:val="1007"/>
        </w:numPr>
        <w:pStyle w:val="Compact"/>
      </w:pPr>
      <w:r>
        <w:rPr>
          <w:bCs/>
          <w:b/>
        </w:rPr>
        <w:t xml:space="preserve">Caja</w:t>
      </w:r>
      <w:r>
        <w:t xml:space="preserve">: 8.950 M USD a 30-jun-2026.</w:t>
      </w:r>
      <w:r>
        <w:t xml:space="preserve"> </w:t>
      </w:r>
      <w:r>
        <w:rPr>
          <w:bCs/>
          <w:b/>
        </w:rPr>
        <w:t xml:space="preserve">Deuda</w:t>
      </w:r>
      <w:r>
        <w:t xml:space="preserve">: 54.908 M (7.050 a corto y 47.858 a largo).</w:t>
      </w:r>
      <w:r>
        <w:t xml:space="preserve"> </w:t>
      </w:r>
      <w:r>
        <w:rPr>
          <w:bCs/>
          <w:b/>
        </w:rPr>
        <w:t xml:space="preserve">Deuda neta ≈ 46.000 M, ~1,1x el EBITDA</w:t>
      </w:r>
      <w:r>
        <w:t xml:space="preserve">. En el 1S26 emitió 8.941 M de deuda a largo y 5.284 M a corto para financiar compras (9.805 M en el semestre: Centessa, Kelonia, Orna, Ajax), recompras (3.957 M) y dividendos (3.094 M). Después del trimestre hizo tres compras más y firmó AtaiBeckley (importes no sumados) [1][5].</w:t>
      </w:r>
    </w:p>
    <w:p>
      <w:pPr>
        <w:numPr>
          <w:ilvl w:val="0"/>
          <w:numId w:val="1007"/>
        </w:numPr>
        <w:pStyle w:val="Compact"/>
      </w:pPr>
      <w:r>
        <w:rPr>
          <w:bCs/>
          <w:b/>
        </w:rPr>
        <w:t xml:space="preserve">Pista</w:t>
      </w:r>
      <w:r>
        <w:t xml:space="preserve">: FCF positivo. La deuda es de grado de inversión (de memoria) y se paga con 2-3 años de FCF.</w:t>
      </w:r>
    </w:p>
    <w:p>
      <w:pPr>
        <w:numPr>
          <w:ilvl w:val="0"/>
          <w:numId w:val="1007"/>
        </w:numPr>
        <w:pStyle w:val="Compact"/>
      </w:pPr>
      <w:r>
        <w:rPr>
          <w:bCs/>
          <w:b/>
        </w:rPr>
        <w:t xml:space="preserve">Dilución</w:t>
      </w:r>
      <w:r>
        <w:t xml:space="preserve">:</w:t>
      </w:r>
      <w:r>
        <w:t xml:space="preserve"> </w:t>
      </w:r>
      <w:r>
        <w:rPr>
          <w:bCs/>
          <w:b/>
        </w:rPr>
        <w:t xml:space="preserve">−0,7 %</w:t>
      </w:r>
      <w:r>
        <w:t xml:space="preserve"> </w:t>
      </w:r>
      <w:r>
        <w:t xml:space="preserve">en 12 meses (de 899,8 a 893,7 M de acciones diluidas). Recompra de 15.000 M en marcha [4][5].</w:t>
      </w:r>
    </w:p>
    <w:p>
      <w:pPr>
        <w:numPr>
          <w:ilvl w:val="0"/>
          <w:numId w:val="1007"/>
        </w:numPr>
        <w:pStyle w:val="Compact"/>
      </w:pPr>
      <w:r>
        <w:rPr>
          <w:bCs/>
          <w:b/>
        </w:rPr>
        <w:t xml:space="preserve">Pagos en acciones</w:t>
      </w:r>
      <w:r>
        <w:t xml:space="preserve">:</w:t>
      </w:r>
      <w:r>
        <w:t xml:space="preserve"> </w:t>
      </w:r>
      <w:r>
        <w:rPr>
          <w:bCs/>
          <w:b/>
        </w:rPr>
        <w:t xml:space="preserve">0,8 %</w:t>
      </w:r>
      <w:r>
        <w:t xml:space="preserve"> </w:t>
      </w:r>
      <w:r>
        <w:t xml:space="preserve">de las ventas (649 M). Irrelevante.</w:t>
      </w:r>
    </w:p>
    <w:p>
      <w:pPr>
        <w:numPr>
          <w:ilvl w:val="0"/>
          <w:numId w:val="1007"/>
        </w:numPr>
        <w:pStyle w:val="Compact"/>
      </w:pPr>
      <w:r>
        <w:rPr>
          <w:bCs/>
          <w:b/>
        </w:rPr>
        <w:t xml:space="preserve">Dividendo</w:t>
      </w:r>
      <w:r>
        <w:t xml:space="preserve">: 1,73 USD por trimestre (~0,6 %), subido un 15 %.</w:t>
      </w:r>
    </w:p>
    <w:bookmarkEnd w:id="26"/>
    <w:bookmarkStart w:id="27" w:name="dirección-y-ejecución"/>
    <w:p>
      <w:pPr>
        <w:pStyle w:val="Heading2"/>
      </w:pPr>
      <w:r>
        <w:t xml:space="preserve">8. Dirección y ejecución</w:t>
      </w:r>
    </w:p>
    <w:p>
      <w:pPr>
        <w:numPr>
          <w:ilvl w:val="0"/>
          <w:numId w:val="1008"/>
        </w:numPr>
        <w:pStyle w:val="Compact"/>
      </w:pPr>
      <w:r>
        <w:rPr>
          <w:bCs/>
          <w:b/>
        </w:rPr>
        <w:t xml:space="preserve">Historial (4/5)</w:t>
      </w:r>
      <w:r>
        <w:t xml:space="preserve">: ha subido la guía en cada trimestre desde el 1T25 (seis seguidos) y la ha batido por mucho. El 2T26 quedó 2.400 M por encima del consenso (22.974 frente a 20.600 M) [1][7]. Le restan el 3T24 (por debajo del consenso, de memoria) y el 4T24 (400 M por debajo de su propia guía, avisado el 14-ene-2025) [4].</w:t>
      </w:r>
    </w:p>
    <w:p>
      <w:pPr>
        <w:numPr>
          <w:ilvl w:val="0"/>
          <w:numId w:val="1008"/>
        </w:numPr>
        <w:pStyle w:val="Compact"/>
      </w:pPr>
      <w:r>
        <w:rPr>
          <w:bCs/>
          <w:b/>
        </w:rPr>
        <w:t xml:space="preserve">Dirección (4/5)</w:t>
      </w:r>
      <w:r>
        <w:t xml:space="preserve">: David Ricks es consejero delegado desde 2017. Su ejecución clínica e industrial es sobresaliente: apostó por la tirzepatida y por fabricar a escala antes que nadie, y ha llevado orforglipron y retatrutide a tiempo. Asigna el capital con disciplina: compras pequeñas y frecuentes, recompras y dividendo creciente. Restan que no es una empresa de fundador, que ningún directivo compra (solo ventas pequeñas) y que la Lilly Endowment (~10 %) vende con regularidad [8]. También hay un acuerdo de precios con el Gobierno cuyos detalles no se han publicado (carta del senador Gallego) [16].</w:t>
      </w:r>
    </w:p>
    <w:bookmarkEnd w:id="27"/>
    <w:bookmarkStart w:id="28" w:name="valoración"/>
    <w:p>
      <w:pPr>
        <w:pStyle w:val="Heading2"/>
      </w:pPr>
      <w:r>
        <w:t xml:space="preserve">9. Valoración</w:t>
      </w:r>
    </w:p>
    <w:p>
      <w:pPr>
        <w:pStyle w:val="FirstParagraph"/>
      </w:pPr>
      <w:r>
        <w:rPr>
          <w:bCs/>
          <w:b/>
        </w:rPr>
        <w:t xml:space="preserve">Ejercicio objetivo: 2028</w:t>
      </w:r>
      <w:r>
        <w:t xml:space="preserve"> </w:t>
      </w:r>
      <w:r>
        <w:t xml:space="preserve">(ventas de los 12 meses siguientes dentro de un año).</w:t>
      </w:r>
      <w:r>
        <w:t xml:space="preserve"> </w:t>
      </w:r>
      <w:r>
        <w:rPr>
          <w:bCs/>
          <w:b/>
        </w:rPr>
        <w:t xml:space="preserve">Métrica: EV/EBITDA ajustado NTM.</w:t>
      </w:r>
      <w:r>
        <w:t xml:space="preserve"> </w:t>
      </w:r>
      <w:r>
        <w:t xml:space="preserve">El código la traduce a ventas con el margen EBITDA implícito de hoy (~49,9 %).</w:t>
      </w:r>
    </w:p>
    <w:p>
      <w:pPr>
        <w:numPr>
          <w:ilvl w:val="0"/>
          <w:numId w:val="1009"/>
        </w:numPr>
        <w:pStyle w:val="Compact"/>
      </w:pPr>
      <w:r>
        <w:rPr>
          <w:bCs/>
          <w:b/>
        </w:rPr>
        <w:t xml:space="preserve">EV de hoy</w:t>
      </w:r>
      <w:r>
        <w:t xml:space="preserve">: 1.166,51 × 893,7 + 54.908 − 8.950 =</w:t>
      </w:r>
      <w:r>
        <w:t xml:space="preserve"> </w:t>
      </w:r>
      <w:r>
        <w:rPr>
          <w:bCs/>
          <w:b/>
        </w:rPr>
        <w:t xml:space="preserve">1.088.470 M USD</w:t>
      </w:r>
      <w:r>
        <w:t xml:space="preserve">.</w:t>
      </w:r>
    </w:p>
    <w:p>
      <w:pPr>
        <w:numPr>
          <w:ilvl w:val="0"/>
          <w:numId w:val="1009"/>
        </w:numPr>
        <w:pStyle w:val="Compact"/>
      </w:pPr>
      <w:r>
        <w:rPr>
          <w:bCs/>
          <w:b/>
        </w:rPr>
        <w:t xml:space="preserve">Ventas NTM</w:t>
      </w:r>
      <w:r>
        <w:t xml:space="preserve">: ~95.600 M (+20 %: 2S26 con la guía y su exceso habitual, ~45.400 M, y 1S27 +15 %).</w:t>
      </w:r>
      <w:r>
        <w:t xml:space="preserve"> </w:t>
      </w:r>
      <w:r>
        <w:rPr>
          <w:bCs/>
          <w:b/>
        </w:rPr>
        <w:t xml:space="preserve">EV/ventas NTM 11,4x; EV/beneficio bruto NTM 13,7x</w:t>
      </w:r>
      <w:r>
        <w:t xml:space="preserve"> </w:t>
      </w:r>
      <w:r>
        <w:t xml:space="preserve">(muy por debajo del tope de 35);</w:t>
      </w:r>
      <w:r>
        <w:t xml:space="preserve"> </w:t>
      </w:r>
      <w:r>
        <w:rPr>
          <w:bCs/>
          <w:b/>
        </w:rPr>
        <w:t xml:space="preserve">EV/EBITDA NTM 22,8x</w:t>
      </w:r>
      <w:r>
        <w:t xml:space="preserve"> </w:t>
      </w:r>
      <w:r>
        <w:t xml:space="preserve">(sobre ~47.800 M) [18].</w:t>
      </w:r>
    </w:p>
    <w:p>
      <w:pPr>
        <w:numPr>
          <w:ilvl w:val="0"/>
          <w:numId w:val="1009"/>
        </w:numPr>
        <w:pStyle w:val="Compact"/>
      </w:pPr>
      <w:r>
        <w:rPr>
          <w:bCs/>
          <w:b/>
        </w:rPr>
        <w:t xml:space="preserve">Mediana de 3 años ~23,2x NTM</w:t>
      </w:r>
      <w:r>
        <w:t xml:space="preserve">: 29-35x en 2023-2024 y 16-23x desde 2025, en cálculo propio al cierre de cada trimestre.</w:t>
      </w:r>
      <w:r>
        <w:t xml:space="preserve"> </w:t>
      </w:r>
      <w:r>
        <w:rPr>
          <w:bCs/>
          <w:b/>
        </w:rPr>
        <w:t xml:space="preserve">Mínimo ~16,4x</w:t>
      </w:r>
      <w:r>
        <w:t xml:space="preserve"> </w:t>
      </w:r>
      <w:r>
        <w:t xml:space="preserve">(sep-2025).</w:t>
      </w:r>
      <w:r>
        <w:t xml:space="preserve"> </w:t>
      </w:r>
      <w:r>
        <w:rPr>
          <w:bCs/>
          <w:b/>
        </w:rPr>
        <w:t xml:space="preserve">Comparables ~12x NTM</w:t>
      </w:r>
      <w:r>
        <w:t xml:space="preserve">: Novo 6,9x, AstraZeneca 13,4x y AbbVie 17,9x en 12 meses pasados [13]. Ninguno crece como Lilly.</w:t>
      </w:r>
    </w:p>
    <w:p>
      <w:pPr>
        <w:numPr>
          <w:ilvl w:val="0"/>
          <w:numId w:val="1009"/>
        </w:numPr>
        <w:pStyle w:val="Compact"/>
      </w:pPr>
      <w:r>
        <w:rPr>
          <w:bCs/>
          <w:b/>
        </w:rPr>
        <w:t xml:space="preserve">Desaceleración</w:t>
      </w:r>
      <w:r>
        <w:t xml:space="preserve">: +20 % NTM y +15 % en el año objetivo (estimación propia), factor 0,87, así que el base es 19,7x.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2028 (M USD)</w:t>
            </w:r>
          </w:p>
        </w:tc>
        <w:tc>
          <w:tcPr/>
          <w:p>
            <w:pPr>
              <w:pStyle w:val="Compact"/>
              <w:jc w:val="left"/>
            </w:pPr>
            <w:r>
              <w:t xml:space="preserve">EV/EBITDA</w:t>
            </w:r>
          </w:p>
        </w:tc>
        <w:tc>
          <w:tcPr/>
          <w:p>
            <w:pPr>
              <w:pStyle w:val="Compact"/>
              <w:jc w:val="left"/>
            </w:pPr>
            <w:r>
              <w:t xml:space="preserve">Precio 12 m</w:t>
            </w:r>
          </w:p>
        </w:tc>
        <w:tc>
          <w:tcPr/>
          <w:p>
            <w:pPr>
              <w:pStyle w:val="Compact"/>
              <w:jc w:val="left"/>
            </w:pPr>
            <w:r>
              <w:t xml:space="preserve">Rentabilidad (con dividendo)</w:t>
            </w:r>
          </w:p>
        </w:tc>
      </w:tr>
      <w:tr>
        <w:tc>
          <w:tcPr/>
          <w:p>
            <w:pPr>
              <w:pStyle w:val="Compact"/>
              <w:jc w:val="left"/>
            </w:pPr>
            <w:r>
              <w:t xml:space="preserve">Bajista (25 %)</w:t>
            </w:r>
          </w:p>
        </w:tc>
        <w:tc>
          <w:tcPr/>
          <w:p>
            <w:pPr>
              <w:pStyle w:val="Compact"/>
              <w:jc w:val="left"/>
            </w:pPr>
            <w:r>
              <w:t xml:space="preserve">103.129</w:t>
            </w:r>
          </w:p>
        </w:tc>
        <w:tc>
          <w:tcPr/>
          <w:p>
            <w:pPr>
              <w:pStyle w:val="Compact"/>
              <w:jc w:val="left"/>
            </w:pPr>
            <w:r>
              <w:t xml:space="preserve">11,8x</w:t>
            </w:r>
          </w:p>
        </w:tc>
        <w:tc>
          <w:tcPr/>
          <w:p>
            <w:pPr>
              <w:pStyle w:val="Compact"/>
              <w:jc w:val="left"/>
            </w:pPr>
            <w:r>
              <w:t xml:space="preserve">635,7</w:t>
            </w:r>
          </w:p>
        </w:tc>
        <w:tc>
          <w:tcPr/>
          <w:p>
            <w:pPr>
              <w:pStyle w:val="Compact"/>
              <w:jc w:val="left"/>
            </w:pPr>
            <w:r>
              <w:t xml:space="preserve">−44,9 %</w:t>
            </w:r>
          </w:p>
        </w:tc>
      </w:tr>
      <w:tr>
        <w:tc>
          <w:tcPr/>
          <w:p>
            <w:pPr>
              <w:pStyle w:val="Compact"/>
              <w:jc w:val="left"/>
            </w:pPr>
            <w:r>
              <w:t xml:space="preserve">Base (50 %)</w:t>
            </w:r>
          </w:p>
        </w:tc>
        <w:tc>
          <w:tcPr/>
          <w:p>
            <w:pPr>
              <w:pStyle w:val="Compact"/>
              <w:jc w:val="left"/>
            </w:pPr>
            <w:r>
              <w:t xml:space="preserve">129.599</w:t>
            </w:r>
          </w:p>
        </w:tc>
        <w:tc>
          <w:tcPr/>
          <w:p>
            <w:pPr>
              <w:pStyle w:val="Compact"/>
              <w:jc w:val="left"/>
            </w:pPr>
            <w:r>
              <w:t xml:space="preserve">19,7x</w:t>
            </w:r>
          </w:p>
        </w:tc>
        <w:tc>
          <w:tcPr/>
          <w:p>
            <w:pPr>
              <w:pStyle w:val="Compact"/>
              <w:jc w:val="left"/>
            </w:pPr>
            <w:r>
              <w:t xml:space="preserve">1.388,2</w:t>
            </w:r>
          </w:p>
        </w:tc>
        <w:tc>
          <w:tcPr/>
          <w:p>
            <w:pPr>
              <w:pStyle w:val="Compact"/>
              <w:jc w:val="left"/>
            </w:pPr>
            <w:r>
              <w:t xml:space="preserve">+19,6 %</w:t>
            </w:r>
          </w:p>
        </w:tc>
      </w:tr>
      <w:tr>
        <w:tc>
          <w:tcPr/>
          <w:p>
            <w:pPr>
              <w:pStyle w:val="Compact"/>
              <w:jc w:val="left"/>
            </w:pPr>
            <w:r>
              <w:t xml:space="preserve">Alcista (25 %)</w:t>
            </w:r>
          </w:p>
        </w:tc>
        <w:tc>
          <w:tcPr/>
          <w:p>
            <w:pPr>
              <w:pStyle w:val="Compact"/>
              <w:jc w:val="left"/>
            </w:pPr>
            <w:r>
              <w:t xml:space="preserve">141.029</w:t>
            </w:r>
          </w:p>
        </w:tc>
        <w:tc>
          <w:tcPr/>
          <w:p>
            <w:pPr>
              <w:pStyle w:val="Compact"/>
              <w:jc w:val="left"/>
            </w:pPr>
            <w:r>
              <w:t xml:space="preserve">25,7x</w:t>
            </w:r>
          </w:p>
        </w:tc>
        <w:tc>
          <w:tcPr/>
          <w:p>
            <w:pPr>
              <w:pStyle w:val="Compact"/>
              <w:jc w:val="left"/>
            </w:pPr>
            <w:r>
              <w:t xml:space="preserve">1.985,3</w:t>
            </w:r>
          </w:p>
        </w:tc>
        <w:tc>
          <w:tcPr/>
          <w:p>
            <w:pPr>
              <w:pStyle w:val="Compact"/>
              <w:jc w:val="left"/>
            </w:pPr>
            <w:r>
              <w:t xml:space="preserve">+70,8 %</w:t>
            </w:r>
          </w:p>
        </w:tc>
      </w:tr>
      <w:tr>
        <w:tc>
          <w:tcPr/>
          <w:p>
            <w:pPr>
              <w:pStyle w:val="Compact"/>
              <w:jc w:val="left"/>
            </w:pPr>
            <w:r>
              <w:rPr>
                <w:bCs/>
                <w:b/>
              </w:rPr>
              <w:t xml:space="preserve">Ponderado (v9)</w:t>
            </w:r>
          </w:p>
        </w:tc>
        <w:tc>
          <w:tcPr/>
          <w:p>
            <w:pPr>
              <w:pStyle w:val="Compact"/>
            </w:pPr>
          </w:p>
        </w:tc>
        <w:tc>
          <w:tcPr/>
          <w:p>
            <w:pPr>
              <w:pStyle w:val="Compact"/>
            </w:pPr>
          </w:p>
        </w:tc>
        <w:tc>
          <w:tcPr/>
          <w:p>
            <w:pPr>
              <w:pStyle w:val="Compact"/>
              <w:jc w:val="left"/>
            </w:pPr>
            <w:r>
              <w:rPr>
                <w:bCs/>
                <w:b/>
              </w:rPr>
              <w:t xml:space="preserve">1.349,4</w:t>
            </w:r>
          </w:p>
        </w:tc>
        <w:tc>
          <w:tcPr/>
          <w:p>
            <w:pPr>
              <w:pStyle w:val="Compact"/>
              <w:jc w:val="left"/>
            </w:pPr>
            <w:r>
              <w:rPr>
                <w:bCs/>
                <w:b/>
              </w:rPr>
              <w:t xml:space="preserve">+16,3 %</w:t>
            </w:r>
          </w:p>
        </w:tc>
      </w:tr>
    </w:tbl>
    <w:p>
      <w:pPr>
        <w:pStyle w:val="BodyText"/>
      </w:pPr>
      <w:r>
        <w:t xml:space="preserve">Acciones dentro de 12 meses: 887,4 M (−0,7 %).</w:t>
      </w:r>
      <w:r>
        <w:t xml:space="preserve"> </w:t>
      </w:r>
      <w:r>
        <w:rPr>
          <w:bCs/>
          <w:b/>
        </w:rPr>
        <w:t xml:space="preserve">Asimetría: 1,6.</w:t>
      </w:r>
      <w:r>
        <w:t xml:space="preserve"> </w:t>
      </w:r>
      <w:r>
        <w:rPr>
          <w:bCs/>
          <w:b/>
        </w:rPr>
        <w:t xml:space="preserve">Precio máximo de compra (regla v9): 1.292,5 USD</w:t>
      </w:r>
      <w:r>
        <w:t xml:space="preserve">, el que da una ponderada del +5 %. El tope de 35x beneficio bruto queda muy lejos.</w:t>
      </w:r>
    </w:p>
    <w:p>
      <w:pPr>
        <w:pStyle w:val="BodyText"/>
      </w:pPr>
      <w:r>
        <w:rPr>
          <w:bCs/>
          <w:b/>
        </w:rPr>
        <w:t xml:space="preserve">v7 como referencia</w:t>
      </w:r>
      <w:r>
        <w:t xml:space="preserve">: sin el recorte por la guía, la regla parte del +45,9 % y lleva las ventas del base a 161.528 M. Da una ponderada del +45,9 %, Comprar (alta) y compra hasta 1.623,9 USD. v9 corrige con razón: la propia empresa guía un +17 % para el 2S26.</w:t>
      </w:r>
    </w:p>
    <w:p>
      <w:pPr>
        <w:pStyle w:val="BodyText"/>
      </w:pPr>
      <w:r>
        <w:rPr>
          <w:bCs/>
          <w:b/>
        </w:rPr>
        <w:t xml:space="preserve">Contraste con mi proyección (cercana al consenso)</w:t>
      </w:r>
      <w:r>
        <w:t xml:space="preserve">: es el punto débil del caso. Las ventas del base de v9 (129.600 M para 3T27-2T28) suponen +29,8 % y +25,3 %. El consenso da ~88.500 M para 2026 y ~97.000-102.000 M para 2027 [11]. Mi proyección es +20 % y +15 % (109.900 M en el base; 93.800 M en el bajista y 119.500 M en el alcista). Con los mismos múltiplos, el mismo margen, las mismas acciones y la misma caja: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2028 (M USD)</w:t>
            </w:r>
          </w:p>
        </w:tc>
        <w:tc>
          <w:tcPr/>
          <w:p>
            <w:pPr>
              <w:pStyle w:val="Compact"/>
              <w:jc w:val="left"/>
            </w:pPr>
            <w:r>
              <w:t xml:space="preserve">EV/EBITDA</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(+10 % y +7 %)</w:t>
            </w:r>
          </w:p>
        </w:tc>
        <w:tc>
          <w:tcPr/>
          <w:p>
            <w:pPr>
              <w:pStyle w:val="Compact"/>
              <w:jc w:val="left"/>
            </w:pPr>
            <w:r>
              <w:t xml:space="preserve">93.767</w:t>
            </w:r>
          </w:p>
        </w:tc>
        <w:tc>
          <w:tcPr/>
          <w:p>
            <w:pPr>
              <w:pStyle w:val="Compact"/>
              <w:jc w:val="left"/>
            </w:pPr>
            <w:r>
              <w:t xml:space="preserve">11,8x</w:t>
            </w:r>
          </w:p>
        </w:tc>
        <w:tc>
          <w:tcPr/>
          <w:p>
            <w:pPr>
              <w:pStyle w:val="Compact"/>
              <w:jc w:val="left"/>
            </w:pPr>
            <w:r>
              <w:t xml:space="preserve">570,8</w:t>
            </w:r>
          </w:p>
        </w:tc>
        <w:tc>
          <w:tcPr/>
          <w:p>
            <w:pPr>
              <w:pStyle w:val="Compact"/>
              <w:jc w:val="left"/>
            </w:pPr>
            <w:r>
              <w:t xml:space="preserve">−50,5 %</w:t>
            </w:r>
          </w:p>
        </w:tc>
      </w:tr>
      <w:tr>
        <w:tc>
          <w:tcPr/>
          <w:p>
            <w:pPr>
              <w:pStyle w:val="Compact"/>
              <w:jc w:val="left"/>
            </w:pPr>
            <w:r>
              <w:t xml:space="preserve">Base (+20 % y +15 %)</w:t>
            </w:r>
          </w:p>
        </w:tc>
        <w:tc>
          <w:tcPr/>
          <w:p>
            <w:pPr>
              <w:pStyle w:val="Compact"/>
              <w:jc w:val="left"/>
            </w:pPr>
            <w:r>
              <w:t xml:space="preserve">109.939</w:t>
            </w:r>
          </w:p>
        </w:tc>
        <w:tc>
          <w:tcPr/>
          <w:p>
            <w:pPr>
              <w:pStyle w:val="Compact"/>
              <w:jc w:val="left"/>
            </w:pPr>
            <w:r>
              <w:t xml:space="preserve">19,7x</w:t>
            </w:r>
          </w:p>
        </w:tc>
        <w:tc>
          <w:tcPr/>
          <w:p>
            <w:pPr>
              <w:pStyle w:val="Compact"/>
              <w:jc w:val="left"/>
            </w:pPr>
            <w:r>
              <w:t xml:space="preserve">1.166,9</w:t>
            </w:r>
          </w:p>
        </w:tc>
        <w:tc>
          <w:tcPr/>
          <w:p>
            <w:pPr>
              <w:pStyle w:val="Compact"/>
              <w:jc w:val="left"/>
            </w:pPr>
            <w:r>
              <w:t xml:space="preserve">+0,6 %</w:t>
            </w:r>
          </w:p>
        </w:tc>
      </w:tr>
      <w:tr>
        <w:tc>
          <w:tcPr/>
          <w:p>
            <w:pPr>
              <w:pStyle w:val="Compact"/>
              <w:jc w:val="left"/>
            </w:pPr>
            <w:r>
              <w:t xml:space="preserve">Alcista (+25 % y +20 %)</w:t>
            </w:r>
          </w:p>
        </w:tc>
        <w:tc>
          <w:tcPr/>
          <w:p>
            <w:pPr>
              <w:pStyle w:val="Compact"/>
              <w:jc w:val="left"/>
            </w:pPr>
            <w:r>
              <w:t xml:space="preserve">119.499</w:t>
            </w:r>
          </w:p>
        </w:tc>
        <w:tc>
          <w:tcPr/>
          <w:p>
            <w:pPr>
              <w:pStyle w:val="Compact"/>
              <w:jc w:val="left"/>
            </w:pPr>
            <w:r>
              <w:t xml:space="preserve">25,7x</w:t>
            </w:r>
          </w:p>
        </w:tc>
        <w:tc>
          <w:tcPr/>
          <w:p>
            <w:pPr>
              <w:pStyle w:val="Compact"/>
              <w:jc w:val="left"/>
            </w:pPr>
            <w:r>
              <w:t xml:space="preserve">1.676,4</w:t>
            </w:r>
          </w:p>
        </w:tc>
        <w:tc>
          <w:tcPr/>
          <w:p>
            <w:pPr>
              <w:pStyle w:val="Compact"/>
              <w:jc w:val="left"/>
            </w:pPr>
            <w:r>
              <w:t xml:space="preserve">+44,3 %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1.145,3</w:t>
            </w:r>
          </w:p>
        </w:tc>
        <w:tc>
          <w:tcPr/>
          <w:p>
            <w:pPr>
              <w:pStyle w:val="Compact"/>
              <w:jc w:val="left"/>
            </w:pPr>
            <w:r>
              <w:rPr>
                <w:bCs/>
                <w:b/>
              </w:rPr>
              <w:t xml:space="preserve">−1,2 %</w:t>
            </w:r>
          </w:p>
        </w:tc>
      </w:tr>
    </w:tbl>
    <w:p>
      <w:pPr>
        <w:pStyle w:val="BodyText"/>
      </w:pPr>
      <w:r>
        <w:t xml:space="preserve">Con esa proyección</w:t>
      </w:r>
      <w:r>
        <w:t xml:space="preserve"> </w:t>
      </w:r>
      <w:r>
        <w:rPr>
          <w:bCs/>
          <w:b/>
        </w:rPr>
        <w:t xml:space="preserve">sería Mantener</w:t>
      </w:r>
      <w:r>
        <w:t xml:space="preserve">, porque la ponderada queda por debajo del 5 % y el bajista toca el −50 %. Otras sensibilidades con el motor v9: probabilidades de 35/50/15, por depender en un 65 % de la tirzepatida, dan una ponderada del +4,7 % (Mantener en vigilancia; compra hasta 1.163 USD); la guía sin el exceso da −4,6 % (Mantener).</w:t>
      </w:r>
      <w:r>
        <w:t xml:space="preserve"> </w:t>
      </w:r>
      <w:r>
        <w:rPr>
          <w:bCs/>
          <w:b/>
        </w:rPr>
        <w:t xml:space="preserve">Lectura</w:t>
      </w:r>
      <w:r>
        <w:t xml:space="preserve">: la compra depende de que Lilly bata la guía y el consenso en ~12 puntos al año, como en 2024 y en 2025. Es posible (ha pasado dos años seguidos), pero es la hipótesis clave y no hay margen si no se cumple.</w:t>
      </w:r>
      <w:r>
        <w:t xml:space="preserve"> </w:t>
      </w:r>
      <w:r>
        <w:rPr>
          <w:bCs/>
          <w:b/>
        </w:rPr>
        <w:t xml:space="preserve">Límite prudente que recomiendo: ~1.163 USD</w:t>
      </w:r>
      <w:r>
        <w:t xml:space="preserve">, el precio al que la ponderada llega al 5 % con 35/50/15. Coincide con el cierre del 13-oct y queda por debajo del precio actual.</w:t>
      </w:r>
    </w:p>
    <w:p>
      <w:pPr>
        <w:numPr>
          <w:ilvl w:val="0"/>
          <w:numId w:val="1010"/>
        </w:numPr>
        <w:pStyle w:val="Compact"/>
      </w:pPr>
      <w:r>
        <w:rPr>
          <w:bCs/>
          <w:b/>
        </w:rPr>
        <w:t xml:space="preserve">Consenso</w:t>
      </w:r>
      <w:r>
        <w:t xml:space="preserve">: precio objetivo medio de ~1.312 USD (MarketBeat, 26 de 30 analistas en Compra). La mediana es 1.392,50 (Yahoo) y el rango va de ~850 a 1.600 [11][15].</w:t>
      </w:r>
    </w:p>
    <w:p>
      <w:pPr>
        <w:numPr>
          <w:ilvl w:val="0"/>
          <w:numId w:val="1010"/>
        </w:numPr>
        <w:pStyle w:val="Compact"/>
      </w:pPr>
      <w:r>
        <w:rPr>
          <w:bCs/>
          <w:b/>
        </w:rPr>
        <w:t xml:space="preserve">DCF inverso</w:t>
      </w:r>
      <w:r>
        <w:t xml:space="preserve">: con WACC del 9 %, margen FCF constante del 25 % y crecimiento terminal del 3 %, el precio de hoy descuenta</w:t>
      </w:r>
      <w:r>
        <w:t xml:space="preserve"> </w:t>
      </w:r>
      <w:r>
        <w:rPr>
          <w:bCs/>
          <w:b/>
        </w:rPr>
        <w:t xml:space="preserve">~18,2 % anual durante 10 años</w:t>
      </w:r>
      <w:r>
        <w:t xml:space="preserve"> </w:t>
      </w:r>
      <w:r>
        <w:t xml:space="preserve">(16,7 % con un margen del 28 %; 15,4 % con WACC del 8 %). Es mucho: argenx descontaba ~9,5 % creciendo más deprisa.</w:t>
      </w:r>
    </w:p>
    <w:bookmarkEnd w:id="28"/>
    <w:bookmarkStart w:id="29" w:name="foros-y-sentimiento"/>
    <w:p>
      <w:pPr>
        <w:pStyle w:val="Heading2"/>
      </w:pPr>
      <w:r>
        <w:t xml:space="preserve">10. Foros y sentimiento</w:t>
      </w:r>
    </w:p>
    <w:p>
      <w:pPr>
        <w:numPr>
          <w:ilvl w:val="0"/>
          <w:numId w:val="1011"/>
        </w:numPr>
        <w:pStyle w:val="Compact"/>
      </w:pPr>
      <w:r>
        <w:rPr>
          <w:bCs/>
          <w:b/>
        </w:rPr>
        <w:t xml:space="preserve">Prensa y analistas</w:t>
      </w:r>
      <w:r>
        <w:t xml:space="preserve">: el relato de 2025 fue de «guerra de precios». Primero el acuerdo con la Casa Blanca (nov-2025) y después el Wegovy oral, que llegó antes que Foundayo. La acción tocó 799,57 USD en octubre de 2025 [9][22]. En 2026 gana el relato de «Lilly gana a Novo»: resultados muy por encima de lo esperado, el billón de dólares de capitalización y retatrutide. Hoy es la tesis de consenso (26 de 30 en Compra) [7][11].</w:t>
      </w:r>
    </w:p>
    <w:p>
      <w:pPr>
        <w:numPr>
          <w:ilvl w:val="0"/>
          <w:numId w:val="1011"/>
        </w:numPr>
        <w:pStyle w:val="Compact"/>
      </w:pPr>
      <w:r>
        <w:rPr>
          <w:bCs/>
          <w:b/>
        </w:rPr>
        <w:t xml:space="preserve">StockTwits</w:t>
      </w:r>
      <w:r>
        <w:t xml:space="preserve"> </w:t>
      </w:r>
      <w:r>
        <w:t xml:space="preserve">(14-oct): 7 alcistas, 2 bajistas y 21 sin etiqueta en 30 mensajes. Hoy domina la rotación de tecnología a salud («rompe máximos en un día rojo»; LLY +4 %, Merck +3,9 %, AbbVie +3,3 %). Hay ruido sobre retatrutide comprado en el mercado ilegal (dos muertes notificadas a la FDA) y sobre Viking [12][17].</w:t>
      </w:r>
    </w:p>
    <w:p>
      <w:pPr>
        <w:numPr>
          <w:ilvl w:val="0"/>
          <w:numId w:val="1011"/>
        </w:numPr>
        <w:pStyle w:val="Compact"/>
      </w:pPr>
      <w:r>
        <w:rPr>
          <w:bCs/>
          <w:b/>
        </w:rPr>
        <w:t xml:space="preserve">Seeking Alpha y otros en inglés</w:t>
      </w:r>
      <w:r>
        <w:t xml:space="preserve">: no se pudo leer Seeking Alpha (de pago). AInvest, Walnut y 24/7 Wall St. resumen el debate: los bajistas hablan de precio realizado −13 %, concentración en incretinas y FCF de ~1 % sobre la capitalización; los alcistas, de volumen +60 %, Medicare a 50 USD y retatrutide [15].</w:t>
      </w:r>
      <w:r>
        <w:t xml:space="preserve"> </w:t>
      </w:r>
      <w:r>
        <w:rPr>
          <w:bCs/>
          <w:b/>
        </w:rPr>
        <w:t xml:space="preserve">Laguna parcial.</w:t>
      </w:r>
    </w:p>
    <w:p>
      <w:pPr>
        <w:numPr>
          <w:ilvl w:val="0"/>
          <w:numId w:val="1011"/>
        </w:numPr>
        <w:pStyle w:val="Compact"/>
      </w:pPr>
      <w:r>
        <w:rPr>
          <w:bCs/>
          <w:b/>
        </w:rPr>
        <w:t xml:space="preserve">Reddit</w:t>
      </w:r>
      <w:r>
        <w:t xml:space="preserve">: la API respondió «Blocked».</w:t>
      </w:r>
      <w:r>
        <w:t xml:space="preserve"> </w:t>
      </w:r>
      <w:r>
        <w:rPr>
          <w:bCs/>
          <w:b/>
        </w:rPr>
        <w:t xml:space="preserve">Laguna.</w:t>
      </w:r>
    </w:p>
    <w:p>
      <w:pPr>
        <w:numPr>
          <w:ilvl w:val="0"/>
          <w:numId w:val="1011"/>
        </w:numPr>
        <w:pStyle w:val="Compact"/>
      </w:pPr>
      <w:r>
        <w:rPr>
          <w:bCs/>
          <w:b/>
        </w:rPr>
        <w:t xml:space="preserve">En castellano</w:t>
      </w:r>
      <w:r>
        <w:t xml:space="preserve">: la ficha de Rankia la califica de «cara» (PER de 43-47x frente a 24x del sector) y advierte de la dependencia de los GLP-1. TIKR ES destaca la prima frente a Novo y Roche (~20x frente a ~10x NTM) [14].</w:t>
      </w:r>
    </w:p>
    <w:p>
      <w:pPr>
        <w:numPr>
          <w:ilvl w:val="0"/>
          <w:numId w:val="1011"/>
        </w:numPr>
        <w:pStyle w:val="Compact"/>
      </w:pPr>
      <w:r>
        <w:rPr>
          <w:bCs/>
          <w:b/>
        </w:rPr>
        <w:t xml:space="preserve">Contraste con los datos</w:t>
      </w:r>
      <w:r>
        <w:t xml:space="preserve">: el pesimismo de octubre de 2025 iba por detrás de los datos: el volumen ya compensaba el precio. Hoy sentimiento y datos van juntos, pero el consenso es casi unánime y el interés corto es mínimo (0,8 %) [13]. Si el 3T26 o la guía 2027 decepcionan (primer trimestre con Medicare a 245 USD), hay mucha gente que puede vender.</w:t>
      </w:r>
    </w:p>
    <w:bookmarkEnd w:id="29"/>
    <w:bookmarkStart w:id="30" w:name="riesgos-y-qué-rompería-la-tesis"/>
    <w:p>
      <w:pPr>
        <w:pStyle w:val="Heading2"/>
      </w:pPr>
      <w:r>
        <w:t xml:space="preserve">11. Riesgos y qué rompería la tesis</w:t>
      </w:r>
    </w:p>
    <w:p>
      <w:pPr>
        <w:numPr>
          <w:ilvl w:val="0"/>
          <w:numId w:val="1012"/>
        </w:numPr>
        <w:pStyle w:val="Compact"/>
      </w:pPr>
      <w:r>
        <w:rPr>
          <w:bCs/>
          <w:b/>
        </w:rPr>
        <w:t xml:space="preserve">Precio en EE. UU.</w:t>
      </w:r>
      <w:r>
        <w:t xml:space="preserve">: es el principal riesgo. El acuerdo de nación más favorecida (Medicare y Medicaid a 245 USD, TrumpRx a 299-449 USD, lanzamientos al precio internacional) y los recortes de Novo (675 USD de lista desde 2027) bajan el precio por paciente. La apuesta es que el volumen lo compense, como en 2025-2026 [16][22]. Medicare puede incluir Mounjaro y Zepbound en la negociación de precios de la ley IRA (de memoria; no verificado).</w:t>
      </w:r>
    </w:p>
    <w:p>
      <w:pPr>
        <w:numPr>
          <w:ilvl w:val="0"/>
          <w:numId w:val="1012"/>
        </w:numPr>
        <w:pStyle w:val="Compact"/>
      </w:pPr>
      <w:r>
        <w:rPr>
          <w:bCs/>
          <w:b/>
        </w:rPr>
        <w:t xml:space="preserve">Competencia</w:t>
      </w:r>
      <w:r>
        <w:t xml:space="preserve">: Wegovy oral con ventaja de salida, CagriSema y amicretina de Novo, Viking, Amgen y Pfizer. Fuera de EE. UU. llegan los genéricos de semaglutida, que fijan un precio de referencia bajo [21].</w:t>
      </w:r>
    </w:p>
    <w:p>
      <w:pPr>
        <w:numPr>
          <w:ilvl w:val="0"/>
          <w:numId w:val="1012"/>
        </w:numPr>
        <w:pStyle w:val="Compact"/>
      </w:pPr>
      <w:r>
        <w:rPr>
          <w:bCs/>
          <w:b/>
        </w:rPr>
        <w:t xml:space="preserve">Concentración</w:t>
      </w:r>
      <w:r>
        <w:t xml:space="preserve">: el 65 % de las ventas es tirzepatida. Un problema de seguridad de la clase (los GLP-1 tienen alertas abiertas, como la NAION ocular, de memoria) afectaría a todo.</w:t>
      </w:r>
    </w:p>
    <w:p>
      <w:pPr>
        <w:numPr>
          <w:ilvl w:val="0"/>
          <w:numId w:val="1012"/>
        </w:numPr>
        <w:pStyle w:val="Compact"/>
      </w:pPr>
      <w:r>
        <w:rPr>
          <w:bCs/>
          <w:b/>
        </w:rPr>
        <w:t xml:space="preserve">Valoración</w:t>
      </w:r>
      <w:r>
        <w:t xml:space="preserve">: DCF inverso del 18 % a 10 años y 22,8x EBITDA. Una vuelta a 16x (su mínimo de 2025) es −30 % sin que cambie el negocio. El bajista del método da −45 %.</w:t>
      </w:r>
    </w:p>
    <w:p>
      <w:pPr>
        <w:numPr>
          <w:ilvl w:val="0"/>
          <w:numId w:val="1012"/>
        </w:numPr>
        <w:pStyle w:val="Compact"/>
      </w:pPr>
      <w:r>
        <w:rPr>
          <w:bCs/>
          <w:b/>
        </w:rPr>
        <w:t xml:space="preserve">Ejecución industrial</w:t>
      </w:r>
      <w:r>
        <w:t xml:space="preserve">: más de 50.000 M en fábricas. Un retraso en Lebanon o un problema de calidad limitaría el lanzamiento de retatrutide en 2027-2028.</w:t>
      </w:r>
    </w:p>
    <w:p>
      <w:pPr>
        <w:numPr>
          <w:ilvl w:val="0"/>
          <w:numId w:val="1012"/>
        </w:numPr>
        <w:pStyle w:val="Compact"/>
      </w:pPr>
      <w:r>
        <w:rPr>
          <w:bCs/>
          <w:b/>
        </w:rPr>
        <w:t xml:space="preserve">Política y litigios</w:t>
      </w:r>
      <w:r>
        <w:t xml:space="preserve">: aranceles tras la exención de tres años, escrutinio del Congreso sobre el acuerdo y demandas por efectos secundarios de los GLP-1 (de memoria).</w:t>
      </w:r>
    </w:p>
    <w:p>
      <w:pPr>
        <w:numPr>
          <w:ilvl w:val="0"/>
          <w:numId w:val="1012"/>
        </w:numPr>
        <w:pStyle w:val="Compact"/>
      </w:pPr>
      <w:r>
        <w:rPr>
          <w:bCs/>
          <w:b/>
        </w:rPr>
        <w:t xml:space="preserve">Riesgo de IA: bajo.</w:t>
      </w:r>
      <w:r>
        <w:t xml:space="preserve"> </w:t>
      </w:r>
      <w:r>
        <w:t xml:space="preserve">Lilly vende moléculas patentadas, fabricación y datos clínicos, y la IA no sustituye a un fármaco aprobado. La IA acelera el descubrimiento para todos, también para los rivales, y Lilly la usa (supercomputador con Nvidia y plataforma TuneLab, de memoria). El efecto neto es neutro o positivo.</w:t>
      </w:r>
    </w:p>
    <w:p>
      <w:pPr>
        <w:pStyle w:val="FirstParagraph"/>
      </w:pPr>
      <w:r>
        <w:rPr>
          <w:bCs/>
          <w:b/>
        </w:rPr>
        <w:t xml:space="preserve">Señales de venta concretas</w:t>
      </w:r>
      <w:r>
        <w:t xml:space="preserve">:</w:t>
      </w:r>
      <w:r>
        <w:t xml:space="preserve"> </w:t>
      </w:r>
      <w:r>
        <w:t xml:space="preserve">- Crecimiento de las ventas por debajo del +15 % dos trimestres seguidos antes de la llegada de retatrutide.</w:t>
      </w:r>
      <w:r>
        <w:t xml:space="preserve"> </w:t>
      </w:r>
      <w:r>
        <w:t xml:space="preserve">- Precio realizado en EE. UU. con caídas de más del 15 % sin que el volumen lo compense (ventas de EE. UU. planas).</w:t>
      </w:r>
      <w:r>
        <w:t xml:space="preserve"> </w:t>
      </w:r>
      <w:r>
        <w:t xml:space="preserve">- Cuota de incretinas en EE. UU. por debajo del 50 % (hoy 60,9 %).</w:t>
      </w:r>
      <w:r>
        <w:t xml:space="preserve"> </w:t>
      </w:r>
      <w:r>
        <w:t xml:space="preserve">- Rechazo o retraso de más de un año de retatrutide, o una alerta de seguridad grave de la clase.</w:t>
      </w:r>
      <w:r>
        <w:t xml:space="preserve"> </w:t>
      </w:r>
      <w:r>
        <w:t xml:space="preserve">- Guía 2027 (febrero de 2027) por debajo del +10 %.</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Fecha</w:t>
            </w:r>
          </w:p>
        </w:tc>
        <w:tc>
          <w:tcPr/>
          <w:p>
            <w:pPr>
              <w:pStyle w:val="Compact"/>
              <w:jc w:val="left"/>
            </w:pPr>
            <w:r>
              <w:t xml:space="preserve">Hecho</w:t>
            </w:r>
          </w:p>
        </w:tc>
      </w:tr>
      <w:tr>
        <w:tc>
          <w:tcPr/>
          <w:p>
            <w:pPr>
              <w:pStyle w:val="Compact"/>
              <w:jc w:val="left"/>
            </w:pPr>
            <w:r>
              <w:t xml:space="preserve">29-oct-2026</w:t>
            </w:r>
          </w:p>
        </w:tc>
        <w:tc>
          <w:tcPr/>
          <w:p>
            <w:pPr>
              <w:pStyle w:val="Compact"/>
              <w:jc w:val="left"/>
            </w:pPr>
            <w:r>
              <w:t xml:space="preserve">Resultados del 3T26: primer trimestre entero con Medicare para obesidad y con TrumpRx; posible subida de la guía 2026</w:t>
            </w:r>
          </w:p>
        </w:tc>
      </w:tr>
      <w:tr>
        <w:tc>
          <w:tcPr/>
          <w:p>
            <w:pPr>
              <w:pStyle w:val="Compact"/>
              <w:jc w:val="left"/>
            </w:pPr>
            <w:r>
              <w:t xml:space="preserve">4T26-1S27</w:t>
            </w:r>
          </w:p>
        </w:tc>
        <w:tc>
          <w:tcPr/>
          <w:p>
            <w:pPr>
              <w:pStyle w:val="Compact"/>
              <w:jc w:val="left"/>
            </w:pPr>
            <w:r>
              <w:t xml:space="preserve">Decisión de la FDA sobre Foundayo en diabetes tipo 2 (presentada en el 2T26)</w:t>
            </w:r>
          </w:p>
        </w:tc>
      </w:tr>
      <w:tr>
        <w:tc>
          <w:tcPr/>
          <w:p>
            <w:pPr>
              <w:pStyle w:val="Compact"/>
              <w:jc w:val="left"/>
            </w:pPr>
            <w:r>
              <w:t xml:space="preserve">4-nov-2026</w:t>
            </w:r>
          </w:p>
        </w:tc>
        <w:tc>
          <w:tcPr/>
          <w:p>
            <w:pPr>
              <w:pStyle w:val="Compact"/>
              <w:jc w:val="left"/>
            </w:pPr>
            <w:r>
              <w:t xml:space="preserve">Resultados de Novo de 9 meses (cuota, precios y CagriSema)</w:t>
            </w:r>
          </w:p>
        </w:tc>
      </w:tr>
      <w:tr>
        <w:tc>
          <w:tcPr/>
          <w:p>
            <w:pPr>
              <w:pStyle w:val="Compact"/>
              <w:jc w:val="left"/>
            </w:pPr>
            <w:r>
              <w:t xml:space="preserve">1-ene-2027</w:t>
            </w:r>
          </w:p>
        </w:tc>
        <w:tc>
          <w:tcPr/>
          <w:p>
            <w:pPr>
              <w:pStyle w:val="Compact"/>
              <w:jc w:val="left"/>
            </w:pPr>
            <w:r>
              <w:t xml:space="preserve">Nuevos precios de lista de Novo (675 USD) y cobertura de GLP-1 de grandes empleadores (Walmart desde 2027)</w:t>
            </w:r>
          </w:p>
        </w:tc>
      </w:tr>
      <w:tr>
        <w:tc>
          <w:tcPr/>
          <w:p>
            <w:pPr>
              <w:pStyle w:val="Compact"/>
              <w:jc w:val="left"/>
            </w:pPr>
            <w:r>
              <w:t xml:space="preserve">Feb-2027</w:t>
            </w:r>
          </w:p>
        </w:tc>
        <w:tc>
          <w:tcPr/>
          <w:p>
            <w:pPr>
              <w:pStyle w:val="Compact"/>
              <w:jc w:val="left"/>
            </w:pPr>
            <w:r>
              <w:t xml:space="preserve">Resultados de 2026 y</w:t>
            </w:r>
            <w:r>
              <w:t xml:space="preserve"> </w:t>
            </w:r>
            <w:r>
              <w:rPr>
                <w:bCs/>
                <w:b/>
              </w:rPr>
              <w:t xml:space="preserve">primera guía 2027</w:t>
            </w:r>
            <w:r>
              <w:t xml:space="preserve"> </w:t>
            </w:r>
            <w:r>
              <w:t xml:space="preserve">(la clave para v9)</w:t>
            </w:r>
          </w:p>
        </w:tc>
      </w:tr>
      <w:tr>
        <w:tc>
          <w:tcPr/>
          <w:p>
            <w:pPr>
              <w:pStyle w:val="Compact"/>
              <w:jc w:val="left"/>
            </w:pPr>
            <w:r>
              <w:t xml:space="preserve">1T27</w:t>
            </w:r>
          </w:p>
        </w:tc>
        <w:tc>
          <w:tcPr/>
          <w:p>
            <w:pPr>
              <w:pStyle w:val="Compact"/>
              <w:jc w:val="left"/>
            </w:pPr>
            <w:r>
              <w:t xml:space="preserve">Solicitud de retatrutide a la FDA (obesidad, apnea del sueño y artrosis de rodilla)</w:t>
            </w:r>
          </w:p>
        </w:tc>
      </w:tr>
      <w:tr>
        <w:tc>
          <w:tcPr/>
          <w:p>
            <w:pPr>
              <w:pStyle w:val="Compact"/>
              <w:jc w:val="left"/>
            </w:pPr>
            <w:r>
              <w:t xml:space="preserve">2027</w:t>
            </w:r>
          </w:p>
        </w:tc>
        <w:tc>
          <w:tcPr/>
          <w:p>
            <w:pPr>
              <w:pStyle w:val="Compact"/>
              <w:jc w:val="left"/>
            </w:pPr>
            <w:r>
              <w:t xml:space="preserve">Apertura de la planta de principio activo de Lebanon (Indiana)</w:t>
            </w:r>
          </w:p>
        </w:tc>
      </w:tr>
    </w:tbl>
    <w:bookmarkEnd w:id="31"/>
    <w:bookmarkStart w:id="32" w:name="encaje-en-cartera"/>
    <w:p>
      <w:pPr>
        <w:pStyle w:val="Heading2"/>
      </w:pPr>
      <w:r>
        <w:t xml:space="preserve">13. Encaje en cartera</w:t>
      </w:r>
    </w:p>
    <w:p>
      <w:pPr>
        <w:numPr>
          <w:ilvl w:val="0"/>
          <w:numId w:val="1013"/>
        </w:numPr>
        <w:pStyle w:val="Compact"/>
      </w:pPr>
      <w:r>
        <w:rPr>
          <w:bCs/>
          <w:b/>
        </w:rPr>
        <w:t xml:space="preserve">Bolsillo growth lleno</w:t>
      </w:r>
      <w:r>
        <w:t xml:space="preserve"> </w:t>
      </w:r>
      <w:r>
        <w:t xml:space="preserve">(~20 %: Nu, argenx, Shopify, Axon y Snowflake) y liquidez de ≈27 EUR, así que solo cabe sustituir. Las más flojas son Shopify (≈+18 % al precio actual) y Snowflake (≈+16 %).</w:t>
      </w:r>
      <w:r>
        <w:t xml:space="preserve"> </w:t>
      </w:r>
      <w:r>
        <w:rPr>
          <w:bCs/>
          <w:b/>
        </w:rPr>
        <w:t xml:space="preserve">Lilly da +11,4 % al precio actual</w:t>
      </w:r>
      <w:r>
        <w:t xml:space="preserve"> </w:t>
      </w:r>
      <w:r>
        <w:t xml:space="preserve">(+12,0 % con el dividendo; objetivo fijo de 1.349,4 USD), menos que las dos. Además, ese +11 % depende de una proyección un 18 % por encima de la mía.</w:t>
      </w:r>
      <w:r>
        <w:t xml:space="preserve"> </w:t>
      </w:r>
      <w:r>
        <w:rPr>
          <w:bCs/>
          <w:b/>
        </w:rPr>
        <w:t xml:space="preserve">No sustituye a ninguna.</w:t>
      </w:r>
    </w:p>
    <w:p>
      <w:pPr>
        <w:numPr>
          <w:ilvl w:val="0"/>
          <w:numId w:val="1013"/>
        </w:numPr>
        <w:pStyle w:val="Compact"/>
      </w:pPr>
      <w:r>
        <w:rPr>
          <w:bCs/>
          <w:b/>
        </w:rPr>
        <w:t xml:space="preserve">Frente a argenx</w:t>
      </w:r>
      <w:r>
        <w:t xml:space="preserve">, la otra farmacéutica growth de la cartera: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Eli Lilly</w:t>
            </w:r>
          </w:p>
        </w:tc>
        <w:tc>
          <w:tcPr/>
          <w:p>
            <w:pPr>
              <w:pStyle w:val="Compact"/>
              <w:jc w:val="left"/>
            </w:pPr>
            <w:r>
              <w:t xml:space="preserve">argenx</w:t>
            </w:r>
          </w:p>
        </w:tc>
      </w:tr>
      <w:tr>
        <w:tc>
          <w:tcPr/>
          <w:p>
            <w:pPr>
              <w:pStyle w:val="Compact"/>
              <w:jc w:val="left"/>
            </w:pPr>
            <w:r>
              <w:t xml:space="preserve">Señal v9</w:t>
            </w:r>
          </w:p>
        </w:tc>
        <w:tc>
          <w:tcPr/>
          <w:p>
            <w:pPr>
              <w:pStyle w:val="Compact"/>
              <w:jc w:val="left"/>
            </w:pPr>
            <w:r>
              <w:t xml:space="preserve">Comprar (media)</w:t>
            </w:r>
          </w:p>
        </w:tc>
        <w:tc>
          <w:tcPr/>
          <w:p>
            <w:pPr>
              <w:pStyle w:val="Compact"/>
              <w:jc w:val="left"/>
            </w:pPr>
            <w:r>
              <w:t xml:space="preserve">Comprar (baja)</w:t>
            </w:r>
          </w:p>
        </w:tc>
      </w:tr>
      <w:tr>
        <w:tc>
          <w:tcPr/>
          <w:p>
            <w:pPr>
              <w:pStyle w:val="Compact"/>
              <w:jc w:val="left"/>
            </w:pPr>
            <w:r>
              <w:t xml:space="preserve">Puntuación / señales</w:t>
            </w:r>
          </w:p>
        </w:tc>
        <w:tc>
          <w:tcPr/>
          <w:p>
            <w:pPr>
              <w:pStyle w:val="Compact"/>
              <w:jc w:val="left"/>
            </w:pPr>
            <w:r>
              <w:t xml:space="preserve">85,5 / 7 de 8</w:t>
            </w:r>
          </w:p>
        </w:tc>
        <w:tc>
          <w:tcPr/>
          <w:p>
            <w:pPr>
              <w:pStyle w:val="Compact"/>
              <w:jc w:val="left"/>
            </w:pPr>
            <w:r>
              <w:t xml:space="preserve">70,5 / 3 de 8</w:t>
            </w:r>
          </w:p>
        </w:tc>
      </w:tr>
      <w:tr>
        <w:tc>
          <w:tcPr/>
          <w:p>
            <w:pPr>
              <w:pStyle w:val="Compact"/>
              <w:jc w:val="left"/>
            </w:pPr>
            <w:r>
              <w:t xml:space="preserve">Crecimiento 12 m</w:t>
            </w:r>
          </w:p>
        </w:tc>
        <w:tc>
          <w:tcPr/>
          <w:p>
            <w:pPr>
              <w:pStyle w:val="Compact"/>
              <w:jc w:val="left"/>
            </w:pPr>
            <w:r>
              <w:t xml:space="preserve">+49,6 %</w:t>
            </w:r>
          </w:p>
        </w:tc>
        <w:tc>
          <w:tcPr/>
          <w:p>
            <w:pPr>
              <w:pStyle w:val="Compact"/>
              <w:jc w:val="left"/>
            </w:pPr>
            <w:r>
              <w:t xml:space="preserve">~+82 % de CAGR, +60 % el último trimestre</w:t>
            </w:r>
          </w:p>
        </w:tc>
      </w:tr>
      <w:tr>
        <w:tc>
          <w:tcPr/>
          <w:p>
            <w:pPr>
              <w:pStyle w:val="Compact"/>
              <w:jc w:val="left"/>
            </w:pPr>
            <w:r>
              <w:t xml:space="preserve">EV/beneficio bruto NTM</w:t>
            </w:r>
          </w:p>
        </w:tc>
        <w:tc>
          <w:tcPr/>
          <w:p>
            <w:pPr>
              <w:pStyle w:val="Compact"/>
              <w:jc w:val="left"/>
            </w:pPr>
            <w:r>
              <w:t xml:space="preserve">13,7x</w:t>
            </w:r>
          </w:p>
        </w:tc>
        <w:tc>
          <w:tcPr/>
          <w:p>
            <w:pPr>
              <w:pStyle w:val="Compact"/>
              <w:jc w:val="left"/>
            </w:pPr>
            <w:r>
              <w:t xml:space="preserve">7,6x</w:t>
            </w:r>
          </w:p>
        </w:tc>
      </w:tr>
      <w:tr>
        <w:tc>
          <w:tcPr/>
          <w:p>
            <w:pPr>
              <w:pStyle w:val="Compact"/>
              <w:jc w:val="left"/>
            </w:pPr>
            <w:r>
              <w:t xml:space="preserve">DCF inverso (10 años)</w:t>
            </w:r>
          </w:p>
        </w:tc>
        <w:tc>
          <w:tcPr/>
          <w:p>
            <w:pPr>
              <w:pStyle w:val="Compact"/>
              <w:jc w:val="left"/>
            </w:pPr>
            <w:r>
              <w:t xml:space="preserve">~18 %</w:t>
            </w:r>
          </w:p>
        </w:tc>
        <w:tc>
          <w:tcPr/>
          <w:p>
            <w:pPr>
              <w:pStyle w:val="Compact"/>
              <w:jc w:val="left"/>
            </w:pPr>
            <w:r>
              <w:t xml:space="preserve">~9,5 %</w:t>
            </w:r>
          </w:p>
        </w:tc>
      </w:tr>
      <w:tr>
        <w:tc>
          <w:tcPr/>
          <w:p>
            <w:pPr>
              <w:pStyle w:val="Compact"/>
              <w:jc w:val="left"/>
            </w:pPr>
            <w:r>
              <w:t xml:space="preserve">Ponderada al precio actual</w:t>
            </w:r>
          </w:p>
        </w:tc>
        <w:tc>
          <w:tcPr/>
          <w:p>
            <w:pPr>
              <w:pStyle w:val="Compact"/>
              <w:jc w:val="left"/>
            </w:pPr>
            <w:r>
              <w:t xml:space="preserve">+11,4 %</w:t>
            </w:r>
          </w:p>
        </w:tc>
        <w:tc>
          <w:tcPr/>
          <w:p>
            <w:pPr>
              <w:pStyle w:val="Compact"/>
              <w:jc w:val="left"/>
            </w:pPr>
            <w:r>
              <w:t xml:space="preserve">≈+44 %</w:t>
            </w:r>
          </w:p>
        </w:tc>
      </w:tr>
      <w:tr>
        <w:tc>
          <w:tcPr/>
          <w:p>
            <w:pPr>
              <w:pStyle w:val="Compact"/>
              <w:jc w:val="left"/>
            </w:pPr>
            <w:r>
              <w:t xml:space="preserve">Concentración</w:t>
            </w:r>
          </w:p>
        </w:tc>
        <w:tc>
          <w:tcPr/>
          <w:p>
            <w:pPr>
              <w:pStyle w:val="Compact"/>
              <w:jc w:val="left"/>
            </w:pPr>
            <w:r>
              <w:t xml:space="preserve">65 % tirzepatida (más oncología, inmunología y neurociencia)</w:t>
            </w:r>
          </w:p>
        </w:tc>
        <w:tc>
          <w:tcPr/>
          <w:p>
            <w:pPr>
              <w:pStyle w:val="Compact"/>
              <w:jc w:val="left"/>
            </w:pPr>
            <w:r>
              <w:t xml:space="preserve">~100 % Vyvgart</w:t>
            </w:r>
          </w:p>
        </w:tc>
      </w:tr>
    </w:tbl>
    <w:p>
      <w:pPr>
        <w:pStyle w:val="BodyText"/>
      </w:pPr>
      <w:r>
        <w:t xml:space="preserve">argenx es más barata, con más recorrido y más riesgo de un solo producto. Lilly es más diversificada, con mejor tendencia, pero ya cotiza como la ganadora.</w:t>
      </w:r>
      <w:r>
        <w:t xml:space="preserve"> </w:t>
      </w:r>
      <w:r>
        <w:rPr>
          <w:bCs/>
          <w:b/>
        </w:rPr>
        <w:t xml:space="preserve">Lilly no sustituye a argenx.</w:t>
      </w:r>
      <w:r>
        <w:t xml:space="preserve"> </w:t>
      </w:r>
      <w:r>
        <w:t xml:space="preserve">Tener las dos subiría la farmacéutica al ~9 % de la cartera, todo en EE. UU. y expuesto a la misma política de precios. Si algún día entra, mejor en lugar de una de software que junto a argenx sin quitar nada.</w:t>
      </w:r>
      <w:r>
        <w:t xml:space="preserve"> </w:t>
      </w:r>
      <w:r>
        <w:t xml:space="preserve">-</w:t>
      </w:r>
      <w:r>
        <w:t xml:space="preserve"> </w:t>
      </w:r>
      <w:r>
        <w:rPr>
          <w:bCs/>
          <w:b/>
        </w:rPr>
        <w:t xml:space="preserve">Alphabet</w:t>
      </w:r>
      <w:r>
        <w:t xml:space="preserve"> </w:t>
      </w:r>
      <w:r>
        <w:t xml:space="preserve">se vende mañana y no cuenta como exposición a IA. Lilly tampoco la añade: su riesgo de IA es bajo. Eso la hace complementaria al resto del bolsillo y a los suplentes, casi todos de software (Samsara, Datadog, MongoDB, Toast, Zscaler).</w:t>
      </w:r>
      <w:r>
        <w:t xml:space="preserve"> </w:t>
      </w:r>
      <w:r>
        <w:t xml:space="preserve">-</w:t>
      </w:r>
      <w:r>
        <w:t xml:space="preserve"> </w:t>
      </w:r>
      <w:r>
        <w:rPr>
          <w:bCs/>
          <w:b/>
        </w:rPr>
        <w:t xml:space="preserve">Puesto en la lista de suplentes: cuarta.</w:t>
      </w:r>
      <w:r>
        <w:t xml:space="preserve"> </w:t>
      </w:r>
      <w:r>
        <w:t xml:space="preserve">Lista: 1) Samsara, 2) Datadog, 3) Natera,</w:t>
      </w:r>
      <w:r>
        <w:t xml:space="preserve"> </w:t>
      </w:r>
      <w:r>
        <w:rPr>
          <w:bCs/>
          <w:b/>
        </w:rPr>
        <w:t xml:space="preserve">4) Eli Lilly</w:t>
      </w:r>
      <w:r>
        <w:t xml:space="preserve"> </w:t>
      </w:r>
      <w:r>
        <w:t xml:space="preserve">(Comprar media; +11,4 % al precio actual; compra hasta 1.292,5 USD por la regla, ≤ 1.163 USD prudente), 5) MongoDB, 6) Toast, 7) Zscaler, 8) Dexcom. Queda por encima de MongoDB, Toast, Zscaler y Dexcom por la calidad del negocio, el bajo riesgo de IA y la convicción media. Queda por debajo de Natera (+20 %) y de Datadog porque su rentabilidad depende de batir al consenso.</w:t>
      </w:r>
      <w:r>
        <w:t xml:space="preserve"> </w:t>
      </w:r>
      <w:r>
        <w:t xml:space="preserve">-</w:t>
      </w:r>
      <w:r>
        <w:t xml:space="preserve"> </w:t>
      </w:r>
      <w:r>
        <w:rPr>
          <w:bCs/>
          <w:b/>
        </w:rPr>
        <w:t xml:space="preserve">Si entrara</w:t>
      </w:r>
      <w:r>
        <w:t xml:space="preserve">: 4 % (~1.250 EUR, 1 acción, que cuesta ~1.040 EUR) en un solo tramo, porque el mínimo de 1.000 EUR no admite dividir una acción de este precio. Mejor después de la guía 2027 (febrero) o con una caída hacia ≤ 1.163 USD sin cambio de tesis.</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21,7</w:t>
            </w:r>
          </w:p>
        </w:tc>
        <w:tc>
          <w:tcPr/>
          <w:p>
            <w:pPr>
              <w:pStyle w:val="Compact"/>
              <w:jc w:val="left"/>
            </w:pPr>
            <w:r>
              <w:t xml:space="preserve">25</w:t>
            </w:r>
          </w:p>
        </w:tc>
        <w:tc>
          <w:tcPr/>
          <w:p>
            <w:pPr>
              <w:pStyle w:val="Compact"/>
              <w:jc w:val="left"/>
            </w:pPr>
            <w:r>
              <w:t xml:space="preserve">12 m +49,6 % (5), CAGR 2 años 43,1 % (5), aceleración +0,3 pp (3)</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26,6 % (1), tecnología 4, posición 5</w:t>
            </w:r>
          </w:p>
        </w:tc>
      </w:tr>
      <w:tr>
        <w:tc>
          <w:tcPr/>
          <w:p>
            <w:pPr>
              <w:pStyle w:val="Compact"/>
              <w:jc w:val="left"/>
            </w:pPr>
            <w:r>
              <w:t xml:space="preserve">C. Cambio de tendencia</w:t>
            </w:r>
          </w:p>
        </w:tc>
        <w:tc>
          <w:tcPr/>
          <w:p>
            <w:pPr>
              <w:pStyle w:val="Compact"/>
              <w:jc w:val="left"/>
            </w:pPr>
            <w:r>
              <w:t xml:space="preserve">17,5</w:t>
            </w:r>
          </w:p>
        </w:tc>
        <w:tc>
          <w:tcPr/>
          <w:p>
            <w:pPr>
              <w:pStyle w:val="Compact"/>
              <w:jc w:val="left"/>
            </w:pPr>
            <w:r>
              <w:t xml:space="preserve">20</w:t>
            </w:r>
          </w:p>
        </w:tc>
        <w:tc>
          <w:tcPr/>
          <w:p>
            <w:pPr>
              <w:pStyle w:val="Compact"/>
              <w:jc w:val="left"/>
            </w:pPr>
            <w:r>
              <w:t xml:space="preserve">7 de 8 señales; sin euforia</w:t>
            </w:r>
          </w:p>
        </w:tc>
      </w:tr>
      <w:tr>
        <w:tc>
          <w:tcPr/>
          <w:p>
            <w:pPr>
              <w:pStyle w:val="Compact"/>
              <w:jc w:val="left"/>
            </w:pPr>
            <w:r>
              <w:t xml:space="preserve">D. Economía unitaria</w:t>
            </w:r>
          </w:p>
        </w:tc>
        <w:tc>
          <w:tcPr/>
          <w:p>
            <w:pPr>
              <w:pStyle w:val="Compact"/>
              <w:jc w:val="left"/>
            </w:pPr>
            <w:r>
              <w:t xml:space="preserve">15,0</w:t>
            </w:r>
          </w:p>
        </w:tc>
        <w:tc>
          <w:tcPr/>
          <w:p>
            <w:pPr>
              <w:pStyle w:val="Compact"/>
              <w:jc w:val="left"/>
            </w:pPr>
            <w:r>
              <w:t xml:space="preserve">15</w:t>
            </w:r>
          </w:p>
        </w:tc>
        <w:tc>
          <w:tcPr/>
          <w:p>
            <w:pPr>
              <w:pStyle w:val="Compact"/>
              <w:jc w:val="left"/>
            </w:pPr>
            <w:r>
              <w:t xml:space="preserve">Margen bruto 83,4 % (5), regla del 40 de 72,4 (5), FCF creciente (5)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(5), dilución −0,7 % (5)</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Historial 4, dirección 4</w:t>
            </w:r>
          </w:p>
        </w:tc>
      </w:tr>
      <w:tr>
        <w:tc>
          <w:tcPr/>
          <w:p>
            <w:pPr>
              <w:pStyle w:val="Compact"/>
              <w:jc w:val="left"/>
            </w:pPr>
            <w:r>
              <w:rPr>
                <w:bCs/>
                <w:b/>
              </w:rPr>
              <w:t xml:space="preserve">Total</w:t>
            </w:r>
          </w:p>
        </w:tc>
        <w:tc>
          <w:tcPr/>
          <w:p>
            <w:pPr>
              <w:pStyle w:val="Compact"/>
              <w:jc w:val="left"/>
            </w:pPr>
            <w:r>
              <w:rPr>
                <w:bCs/>
                <w:b/>
              </w:rPr>
              <w:t xml:space="preserve">85,5</w:t>
            </w:r>
          </w:p>
        </w:tc>
        <w:tc>
          <w:tcPr/>
          <w:p>
            <w:pPr>
              <w:pStyle w:val="Compact"/>
              <w:jc w:val="left"/>
            </w:pPr>
            <w:r>
              <w:rPr>
                <w:bCs/>
                <w:b/>
              </w:rPr>
              <w:t xml:space="preserve">100</w:t>
            </w:r>
          </w:p>
        </w:tc>
        <w:tc>
          <w:tcPr/>
          <w:p>
            <w:pPr>
              <w:pStyle w:val="Compact"/>
              <w:jc w:val="left"/>
            </w:pPr>
            <w:r>
              <w:t xml:space="preserve">Comprar (media) con v9; Comprar (alta) con v7</w:t>
            </w:r>
          </w:p>
        </w:tc>
      </w:tr>
    </w:tbl>
    <w:p>
      <w:pPr>
        <w:pStyle w:val="BodyText"/>
      </w:pPr>
      <w:r>
        <w:rPr>
          <w:bCs/>
          <w:b/>
        </w:rPr>
        <w:t xml:space="preserve">Mejora de método propuesta (pendiente de backtest)</w:t>
      </w:r>
      <w:r>
        <w:t xml:space="preserve">: en las empresas valoradas por EV/EBITDA, el motor proyecta las ventas desde</w:t>
      </w:r>
      <w:r>
        <w:t xml:space="preserve"> </w:t>
      </w:r>
      <w:r>
        <w:rPr>
          <w:rStyle w:val="VerbatimChar"/>
        </w:rPr>
        <w:t xml:space="preserve">g1</w:t>
      </w:r>
      <w:r>
        <w:t xml:space="preserve"> </w:t>
      </w:r>
      <w:r>
        <w:t xml:space="preserve">(+29,8 %). El múltiplo y el margen implícito, en cambio, se calculan con</w:t>
      </w:r>
      <w:r>
        <w:t xml:space="preserve"> </w:t>
      </w:r>
      <w:r>
        <w:rPr>
          <w:rStyle w:val="VerbatimChar"/>
        </w:rPr>
        <w:t xml:space="preserve">crecimiento_actual_pct</w:t>
      </w:r>
      <w:r>
        <w:t xml:space="preserve"> </w:t>
      </w:r>
      <w:r>
        <w:t xml:space="preserve">(+20 %). Si el analista da un crecimiento NTM menor que</w:t>
      </w:r>
      <w:r>
        <w:t xml:space="preserve"> </w:t>
      </w:r>
      <w:r>
        <w:rPr>
          <w:rStyle w:val="VerbatimChar"/>
        </w:rPr>
        <w:t xml:space="preserve">g1</w:t>
      </w:r>
      <w:r>
        <w:t xml:space="preserve">, la proyección y el múltiplo usan supuestos distintos y el objetivo sube sin motivo. Propuesta: que</w:t>
      </w:r>
      <w:r>
        <w:t xml:space="preserve"> </w:t>
      </w:r>
      <w:r>
        <w:rPr>
          <w:rStyle w:val="VerbatimChar"/>
        </w:rPr>
        <w:t xml:space="preserve">g1</w:t>
      </w:r>
      <w:r>
        <w:t xml:space="preserve"> </w:t>
      </w:r>
      <w:r>
        <w:t xml:space="preserve">sea como mucho</w:t>
      </w:r>
      <w:r>
        <w:t xml:space="preserve"> </w:t>
      </w:r>
      <w:r>
        <w:rPr>
          <w:rStyle w:val="VerbatimChar"/>
        </w:rPr>
        <w:t xml:space="preserve">crecimiento_actual_pct</w:t>
      </w:r>
      <w:r>
        <w:t xml:space="preserve"> </w:t>
      </w:r>
      <w:r>
        <w:t xml:space="preserve">cuando venga relleno (aquí la ponderada pasaría de +16 % a ~0 %). Hay que probarlo en el backtest antes de adoptarlo, porque en las ganadoras (Axon 2023) podría quitar compras buenas.</w:t>
      </w:r>
    </w:p>
    <w:bookmarkEnd w:id="33"/>
    <w:bookmarkStart w:id="34" w:name="fuentes"/>
    <w:p>
      <w:pPr>
        <w:pStyle w:val="Heading2"/>
      </w:pPr>
      <w:r>
        <w:t xml:space="preserve">Fuentes</w:t>
      </w:r>
    </w:p>
    <w:p>
      <w:pPr>
        <w:pStyle w:val="FirstParagraph"/>
      </w:pPr>
      <w:r>
        <w:t xml:space="preserve">[1] Eli Lilly, resultados del 2T 2026 (5-ago-2026), 8-K ex. 99.1 (SEC, leído directamente): ventas 22.974 M USD (+48 %; volumen +60 %, precio −13 %); Mounjaro 9.943 M, Zepbound 4.928 M, Foundayo 98 M; EE. UU. +33 %, fuera +80 %; margen bruto 85,8 %; IPR&amp;D adquirido 2.776 M; acciones diluidas 893,7 M; guía 2026 de 85.000-87.000 M, margen de explotación 49-50,5 %, BPA no GAAP 35,50-36,50; retatrutide a la FDA en el 1T27; 4.500 M más para Indiana; compras del trimestre y posteriores.</w:t>
      </w:r>
      <w:r>
        <w:t xml:space="preserve"> </w:t>
      </w:r>
      <w:r>
        <w:t xml:space="preserve">[2] Eli Lilly, resultados del 1T 2026 (30-abr-2026), 8-K ex. 99.1 (SEC): ventas 19.799 M (+56 %); guía 82.000-85.000 M; aprobación de Foundayo en obesidad.</w:t>
      </w:r>
      <w:r>
        <w:t xml:space="preserve"> </w:t>
      </w:r>
      <w:r>
        <w:t xml:space="preserve">[3] Eli Lilly, resultados del 4T 2025 (4-feb-2026), 8-K ex. 99.1 (SEC): 4T25 19.300 M (+43 %); primera guía 2026 de 80.000-83.000 M.</w:t>
      </w:r>
      <w:r>
        <w:t xml:space="preserve"> </w:t>
      </w:r>
      <w:r>
        <w:t xml:space="preserve">[4] Eli Lilly, avance del 14-ene-2025 y resultados del 4T 2024 (6-feb-2025), 8-K (SEC): 2024 ~45.000 M, 4T24 400 M por debajo de la guía; primera guía 2025 de 58.000-61.000 M; recompra de 15.000 M. Resultados del 3T 2025 (30-oct-2025): guía subida a 63.000-63.500 M.</w:t>
      </w:r>
      <w:r>
        <w:t xml:space="preserve"> </w:t>
      </w:r>
      <w:r>
        <w:t xml:space="preserve">[5] SEC XBRL companyfacts (CIK 59478): series trimestrales de 2023 a jun-2026 (ventas, costes, IPR&amp;D, amortizaciones, flujo operativo, inversiones, recompras, pagos en acciones, caja, deuda, acciones).</w:t>
      </w:r>
      <w:r>
        <w:t xml:space="preserve"> </w:t>
      </w:r>
      <w:r>
        <w:t xml:space="preserve">[6] Eli Lilly, sala de prensa (en [1]): retatrutide, Foundayo en diabetes tipo 2 y cobertura de Medicare Parte D.</w:t>
      </w:r>
      <w:r>
        <w:t xml:space="preserve"> </w:t>
      </w:r>
      <w:r>
        <w:t xml:space="preserve">[7] BioPharma Dive (5-ago-2026) y CNBC (6-ago-2026, vía resumen de búsqueda): consenso del 2T de 20.600 M; Foundayo 98 frente a 104 M; Wegovy oral ~494 M USD; guía de Novo de 0 % a −6 %; REIMAGINE 4; cuota del 60,9 % frente al 38,8 %.</w:t>
      </w:r>
      <w:r>
        <w:t xml:space="preserve"> </w:t>
      </w:r>
      <w:r>
        <w:t xml:space="preserve">[8] SEC, Formularios 4 y 144 de abr-oct 2026 (leídos directamente): sin compras de directivos.</w:t>
      </w:r>
      <w:r>
        <w:t xml:space="preserve"> </w:t>
      </w:r>
      <w:r>
        <w:t xml:space="preserve">[9] Yahoo Finance chart API (LLY, NVO, ARGX, QQQ, SPY, XLV, IHE): precios, medias de 200 sesiones, máximos y mínimos; intradía del 14-oct 1.211,45 USD a las 16:54 UTC.</w:t>
      </w:r>
      <w:r>
        <w:t xml:space="preserve"> </w:t>
      </w:r>
      <w:r>
        <w:t xml:space="preserve">[10] Nasdaq.com, histórico de LLY: cierre del 13-oct-2026 1.166,51 USD.</w:t>
      </w:r>
      <w:r>
        <w:t xml:space="preserve"> </w:t>
      </w:r>
      <w:r>
        <w:t xml:space="preserve">[11] Analistas: GuruFocus, MarketBeat, Yahoo Finance, Defense World (JPMorgan, Berenberg, RBC, Guggenheim, Cantor); consenso de ventas de 2026 y 2027 (Yahoo Finance, StockAnalysis, WallStreetZen).</w:t>
      </w:r>
      <w:r>
        <w:t xml:space="preserve"> </w:t>
      </w:r>
      <w:r>
        <w:t xml:space="preserve">[12] StockTwits, flujo de LLY (API pública, 14-oct-2026).</w:t>
      </w:r>
      <w:r>
        <w:t xml:space="preserve"> </w:t>
      </w:r>
      <w:r>
        <w:t xml:space="preserve">[13] StockAnalysis (14-oct-2026): múltiplos de LLY, NVO, AZN y ABBV; interés corto de LLY del 0,79 %.</w:t>
      </w:r>
      <w:r>
        <w:t xml:space="preserve"> </w:t>
      </w:r>
      <w:r>
        <w:t xml:space="preserve">[14] Rankia (ficha de LLY) y TIKR ES (2026).</w:t>
      </w:r>
      <w:r>
        <w:t xml:space="preserve"> </w:t>
      </w:r>
      <w:r>
        <w:t xml:space="preserve">[15] AInvest, Walnut Invest y 24/7 Wall St. (may-oct 2026): casos alcista y bajista.</w:t>
      </w:r>
      <w:r>
        <w:t xml:space="preserve"> </w:t>
      </w:r>
      <w:r>
        <w:t xml:space="preserve">[16] Casa Blanca y prensa (nov-2025: NPR, Xtalks, carta del senador Gallego): acuerdo de nación más favorecida, 245 USD en Medicare y Medicaid, TrumpRx, exención arancelaria de tres años.</w:t>
      </w:r>
      <w:r>
        <w:t xml:space="preserve"> </w:t>
      </w:r>
      <w:r>
        <w:t xml:space="preserve">[17] StockTwits (14-oct-2026): rotación de tecnología a salud.</w:t>
      </w:r>
      <w:r>
        <w:t xml:space="preserve"> </w:t>
      </w:r>
      <w:r>
        <w:t xml:space="preserve">[18] Cálculo propio de EV, EBITDA NTM y su historia de 3 años (datos de [5] y [9]).</w:t>
      </w:r>
      <w:r>
        <w:t xml:space="preserve"> </w:t>
      </w:r>
      <w:r>
        <w:t xml:space="preserve">[19] Pharmaceutical Journal, Second Nature y nota de Lilly (may-sep 2026): TRIUMPH-1 y TRIUMPH-2 de retatrutide.</w:t>
      </w:r>
      <w:r>
        <w:t xml:space="preserve"> </w:t>
      </w:r>
      <w:r>
        <w:t xml:space="preserve">[20] Fierce Pharma y PharmTech (may-2026): inversiones en fabricación.</w:t>
      </w:r>
      <w:r>
        <w:t xml:space="preserve"> </w:t>
      </w:r>
      <w:r>
        <w:t xml:space="preserve">[21] Pearce IP, Medpath y Malay Mail (2026): genéricos de semaglutida en India, Canadá, Brasil y China.</w:t>
      </w:r>
      <w:r>
        <w:t xml:space="preserve"> </w:t>
      </w:r>
      <w:r>
        <w:t xml:space="preserve">[22] Invezz, HeyGoTrade y 2 Minute Medicine (2026): aprobación, recetas y precios de Foundayo; lanzamiento en el Reino Unido.</w:t>
      </w:r>
      <w:r>
        <w:t xml:space="preserve"> </w:t>
      </w:r>
      <w:r>
        <w:t xml:space="preserve">[23] De memoria (no verificado en esta sesión): primera guía 2024 de ~41.000 M; 3T24 por debajo del consenso; ~10 % de la Lilly Endowment; patente de la tirzepatida hasta ~2036; alertas de la clase GLP-1; IRA; supercomputador con Nvidia.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2026-10-14T17:04:53Z</dcterms:created>
  <dcterms:modified xsi:type="dcterms:W3CDTF">2026-10-14T17:04:53Z</dcterms:modified>
</cp:coreProperties>
</file>

<file path=docProps/custom.xml><?xml version="1.0" encoding="utf-8"?>
<Properties xmlns="http://schemas.openxmlformats.org/officeDocument/2006/custom-properties" xmlns:vt="http://schemas.openxmlformats.org/officeDocument/2006/docPropsVTypes"/>
</file>