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Krones AG</w:t>
      </w:r>
    </w:p>
    <w:p>
      <w:pPr>
        <w:spacing w:after="60"/>
        <w:rPr>
          <w:color w:val="52514E"/>
          <w:sz w:val="22"/>
          <w:szCs w:val="22"/>
        </w:rPr>
      </w:pPr>
      <w:r>
        <w:rPr>
          <w:color w:val="52514E"/>
          <w:sz w:val="22"/>
          <w:szCs w:val="22"/>
        </w:rPr>
        <w:t xml:space="preserve">KRN · Xetra (Deutsche Börse, Fráncfort) · ISIN DE0006335003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104,00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131,42 EUR · mercado 157,08</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+29,1 % · mercado +53,7 %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3.286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Krones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KRN / DE0006335003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(Deutsche Börse, Fráncfort)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MDAX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Neutraubling (Baviera) · 1951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https://www.krones.com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104,00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103,80 – 144,20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3.164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 M EUR/día (32.486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131,42 EUR</w:t>
      </w:r>
      <w:r>
        <w:t xml:space="preserve"> frente a 104,00 · con la prima implícita del mercado: 157,08 (+51,0 %) · Rentabilidad total esperada a 12 meses </w:t>
      </w:r>
      <w:r>
        <w:rPr>
          <w:b/>
          <w:bCs/>
        </w:rPr>
        <w:t xml:space="preserve">+29,1 %</w:t>
      </w:r>
      <w:r>
        <w:t xml:space="preserve"> · Alcista / bajista +63,8 % / -24,7 %</w:t>
      </w:r>
    </w:p>
    <w:p>
      <w:pPr>
        <w:spacing w:after="100"/>
      </w:pPr>
      <w:r>
        <w:rPr>
          <w:b/>
        </w:rPr>
        <w:t xml:space="preserve">La recomendación y por qué.</w:t>
      </w:r>
      <w:r>
        <w:t xml:space="preserve"> Comprar, con convicción media. El valor objetivo es de 131,42 EUR frente a un cierre de 104,00 EUR (8-oct-2026): +26,4 % y un 29,1 % de rentabilidad total con el dividendo. El alcista gana un 63,8 % y el bajista pierde un 24,7 %, una asimetría de 2,58 veces. Las dos reglas dan Comprar: con nuestro WACC del 9,08 % y con la prima del mercado (157,08 EUR). El precio descuenta los márgenes del ciclo anterior, que ya recoge nuestro bajista. La convicción es media, no alta como sugieren los criterios: Krones es cíclica (−16,1 % de ventas en 2020), los pedidos llevan tres años planos y el valor depende de cuánto dure el margen del 10,5-11 %, no de los dos próximos años. Subiríamos la convicción con pedidos del segundo semestre por encima de un +5 % y una guía de 2027 del +4-6 %; la bajaríamos con una relación pedidos/ventas por debajo de 0,95.</w:t>
      </w:r>
    </w:p>
    <w:p>
      <w:pPr>
        <w:spacing w:after="100"/>
      </w:pPr>
      <w:r>
        <w:rPr>
          <w:b/>
        </w:rPr>
        <w:t xml:space="preserve">El negocio.</w:t>
      </w:r>
      <w:r>
        <w:t xml:space="preserve"> Krones es el primer fabricante mundial de líneas de llenado y envasado de bebidas, con en torno al 25 % del mercado y más ventas en llenado (4.774 M) que Sidel y KHS juntos (unos 3.540 M) [1, 14, 15, 17, 18]. Gana un ROIC del 17,6 %, el doble de su WACC, y un margen EBITDA del 10,8 % en llenado frente a un margen EBIT del 6,1 % de KHS [1, 19]. Foso estrecho: escala, base instalada y costes de cambio. Esa calidad sostiene el crecimiento que proyectamos (un 3,1 % anual, en línea con su mercado y con la cuota estable en el 25 %): la reinversión prevista (21 % del beneficio operativo después de impuestos) financia un 3,7 % al ROIC actual y el margen subió en 2025 con precios estables [1].</w:t>
      </w:r>
    </w:p>
    <w:p>
      <w:pPr>
        <w:spacing w:after="100"/>
      </w:pPr>
      <w:r>
        <w:rPr>
          <w:b/>
        </w:rPr>
        <w:t xml:space="preserve">Sector y ciclo.</w:t>
      </w:r>
      <w:r>
        <w:t xml:space="preserve"> Es lo que mueve la tesis. El consumo de bebidas envasadas crece un 2,6 % al año y el PET un 4,8 % [1], pero los clientes invierten a golpes: las ventas cayeron un 21,7 % en 2009 y un 16,1 % en 2020 [26, 27]. Los pedidos llevan tres años en unos 5.500 M y la relación pedidos/ventas fue de 1,05 en el semestre [1, 2]. Es madurez del ciclo, no pico: Coca-Cola HBC sube su inversión un 35,9 % y AB InBev la deja plana [22, 23].</w:t>
      </w:r>
    </w:p>
    <w:p>
      <w:pPr>
        <w:spacing w:after="100"/>
      </w:pPr>
      <w:r>
        <w:rPr>
          <w:b/>
        </w:rPr>
        <w:t xml:space="preserve">Finanzas.</w:t>
      </w:r>
      <w:r>
        <w:t xml:space="preserve"> Las ventas crecieron un 7,0 % en 2025 y solo un 1,8 % sin divisas en el semestre; el margen EBITDA subió del 8,6 % de 2021 al 10,6 % [1, 2]. Caja neta ajustada de 116 M; los anticipos de clientes (894,5 M) no inflan la caja: la obra sin facturar es mayor (1.092,4 M) [2]. El riesgo está en el circulante: si volviera al 27 % de las ventas de 2016-2020, el DCF bajaría a 102,63 EUR.</w:t>
      </w:r>
    </w:p>
    <w:p>
      <w:pPr>
        <w:spacing w:after="100"/>
      </w:pPr>
      <w:r>
        <w:rPr>
          <w:b/>
        </w:rPr>
        <w:t xml:space="preserve">Equipo y gobierno.</w:t>
      </w:r>
      <w:r>
        <w:t xml:space="preserve"> Neutro. La dirección ha cumplido la guía seis años seguidos y cobra poco (1,75 M el primer ejecutivo) [1, 36]. El pool Kronseder controla el 51,9 %, preside el consejo de supervisión un miembro de la familia y ex primer ejecutivo, y la comisión de auditoría solo tiene un independiente [1]. La sucesión de junio fue interna [40].</w:t>
      </w:r>
    </w:p>
    <w:p>
      <w:pPr>
        <w:spacing w:after="100"/>
      </w:pPr>
      <w:r>
        <w:rPr>
          <w:b/>
        </w:rPr>
        <w:t xml:space="preserve">Valoración.</w:t>
      </w:r>
      <w:r>
        <w:t xml:space="preserve"> El DCF da 127,88 EUR y los escenarios ponderados 121,49 EUR. Los comparables (192,06 EUR) ganan márgenes del 13-22 % y pesan un 10 %. Krones cotiza a 4,8 veces el EBITDA de los próximos 12 meses y a 9,6 veces el beneficio, frente a una media de 7,2 veces el EBITDA en sus cierres de 2018-2025. El DCF inverso dice que el precio descuenta un margen EBITDA del 9,3 % a largo plazo, o ventas que caen un 3,6 % al año, con una rentabilidad implícita del 10,7 %. Nuestro EBITDA queda un 2-4 % bajo el consenso en 2027-2028 [49]: discrepamos del mercado en cuánto dura la mejora del margen, no en los próximos dos años.</w:t>
      </w:r>
    </w:p>
    <w:p>
      <w:pPr>
        <w:spacing w:after="100"/>
      </w:pPr>
      <w:r>
        <w:rPr>
          <w:b/>
        </w:rPr>
        <w:t xml:space="preserve">Riesgos y catalizadores.</w:t>
      </w:r>
      <w:r>
        <w:t xml:space="preserve"> Una caída de la inversión como la de 2020 (bajista de 78,30 EUR), el margen (cada punto menos cuesta un 16 %) y el circulante. Los catalizadores tienen fecha: los nueve meses el 6-nov-2026 y la guía de 2027 el 18-feb-2027, que dirá si los pedidos se aplanan como teme Bernstein [52].</w:t>
      </w:r>
    </w:p>
    <w:p>
      <w:pPr>
        <w:spacing w:after="100"/>
      </w:pPr>
      <w:r>
        <w:rPr>
          <w:b/>
        </w:rPr>
        <w:t xml:space="preserve">Qué cambiaría la decisión.</w:t>
      </w:r>
      <w:r>
        <w:t xml:space="preserve"> Compraríamos por debajo de 127,74 EUR y venderíamos por encima de 173,47 EUR. Pasaríamos a Mantener si la guía de 2027 es de ventas planas con un margen por debajo del 10,7 %, o si la relación pedidos/ventas baja de 0,95 dos trimestres seguidos con la cartera por debajo de 4.000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131,42 EUR</w:t>
      </w:r>
      <w:r>
        <w:t xml:space="preserve"> (+26,4 % sobre 104,00; rentabilidad total esperada +29,1 %) · con la prima implícita del mercado: 157,08 (+51,0 %)</w:t>
      </w:r>
    </w:p>
    <w:p>
      <w:pPr>
        <w:spacing w:after="100"/>
      </w:pPr>
      <w:r>
        <w:t xml:space="preserve">Krones es el primer fabricante mundial de líneas de llenado y envasado de bebidas: 5.664 M EUR de ventas en 2025, en torno al 25 % del mercado y un margen EBITDA del 10,6 %, con un ROIC del 17,6 % y caja neta [1, 14]. En cinco años ha pasado de no cubrir su coste de capital (ROIC del 1,8 % en 2020) a doblarlo, porque ha subido el margen y ha bajado el circulante del 27 % al 17 % de las ventas [1, 7].</w:t>
      </w:r>
    </w:p>
    <w:p>
      <w:pPr>
        <w:spacing w:after="100"/>
      </w:pPr>
      <w:r>
        <w:t xml:space="preserve">El precio, 104,00 EUR, no paga esa mejora. Según el DCF inverso, descuenta un margen EBITDA del 9,3 % a largo plazo, el de 2023, o unas ventas que caen un 3,6 % al año, con una rentabilidad implícita del 10,7 %. Cotiza a 4,8 veces el EBITDA de los próximos 12 meses, frente a 7,2 veces de media en sus cierres de 2018-2025 y 9,1 veces de mediana de sus comparables [49]. La acción ha caído un 21,5 % en el año por el miedo a un 2027 plano en pedidos [47, 52].</w:t>
      </w:r>
    </w:p>
    <w:p>
      <w:pPr>
        <w:spacing w:after="100"/>
      </w:pPr>
      <w:r>
        <w:t xml:space="preserve">El mercado acierta en que el ciclo ya no empuja: los pedidos llevan tres años en unos 5.500 M y las ventas los han alcanzado [1]. Se equivoca en la intensidad. Para invertir hay que creer que Krones puede ganar un 10,5 % de margen en un ciclo completo, con un año malo incluido, y que el circulante no vuelve al 27 %. El bajista, con una caída como la de 2020 y un margen que se queda en el 9 %, vale 78,30 EUR; el caso base, 127,88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63,8 % / -24,7 %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frente a 9,1 %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(3,1 % anual proyectado; financiable al ROIC actual: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29,1 %, asimetría de 2,58, bajista del -24,7 % y el precio descuenta 6,8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127,74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127,74 y 173,47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173,47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127,74 EUR, pasaríamos a Mantener; por encima de 173,47 EUR, a Vender.</w:t>
      </w:r>
    </w:p>
    <w:p>
      <w:pPr>
        <w:pStyle w:val="ListParagraph"/>
        <w:numPr>
          <w:ilvl w:val="0"/>
          <w:numId w:val="2"/>
        </w:numPr>
        <w:spacing w:after="60"/>
      </w:pPr>
      <w:r>
        <w:t xml:space="preserve">Si la guía de 2027 (18-feb-2027) es de ventas planas con un margen EBITDA por debajo del 10,7 %, pasaríamos a Mantener.</w:t>
      </w:r>
    </w:p>
    <w:p>
      <w:pPr>
        <w:pStyle w:val="ListParagraph"/>
        <w:numPr>
          <w:ilvl w:val="0"/>
          <w:numId w:val="2"/>
        </w:numPr>
        <w:spacing w:after="60"/>
      </w:pPr>
      <w:r>
        <w:t xml:space="preserve">Si la relación pedidos/ventas baja de 0,95 dos trimestres seguidos y la cartera queda por debajo de 4.000 M, pasaríamos a Mantener.</w:t>
      </w:r>
    </w:p>
    <w:p>
      <w:pPr>
        <w:pStyle w:val="ListParagraph"/>
        <w:numPr>
          <w:ilvl w:val="0"/>
          <w:numId w:val="2"/>
        </w:numPr>
        <w:spacing w:after="60"/>
      </w:pPr>
      <w:r>
        <w:t xml:space="preserve">Si los pasivos por contrato bajan de 850 M y el circulante medio supera el 19 % de las ventas, reduciríamos.</w:t>
      </w:r>
    </w:p>
    <w:p>
      <w:pPr>
        <w:pStyle w:val="ListParagraph"/>
        <w:numPr>
          <w:ilvl w:val="0"/>
          <w:numId w:val="2"/>
        </w:numPr>
        <w:spacing w:after="60"/>
      </w:pPr>
      <w:r>
        <w:t xml:space="preserve">Si los pedidos del segundo semestre de 2026 crecen más de un 5 % y la guía de 2027 es de +4-6 %,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mejora del margen de 2021-2026 es cíclica y se deshace: un margen EBITDA del 9,3 % a largo plazo o ventas a la baja, con una rentabilidad del 10,7 %. El mercado no se cree el plan a 2028 (el consenso queda un 8 % por debajo de los 7.000 M) y tras la nota de Bernstein teme un 2027 plano [49, 52].</w:t>
      </w:r>
    </w:p>
    <w:p>
      <w:pPr>
        <w:keepNext/>
        <w:spacing w:after="100"/>
      </w:pPr>
      <w:r>
        <w:rPr>
          <w:b/>
          <w:bCs/>
        </w:rPr>
        <w:t xml:space="preserve">Lo que creemos nosotros.</w:t>
      </w:r>
    </w:p>
    <w:p>
      <w:pPr>
        <w:spacing w:after="100"/>
      </w:pPr>
      <w:r>
        <w:t xml:space="preserve">Compartimos que 2027 será flojo y no proyectamos el plan: crecemos un 3,5 % en 2027 y un 4,0 % en 2028, por debajo del consenso. Pero la mejora del margen es en buena parte estructural: el circulante bajó 10 puntos de las ventas, la disciplina de precios ha resistido la inflación de costes y Process Technology e Intralogistics ya ganan dinero. Un margen de ciclo completo del 10,5 % basta para valer 127,88 EUR.</w:t>
      </w:r>
    </w:p>
    <w:p>
      <w:pPr>
        <w:keepNext/>
        <w:spacing w:after="100"/>
      </w:pPr>
      <w:r>
        <w:rPr>
          <w:b/>
          <w:bCs/>
        </w:rPr>
        <w:t xml:space="preserve">Por qué podemos tener razón.</w:t>
      </w:r>
    </w:p>
    <w:p>
      <w:pPr>
        <w:spacing w:after="100"/>
      </w:pPr>
      <w:r>
        <w:t xml:space="preserve">Porque el margen subió cinco años seguidos (2021-2025) con ventas creciendo al 7-16 % y también en el semestre, con ventas planas (10,8 % frente a 10,6 %) [2]. Porque la dirección ha cumplido la guía seis años seguidos [1]. Y porque, incluso con el bajista, la pérdida (−24,7 %) es menor que la ganancia del alcista (+63,8 %).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0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su historia</w:t>
      </w:r>
      <w:r>
        <w:t xml:space="preserve">: 4,8 veces el EBITDA de los próximos 12 meses frente a 7,2 veces de media en sus cierres de 2018-2025.</w:t>
      </w:r>
    </w:p>
    <w:p>
      <w:pPr>
        <w:pStyle w:val="ListParagraph"/>
        <w:numPr>
          <w:ilvl w:val="0"/>
          <w:numId w:val="2"/>
        </w:numPr>
        <w:spacing w:after="60"/>
      </w:pPr>
      <w:r>
        <w:rPr>
          <w:b/>
        </w:rPr>
        <w:t xml:space="preserve">Rentable y sin deuda</w:t>
      </w:r>
      <w:r>
        <w:t xml:space="preserve">: ROIC del 17,6 %, el doble del WACC, y caja neta ajustada de 116 M.</w:t>
      </w:r>
    </w:p>
    <w:p>
      <w:pPr>
        <w:pStyle w:val="ListParagraph"/>
        <w:numPr>
          <w:ilvl w:val="0"/>
          <w:numId w:val="2"/>
        </w:numPr>
        <w:spacing w:after="60"/>
      </w:pPr>
      <w:r>
        <w:rPr>
          <w:b/>
        </w:rPr>
        <w:t xml:space="preserve">Líder del mercado</w:t>
      </w:r>
      <w:r>
        <w:t xml:space="preserve">: en torno al 25 % del llenado y envasado de bebidas, con un margen EBITDA en llenado del 10,8 % frente a un margen EBIT del 6,1 % de KHS [1, 14, 19].</w:t>
      </w:r>
    </w:p>
    <w:p>
      <w:pPr>
        <w:pStyle w:val="ListParagraph"/>
        <w:numPr>
          <w:ilvl w:val="0"/>
          <w:numId w:val="2"/>
        </w:numPr>
        <w:spacing w:after="60"/>
      </w:pPr>
      <w:r>
        <w:rPr>
          <w:b/>
        </w:rPr>
        <w:t xml:space="preserve">Guía fiable</w:t>
      </w:r>
      <w:r>
        <w:t xml:space="preserve">: cumplida de 2020 a 2025 y confirmada para 2026 en julio, con un margen del 10,8 % en el semestre [1, 2].</w:t>
      </w:r>
    </w:p>
    <w:p>
      <w:pPr>
        <w:pStyle w:val="ListParagraph"/>
        <w:numPr>
          <w:ilvl w:val="0"/>
          <w:numId w:val="2"/>
        </w:numPr>
        <w:spacing w:after="60"/>
      </w:pPr>
      <w:r>
        <w:rPr>
          <w:b/>
        </w:rPr>
        <w:t xml:space="preserve">Cartera de 4.328 M</w:t>
      </w:r>
      <w:r>
        <w:t xml:space="preserve">: unos nueve meses de ventas y una relación pedidos/ventas de 1,05 en el semestre [2].</w:t>
      </w:r>
    </w:p>
    <w:p>
      <w:pPr>
        <w:pStyle w:val="Heading2"/>
      </w:pPr>
      <w:r>
        <w:t xml:space="preserve">En contra</w:t>
      </w:r>
    </w:p>
    <w:p>
      <w:pPr>
        <w:pStyle w:val="ListParagraph"/>
        <w:numPr>
          <w:ilvl w:val="0"/>
          <w:numId w:val="2"/>
        </w:numPr>
        <w:spacing w:after="60"/>
      </w:pPr>
      <w:r>
        <w:rPr>
          <w:b/>
        </w:rPr>
        <w:t xml:space="preserve">Pedidos planos</w:t>
      </w:r>
      <w:r>
        <w:t xml:space="preserve">: unos 5.500 M al año desde 2023; Bernstein espera un 2027 plano [1, 52].</w:t>
      </w:r>
    </w:p>
    <w:p>
      <w:pPr>
        <w:pStyle w:val="ListParagraph"/>
        <w:numPr>
          <w:ilvl w:val="0"/>
          <w:numId w:val="2"/>
        </w:numPr>
        <w:spacing w:after="60"/>
      </w:pPr>
      <w:r>
        <w:rPr>
          <w:b/>
        </w:rPr>
        <w:t xml:space="preserve">Historial cíclico</w:t>
      </w:r>
      <w:r>
        <w:t xml:space="preserve">: ventas −21,7 % en 2009 y −16,1 % en 2020, con el ROIC en el 1,8 % [26, 27].</w:t>
      </w:r>
    </w:p>
    <w:p>
      <w:pPr>
        <w:pStyle w:val="ListParagraph"/>
        <w:numPr>
          <w:ilvl w:val="0"/>
          <w:numId w:val="2"/>
        </w:numPr>
        <w:spacing w:after="60"/>
      </w:pPr>
      <w:r>
        <w:rPr>
          <w:b/>
        </w:rPr>
        <w:t xml:space="preserve">Flujo libre débil</w:t>
      </w:r>
      <w:r>
        <w:t xml:space="preserve">: −30,8 M antes de compras en el semestre por circulante y capex [2].</w:t>
      </w:r>
    </w:p>
    <w:p>
      <w:pPr>
        <w:pStyle w:val="ListParagraph"/>
        <w:numPr>
          <w:ilvl w:val="0"/>
          <w:numId w:val="2"/>
        </w:numPr>
        <w:spacing w:after="60"/>
      </w:pPr>
      <w:r>
        <w:rPr>
          <w:b/>
        </w:rPr>
        <w:t xml:space="preserve">Circulante vulnerable</w:t>
      </w:r>
      <w:r>
        <w:t xml:space="preserve">: los anticipos bajaron de 1.041 M en 2023 a 894,5 M; volver al 27 % de las ventas costaría hasta un 20 % del valor [1, 2].</w:t>
      </w:r>
    </w:p>
    <w:p>
      <w:pPr>
        <w:pStyle w:val="ListParagraph"/>
        <w:numPr>
          <w:ilvl w:val="0"/>
          <w:numId w:val="2"/>
        </w:numPr>
        <w:spacing w:after="60"/>
      </w:pPr>
      <w:r>
        <w:rPr>
          <w:b/>
        </w:rPr>
        <w:t xml:space="preserve">Gobierno de familia</w:t>
      </w:r>
      <w:r>
        <w:t xml:space="preserve">: el pool Kronseder tiene el 51,9 % y preside el consejo; un 25 % de independientes y ninguna compra de directivos en 12 meses [1, 37].</w:t>
      </w:r>
    </w:p>
    <w:p>
      <w:pPr>
        <w:pStyle w:val="Heading2"/>
      </w:pPr>
      <w:r>
        <w:t xml:space="preserve">Qué tiene que pasar para que la tesis funcione</w:t>
      </w:r>
    </w:p>
    <w:p>
      <w:pPr>
        <w:spacing w:after="100"/>
      </w:pPr>
      <w:r>
        <w:t xml:space="preserve">La tesis depende de que el margen EBITDA aguante por encima del 10,5 % aunque las ventas se aplanen en 2027. La señal de que no se cumple sería una guía de 2027 con ventas planas y un margen por debajo del 10,7 %, o dos trimestres con más ventas que pedidos y la cartera bajando de 4.000 M. Vigilamos también los anticipos de clientes: por debajo de 850 M anunciarían menos pedidos y más circulante.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0,95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las ventas de tres o cuatro trimestres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unos nueve meses de producción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vale unos 21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Pasivos por contrato (anticipos)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894,5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Miden los pedidos nuevos y financian el circulante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medio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Volver al 22 % restaría un 10 % al valor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antes de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Negativo en el conjunto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Dice si el capex de India, China y EE. UU. se paga solo [2].</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5,2x / 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 9,6x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Hermann Kronseder fundó en 1951, con 27 años, un taller en Neutraubling (Baviera) que despegó con etiquetadoras semiautomáticas y automáticas; en su noveno año ya tenía 540 empleados y en 1966 abrió su primera filial, en EE. UU. [26]. En 1980 la convirtió en sociedad anónima (2.300 empleados, unos 90 M EUR de ventas) y en 1984 salió a bolsa [26]. Dirigió la compañía hasta 1995, cuando facturaba más de 800 M EUR, y le sucedió su hijo Volker, consejero delegado hasta 2015 y hoy presidente del consejo de supervisión [26, 27]. La familia conserva el 51,86 % del capital a través de un pacto (Familie Kronseder Konsortium GbR) [2]. Con Christoph Klenk (2016-2026) superó la caída de 2020 con un ajuste de capacidad, compró Ampco Pumps (2023) y Netstal (2024) y se fijó 7.000 M EUR de ventas en 2028 [1, 14, 27]. Thomas Ricker, director comercial y miembro del consejo de dirección desde 2012, es primer ejecutivo desde el 11 de junio de 2026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Hermann Kronseder funda en Neutraubling un taller de máquinas eléctricas; sus etiquetadoras automáticas dan el primer éxito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filial en el extranjero, en EE. UU.; hoy el país es en torno al 20 % de las ventas [14,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tras convertirse en sociedad anónima en 1980 con 2.300 empleados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Volker Kronseder sucede a su padre al frente del consejo de dirección; el grupo facturaba más de 800 M EUR con unos 7.800 empleados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recesión: las ventas caen un 21,7 %, de 2.381 a 1.865 M EUR, y el resultado antes de impuestos pasa de 156 M EUR a pérdidas de 39 M EUR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 Klenk, primer consejero delegado ajeno a la familia, toma el relevo; lo será diez años [24,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Covid: ventas -16,1 % (3.323 M EUR), pedidos -19 %, unos 72 M EUR de costes de ajuste de capacidad y margen EBITDA del 4,0 %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Ampco Pumps (EE. UU.), que refuerza el negocio de componentes de Process Technology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Netstal (Suiza), fabricante de máquinas de inyección de preformas PET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objetivo de unos 7.000 M EUR de ventas, margen EBITDA del 11-13 % y ROCE superior al 20 % en 2028; compras de GHS Separationstechnik (60 %) y Can Systems Worldwide [1,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Ricker sustituye a Klenk el 11 de junio, que sale seis meses antes de acabar su mandato; el consejo de dirección se amplía con Bülent Bayraktar y Reinhold Jung [24].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Krones diseña, fabrica, instala y mantiene máquinas y líneas completas para producir, llenar y envasar bebidas y alimentos líquidos: soplado e inyección de preformas PET, llenadoras para PET, vidrio y lata, etiquetadoras, inspección, embaladoras y paletizadoras, transportadores y reciclado de PET a grado alimentario [1]. El segmento de llenado y envasado aportó 4.774 M EUR en 2025, el 84,3 % de las ventas del grupo; Process Technology (salas de cocción, mezcla, tratamiento de agua, válvulas y bombas Evoguard y Ampco) 514 M EUR, e Intralogistics (almacenes automáticos de System Logistics) 376 M EUR [1]. Sus clientes son sobre todo embotelladoras de refrescos y agua, cerveceras y lácteos, y en menor medida alimentación, química, farmacia y cosmética [1]. Vende el 90 % fuera de Alemania, un 48,7 % en mercados emergentes, tiene 27 plantas, más de 100 delegaciones comerciales y de servicio y unos 3.000 técnicos de servicio en más de 70 países; según la propia compañía, uno de cada cuatro envases de bebida del mundo pasa por una línea suya [1, 15].</w:t>
      </w:r>
    </w:p>
    <w:p>
      <w:pPr>
        <w:pStyle w:val="Heading2"/>
      </w:pPr>
      <w:r>
        <w:t xml:space="preserve">Cómo gana dinero</w:t>
      </w:r>
    </w:p>
    <w:p>
      <w:pPr>
        <w:spacing w:after="100"/>
      </w:pPr>
      <w:r>
        <w:t xml:space="preserve">El grueso de los ingresos son proyectos de maquinaria nueva contratados con anticipo y reconocidos a medida que se fabrican: la cartera era de 4.190 M EUR a cierre de 2025, unos nueve meses de ventas, y los anticipos sumaban 884 M EUR [1]. Como la obra ejecutada sin facturar (1.076 M EUR) supera a los anticipos, la posición neta por contratos es deudora y no infla la caja [1]. La parte recurrente es el servicio de ciclo de vida (recambios, mantenimiento y modernizaciones), que en 2020 cayó menos que la maquinaria; Krones no publica su peso [1, 27]. El margen depende del precio y de dos costes: material (47,8 % de la producción en 2025) y personal (30,1 %) [1, 16]. Con un 78 % de costes en material y personal y un margen EBITDA del 10,6 %, un punto de precio mueve mucho el beneficio: es un negocio de alto apalancamiento operativo, como mostró 2020 [27].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Filling and Packaging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Process Technology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Intralogistics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Filling and Packaging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Process Technology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Intralogistics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Krones no identifica clientes ni publica el peso del primero o de los diez primeros [1]. La concentración existe: las cuentas clave suponen 663 M EUR de los 1.525 M EUR de deudores comerciales y activos por contrato calificados por riesgo, un 43 % (estimación propia a partir de la nota de riesgo de crédito) [1], y la propia compañía cita como cuentas clave a Coca-Cola, PepsiCo, AB InBev y Heineken [15]. La diversificación geográfica compensa: Europa 30,1 %, Norte y Centroamérica 21,2 %, Oriente Medio y África 12,7 % y Asia-Pacífico 11,6 % de las ventas de 2025 [15]. No hay contratos plurianuales de volumen: cada línea es un pedido. El poder de precios se ve en que el coste de material bajó del 49,0 % al 47,8 % de la producción entre 2024 y 2025 mientras el margen EBITDA subía del 10,1 % al 10,6 %, y en que la compañía repite que mantiene su disciplina de precios con los pedidos al alza [1, 14, 16].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5.564,7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de 2026: 2.852,5 M (+4,5 %); relación pedidos/ventas de 0,98 en 2025 y 1,05 en el semestre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a cierre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4.190,4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4.328,0 M a 30-jun-26 (+3,3 % sobre diciembre); 1.893 M a cierre de 2021 y 3.466 M en 2022 [1,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 a jun-26: 5.652,2 M; primer semestre de 2026 −0,4 % (+1,8 % sin divisas)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10,8 % en el primer semestre de 2026; objetivo 2026 del 10,7 % al 11,1 %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sobre capital empleado neto medio; 10,0 % en 2021 y 17,7 % a 30-jun-26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medio sobre ventas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 de cuatro trimestres; 24,8 % en 2021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20.379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21.339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21.249 a 30-jun-26 [1,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maquinaria, líneas completas y servicio para producir, llenar y envasar bebidas y alimentos líquidos (PET, vidrio, lata y, en el límite, cartón), a escala mundial. No hay una estadística oficial de su tamaño. Usamos como referencia principal la estimación propia derivada de la propia Krones: la compañía se dibuja con cerca de una cuarta parte del mercado [14] y su segmento de llenado y envasado facturó 4.774 M EUR en 2025 [1], lo que da un mercado de unos 19.000 M EUR. Como contraste, Global Market Insights mide solo las llenadoras de líquidos en 8.700 M USD en 2023 [28] (perímetro más estrecho), y la VDMA mide el comercio mundial de maquinaria de alimentación y envasado, mucho más amplio, en 48.600 M EUR en 2022 [29]; la serie es la de la VDMA porque es la única que tiene historia.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19.000 M EUR en 2025 (estimación propia: ventas del segmento de llenado y envasado de Krones [1] entre la cuota de en torno al 25 % que muestra su día del inversor [14]); llenadoras de líquidos en sentido estricto, 8.700 M USD en 2023 [28]; comercio mundial de maquinaria de alimentación y envasado, 48.600 M EUR en 2022 [29], frente a más de 38.000 M EUR en 2016 [35].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mercio mundial de maquinaria de alimentación y envasado según la VDMA (2016 y 2023, cifras «más de»; 2023 era previsión al publicars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mundial de bebidas envasadas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1.503.000 M de litros en 2025, un 2,9 % más que en 2024; GlobalData prevé un 2,6 % anual hasta 2028; solo cayó en 2020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Avance del PET y del reciclado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716.000 M de envases PET en 2025 (35,1 % del total), con un 4,8 % anual previsto hasta 823.000 M en 2028, frente al 1,5 % del vidrio; sistemas de depósito nuevos en Polonia, Uruguay y Singapur [1,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crecerá un 4,0 % anual en consumo hasta 2028 frente al 1,0 % de Norteamérica; el 48,7 % de las ventas de Krones ya va a emergentes y los pedidos de 2025 subieron en Oriente Medio y África, China y Asia-Pacífico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embotelladoras y cerveceras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Coca-Cola HBC subió su inversión un 35,9 % en el primer semestre de 2026, hasta 378,9 M EUR, el 63 % en equipos de producción; AB InBev la mantuvo plana (1.360 M USD) y solo el 25 % fue a fábricas [22,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geopolítica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en torno al 20 % de las ventas de Krones y la mitad, un 10 %, está expuesta a aranceles; Tetra Laval estima en unos 20 M EUR el efecto neto de los aranceles en 2025 [1,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Descarbonización y eficiencia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calcula un potencial de unos 11.000 M EUR hasta 2030 por los objetivos de emisiones de Coca-Cola, PepsiCo, Heineken y AB InBev, de los que unos 6.000 M EUR le serían accesibles hoy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proveedores occidentales de línea completa (Krones, Sidel y KHS) se reparten las líneas de alta velocidad; Krones gana un margen EBITDA del 10,8 % en llenado y envasado frente al 7,9 % del área de KHS, y avisa de una competencia cada vez más dura, también de fabricantes chinos en su mercado [1, 18,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son grandes multinacionales (las cuentas clave pesan un 43 % de los deudores calificados de Krones), pero pagan anticipos que suman 884 M EUR y valoran más la disponibilidad de la línea que el precio de compra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Acero, componentes y electrónica estándar; el coste de material de Krones bajó del 50,4 % al 47,8 % de la producción entre 2023 y 2025; el riesgo es de disponibilidad, como en 2022, más que de precio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base instalada, red de servicio (Krones tiene unos 3.000 técnicos en más de 70 países) y patentes (6.809); la entrada real llega por abajo, de fabricantes chinos en líneas de velocidad baja y media, que Krones combate reposicionando Kosme y Gernep [1,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cambio de envase sustituye una máquina por otra que Krones también vende (PET, lata, vidrio); el cartón aséptico de Tetra Pak y SIG compite en lácteos y zumos, pero solo crecerá un 1,8 % anual hasta 2028 [1].</w:t>
            </w:r>
          </w:p>
        </w:tc>
      </w:tr>
    </w:tbl>
    <w:p>
      <w:pPr>
        <w:spacing w:after="160" w:before="0"/>
      </w:pPr>
    </w:p>
    <w:p>
      <w:pPr>
        <w:pStyle w:val="Heading2"/>
      </w:pPr>
      <w:r>
        <w:t xml:space="preserve">Ciclo</w:t>
      </w:r>
    </w:p>
    <w:p>
      <w:pPr>
        <w:spacing w:after="100"/>
      </w:pPr>
      <w:r>
        <w:t xml:space="preserve">Tras crecer un 15,8 % en 2022, un 12,2 % en 2023 y un 12,1 % en 2024, las ventas de Krones subieron un 7,0 % en 2025 y solo un 1,8 % sin efecto divisa en el primer semestre de 2026; la guía es del 3-5 % [1, 4, 12]. Los pedidos aguantan (+4,5 % en el semestre, relación pedidos/ventas de 1,05) y los de KHS subieron un 15,7 % en 2025 [12, 19]. En 2009 las ventas cayeron un 21,7 % y hubo pérdidas; en 2020, un 16,1 % con los pedidos un 19 % abajo; en 2022 crecieron un 15,8 % [4, 26, 27].</w:t>
      </w:r>
    </w:p>
    <w:p>
      <w:pPr>
        <w:pStyle w:val="Heading2"/>
      </w:pPr>
      <w:r>
        <w:t xml:space="preserve">Regulación</w:t>
      </w:r>
    </w:p>
    <w:p>
      <w:pPr>
        <w:spacing w:after="100"/>
      </w:pPr>
      <w:r>
        <w:t xml:space="preserve">El Reglamento europeo de envases y residuos de envases (PPWR, UE 2025/40) está en vigor desde el 11 de febrero de 2025 y se aplica desde el 12 de agosto de 2026: impone sistemas de depósito obligatorios, objetivos vinculantes de reutilización y más plástico reciclado en los envases [30]. Favorece a Krones, que vende lavadoras de botellas reutilizables, reciclado de PET a grado alimentario y líneas para envases más ligeros [1, 15]. En EE. UU., los aranceles afectan a un 10 % de las ventas; Krones invertirá unos 50 M EUR en Franklin y Oakwood (Wisconsin) para fabricar allí más del segmento principal [1, 14].</w:t>
      </w:r>
    </w:p>
    <w:p>
      <w:pPr>
        <w:pStyle w:val="Heading2"/>
      </w:pPr>
      <w:r>
        <w:t xml:space="preserve">Tendencias y disrupción</w:t>
      </w:r>
    </w:p>
    <w:p>
      <w:pPr>
        <w:spacing w:after="100"/>
      </w:pPr>
      <w:r>
        <w:t xml:space="preserve">Las líneas se venden cada vez más como sistemas digitales con servicio: Krones lanzó Ingeniq, su nueva generación de líneas, en drinktec 2025, tiene más de 500 líneas conectadas y ofrece contratos en los que garantiza rendimiento y coste del ciclo de vida [1]. Sidel empuja en la misma dirección (el 95 % de sus líneas de 2025 salieron conectadas a su programa Evo-ON) y en el llenado aséptico en PET, que gana a la técnica de llenado en caliente [17]. Bebidas energéticas, deportivas y café o té listos para tomar crecerán un 5,1 % anual hasta 2028 y van sobre todo en lata, donde Krones quiere crecer [1]. La amenaza son los fabricantes chinos, hoy fuertes en su mercado y en la gama media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llenado y envasado de bebidas, número uno en PET, lata y vidrio; cuota en torno al 25 % según el gráfico de su día del inversor (unos 4.774 M EUR de ventas del segmento en 2025) [1, 14, 15]. En Process Technology factura unos 500 M EUR en un mercado de 11.000 M EUR (≈ 5 %) y en intralogística unos 400 M EUR en uno de 36.000 M EUR (≈ 1 %) [14]. Los tres primeros occidentales (Krones, Sidel y KHS) suman unos 8.300 M EUR, en torno al 44 % del mercado; con los dos siguientes, cerca del 50 % (estimación propia).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Sidel (Tetra Laval)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Ventas de 2025 +3 % (+5 % a tipos constantes), servicio +7 % y margen operativo «en un nuevo máximo», sin cifra publicada; fuerte en soplado y llenado aséptico de PET, con el 44,6 % de sus ventas de equipos en Asia, Oceanía y África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KHS (área Technology de Salzgitter)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SZG.DE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área Technology, de las que KHS es más del 90 %; EBIT 108,6 M EUR y EBITDA 140,4 M EUR. Pedidos de 1.913 M EUR en 2025 (+15,7 %): es el competidor más parecido a Krones, de línea completa, con fábricas en Alemania, EE. UU., México, Brasil e India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Tetra Pak (Tetra Laval)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y no publica margen. La mayor parte son envases de cartón (174.000 M de envases en 2025); compite con Krones en proceso de lácteos y zumos, que creció un 5,7 %, y su cartón aséptico es la alternativa a las líneas de PET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ajustado incluidos 351 M EUR de cargos no recurrentes (15,7 % sin ellos; EBIT contable del 2,4 %). Modelo de sistema: cede llenadoras de cartón y cobra por los envases; compite por el mismo cliente lácteo y de zumos, no por las líneas PET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GEA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G1A.DE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2025 de unos 5.500 M EUR y margen EBITDA antes de reestructuración del 16,5 %; no publica el EBIT en la nota de resultados. Krones la cita como gran rival en Process Technology (lácteos, cerveza, bebidas) [1,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3.798,2 M USD y resultado de explotación de 189,4 M USD en 2025, convertidas al cambio medio del BCE de 2025 (1,1300 USD/EUR); sobre todo proteína y alimentación, con solape en zumos y alimentos líquidos asépticos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Sacmi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Cooperativa no cotizada; cifras de 2024 (EBIT de 236 M EUR) de todo el grupo, que incluye cerámica; en bebidas vende tapones, preformas y llenado [31].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500 líneas conectadas a su plataforma digital, pero los datos no mejoran el producto de un cliente por tener a otros; no hay red en sentido propio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línea dura décadas y el recambio y el servicio van con el fabricante: Krones quiere dar servicio a tres de cada cuatro máquinas nuevas y en 2020 el servicio cayó menos que la maquinaria nueva [1,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6.809 patentes y modelos de utilidad; uno de cada cuatro envases de bebida del mundo pasa por una línea suya, lo que pesa en las licitaciones de las multinacionales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10,8 % en llenado y envasado frente al 7,9 % de KHS, pero aún con fábricas sobre todo alemanas: la producción fuera de Alemania (propia o subcontratada) pasó del 18 % en 2019 al 33 % en 2025, con objetivo del 40 % en 2028 [1, 4,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en torno al 25 % del mercado, unas ventas casi tres veces las de Sidel o KHS y una red de unos 3.000 técnicos de servicio, Krones reparte I+D y servicio entre más líneas que nadie [1, 5, 8, 10].</w:t>
            </w:r>
          </w:p>
        </w:tc>
      </w:tr>
    </w:tbl>
    <w:p>
      <w:pPr>
        <w:spacing w:after="160" w:before="0"/>
      </w:pPr>
    </w:p>
    <w:p>
      <w:pPr>
        <w:pStyle w:val="Heading2"/>
      </w:pPr>
      <w:r>
        <w:t xml:space="preserve">Amenazas</w:t>
      </w:r>
    </w:p>
    <w:p>
      <w:pPr>
        <w:spacing w:after="100"/>
      </w:pPr>
      <w:r>
        <w:t xml:space="preserve">La principal es la competencia china: hoy fuerte en su mercado y en las líneas de velocidad baja y media, puede subir de gama como ya ocurrió en otros bienes de equipo; Krones responde reposicionando Kosme y Gernep y fabricando más en Taicang [1]. Segunda, los grandes clientes: su inversión depende del volumen, y si el consumo se frena (como en China y el sudeste asiático en 2025, según Tetra Pak) aplazan pedidos [17]. Tercera, los aranceles de EE. UU., que encarecen el 10 % de las ventas de Krones [1]. Probabilidad media en las tres; ninguna erosiona el foso en menos de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2018-2025: ingresos </w:t>
      </w:r>
      <w:r>
        <w:rPr>
          <w:b/>
          <w:bCs/>
        </w:rPr>
        <w:t xml:space="preserve">5,7 %</w:t>
      </w:r>
      <w:r>
        <w:t xml:space="preserve">, EBITDA </w:t>
      </w:r>
      <w:r>
        <w:rPr>
          <w:b/>
          <w:bCs/>
        </w:rPr>
        <w:t xml:space="preserve">10,2 %</w:t>
      </w:r>
      <w:r>
        <w:t xml:space="preserve">, BPA </w:t>
      </w:r>
      <w:r>
        <w:rPr>
          <w:b/>
          <w:bCs/>
        </w:rPr>
        <w:t xml:space="preserve">10,2 %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3.854 M en 2018 a 5.664 M en 2025 (TCAC del 5,6 %), con un bache en 2020 (−16,1 %, covid) y tres años de crecimiento de dos cifras entre 2022 y 2024 empujados por los pedidos acumulados tras la pandemia [1, 6, 7]. Lo inorgánico pesa poco: Netstal aportó 166,8 M en 2024 (unos 3 puntos del +12,1 %) y Ampco 30,6 M en 2023 [4, 5]. En 2025 la empresa dice que ni compras ni divisas movieron el crecimiento (+7,0 %) [1].</w:t>
      </w:r>
    </w:p>
    <w:p>
      <w:pPr>
        <w:spacing w:after="100"/>
      </w:pPr>
      <w:r>
        <w:t xml:space="preserve">El margen EBITDA subió del 7,9 % (2018) y el 4,0 % (2020) al 10,6 % en 2025: la ratio de compras sobre producción bajó del 49,0 % al 47,8 % en 2025 con precios de máquinas estables, mientras la de personal subió del 29,7 % al 30,1 % [1]. El margen EBT pasó del 4,9 % en 2021 al 7,5 % en 2025 [1]. En el primer semestre de 2026 las ventas cayeron un 0,4 % (+1,8 % sin divisas, con un impacto de 60 M), el margen EBITDA subió al 10,8 % y el beneficio neto bajó un 4,5 % por más amortizaciones (+11,8 %) [2]. Los años 2019-2021 no son comparables por los costes de reestructuración y los ingresos atípicos (ver ajustes).</w:t>
      </w:r>
    </w:p>
    <w:p>
      <w:pPr>
        <w:pStyle w:val="Heading2"/>
      </w:pPr>
      <w:r>
        <w:t xml:space="preserve">Ajustes y partidas no recurrentes</w:t>
      </w:r>
    </w:p>
    <w:p>
      <w:pPr>
        <w:spacing w:after="100"/>
      </w:pPr>
      <w:r>
        <w:t xml:space="preserve">Krones presenta la cuenta por naturaleza; el coste de ventas es el de bienes y servicios comprados menos el aumento de existencias de producto terminado y en curso [1]. Las cifras son las publicadas. Partidas no recurrentes dentro del EBITDA: 2019, unos 34 M de costes de personal por reestructuración (estimación propia a partir del margen sin extraordinarios del 6,6 % que publica la empresa, frente al 5,7 % reportado; el total de extraordinarios en el EBT fue de unos 70 M, con deterioros) [8]; 2020, unos 72 M por ajuste de capacidad [7]; 2021, ingresos atípicos de 17 M (margen ajustado del 8,1 % frente al 8,6 %) [6]. Desde 2022 no hay partidas extraordinarias declaradas: no se ajusta nada en 2022-2025 ni en los últimos doce meses. Los deterioros de fondo de comercio (unos 18 M en 2020 y 17,0 M en 2023 por R+D Custom) están por debajo del EBITDA [4, 7].</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las dos últimas conferencias (8 de mayo y 29 de julio de 2026) la dirección repitió los objetivos de 2026: crecimiento de ventas del 3 % al 5 % sin divisas, margen EBITDA del 10,7 % al 11,1 % y ROCE del 19 % al 20 %, y los de 2028: unos 7.000 M de ventas, margen EBITDA del 11 % al 13 % y ROCE superior al 20 % [12, 13]. El discurso cambió de tono: en mayo hablaba de un buen arranque con pedidos de 1.512 M (+5,3 %) y relación pedidos/ventas de 1,1; en julio reconoció que la incertidumbre macro afecta ya a las decisiones de inversión a corto plazo de algunos clientes, con pedidos del 2T de 1.340 M (+3,5 %) y caída en Oriente Medio/África y China [12, 13].</w:t>
      </w:r>
    </w:p>
    <w:p>
      <w:pPr>
        <w:spacing w:after="100"/>
      </w:pPr>
      <w:r>
        <w:t xml:space="preserve">Las ventas del semestre crecieron solo un 1,8 % sin divisas (−0,4 % reportado, 60 M de efecto divisa), por debajo del rango anual, y la dirección se apoya en el calendario y en una cartera de 4.328 M que cubre la producción de 2026, con plazos de entrega estabilizados en unas 30 semanas [12]. El flujo libre sin compras fue de −30,8 M en el semestre por el aumento del circulante y del capex (3,6 % de las ventas), y el ROCE bajó al 17,7 % [2, 12]. Intralogística decepciona (margen del 5,3 % frente al 7,1 %, por proyectos y mezcla) y Process Technology retrasa proyectos llave en mano [12]. La presentación no cuantifica los aranceles de EE. UU. más allá de que afectan a un 10 % de las ventas [14]. No hemos tenido acceso a la transcripción de las preguntas de los analistas: solo a las diapositivas. Los trimestres de 2024 y 2025 salen de los informes del tercer trimestre y de la diferencia con las cifras anuales [1, 3, 4, 10,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(2023: Ampco Pumps (EE. UU., 90 %), consolidada desde el 1-jun-23: 30,6 M de ventas en siete meses y precio de 149,8 M [5].; 2024: Netstal Maschinen AG (Suiza, 100 %), consolidada desde el 28-mar-24: 166,8 M de ventas en nueve meses y precio de 170,5 M en efectivo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Krones no tiene deuda financiera: la bancaria es residual (1,3 M a cierre de 2025) y la caja neta ha oscilado entre 38 M (2019) y 670 M (2022) [1, 7]. El circulante es la variable clave. Entre 2021 y 2022 los anticipos de clientes saltaron de 600 a 901 M con el auge de pedidos y la caja llegó a 674,5 M; desde 2023 los anticipos bajan (1.041 → 884 M) mientras los activos por contrato suben (594 M en 2021 → 1.076 M en 2025), y esa inversión explica el flujo operativo de solo 137,6 M en 2023 [1, 5, 6]. La empresa mide el circulante medio sobre ventas: 24,8 % en 2021, 17,0 % en 2024 y 17,3 % en 2025 [1]. A 30-jun-26 la caja bajó a 405,4 M por el dividendo (88,5 M), el capex y la reducción de proveedores en 109,8 M [2]. El patrimonio neto (2.128 M) supone el 42 % del activo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1.128</w:t>
      </w:r>
      <w:r>
        <w:t xml:space="preserve">, conversión </w:t>
      </w:r>
      <w:r>
        <w:rPr>
          <w:b/>
          <w:bCs/>
        </w:rPr>
        <w:t xml:space="preserve">93 %</w:t>
      </w:r>
      <w:r>
        <w:t xml:space="preserve"> del beneficio neto; adquisiciones 441, dividendos 384, recompras 0.</w:t>
      </w:r>
    </w:p>
    <w:p>
      <w:pPr>
        <w:spacing w:after="100"/>
      </w:pPr>
      <w:r>
        <w:t xml:space="preserve">La conversión de beneficio en caja depende del circulante de proyectos. En 2022 el flujo operativo (478,7 M) superó con mucho al EBITDA por la entrada de anticipos (+301 M de pasivos por contrato); en 2023 se dio la vuelta (137,6 M) al crecer los activos por contrato y bajar los anticipos [4, 6]. En 2024-2025 el flujo operativo se estabilizó en 446-452 M, un 74-84 % del EBITDA [1]. El flujo libre según la definición de la empresa (flujo operativo más flujo de inversión, con compras) fue de 203 M en 2021, 371 M en 2022, −101 M en 2023, 113 M en 2024 y 248 M en 2025, y de −30,8 M sin compras en el primer semestre de 2026 [1, 2]. El capex en inmovilizado e intangibles subió de 94 M (2020) a 185 M (2025), en torno al 3,3 % de las ventas y equivalente a la amortización; incluye 55-60 M anuales de desarrollo capitalizado [1]. La empresa no separa mantenimiento y crecimiento; en 2026 sube al 3,6 % de las ventas por la ampliación en EE. UU. (unos 50 M) y otras plantas [2, 14]. Los intereses pagados están dentro del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EY GmbH &amp; Co. KG Wirtschaftsprüfungsgesellschaft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a Krones desde el ejercicio 2019 (antes, KPMG) y emitió opinión sin salvedades sobre 2025, con dos asuntos clave: el reconocimiento de ingresos de contratos a medida a lo largo del tiempo y el deterioro del fondo de comercio [1, 9]. El grueso de los ingresos de proyectos se reconoce por grado de avance sobre costes: los activos por contrato (1.076 M, el 19 % de las ventas) dependen de estimaciones de coste total y son la partida más sensible [1]. Krones capitaliza desarrollo (60,8 M de trabajos para el inmovilizado en 2025; 154,3 M de desarrollo capitalizado neto en balance), algo más de un 10 % del EBITDA [1]. No hay pagos en acciones relevantes. Los deterioros de fondo de comercio han sido recurrentes en compras pequeñas (unos 18 M en 2020, 17,0 M en 2023 por R+D Custom) [4, 7]. Usa un programa de financiación de proveedores de 136 M que mejora el flujo operativo sin figurar como deuda [1]. El tipo impositivo efectivo fue del 29,5 % en 2025 [1]. Los indicadores de Altman, Piotroski y Beneish los calcula el informe.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grado de avance y activos por contrato altos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1.076 M a cierre de 2025 y 1.092 M a 30-jun-26, frente a 594 M en 2021; dependen de estimaciones de costes por proyecto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 a la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por contrato de 1.041 M (2023) a 884 M (2025): la caja deja de financiarse con clientes y el flujo operativo pierde ese viento a favor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proveedores (confirming)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136,0 M dentro de proveedores a cierre de 2025 (145,9 M en 2024), plazos de hasta 180 días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fondo de comercio en compras pequeñas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 Custom (comprada en 2022 por 52,9 M) obligó a deteriorar 17,0 M en 2023 [4,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60 M anuales de trabajos para el inmovilizado, estables en relación con las ventas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31,7 % · </w:t>
      </w:r>
      <w:r>
        <w:rPr>
          <w:b/>
          <w:bCs/>
        </w:rPr>
        <w:t xml:space="preserve">WACC</w:t>
      </w:r>
      <w:r>
        <w:t xml:space="preserve">: 9,1 %.</w:t>
      </w:r>
    </w:p>
    <w:p>
      <w:pPr>
        <w:spacing w:after="100"/>
      </w:pPr>
      <w:r>
        <w:rPr>
          <w:b/>
        </w:rPr>
        <w:t xml:space="preserve">Krones crea valor desde 2022, y con holgura.</w:t>
      </w:r>
      <w:r>
        <w:t xml:space="preserve"> El ROIC después de impuestos pasó del 1,8 % de 2020 al 11,1 % en 2021, al 16,6 % en 2022 y al 17,6 % en 2025, el doble del WACC del 9,08 %. En 2019-2020 no cubría su coste de capital: el margen EBITDA había caído al 6,6 % y el 6,2 % antes de partidas especiales, y el circulante se comía el 24-25 % de las ventas [1, 7]. Lo que ha movido el ROIC es el margen, no la rotación: los ingresos por euro de capital invertido se quedan en 1,1-1,2 veces, mientras el margen EBIT pasa del 0,9 % de 2020 al 7,4 % de 2025. El ROIC incremental de 2018-2025 es del 31,7 %: el beneficio operativo después de impuestos subió de 150 a 294 M con solo 454 M más de capital, porque el circulante bajó del 22,9 % al 15,9 % de las ventas gracias a los anticipos y a la gestión de proyectos [1]. La empresa mide lo mismo con su ROCE: 19,1 % en 2025, frente al 10,0 % de 2021 [1]. KHS, su rival más directo, gana un margen EBIT del 6,1 % [19]. La duda no es si crea valor, sino si el 17-18 % aguanta un año malo: en 2020 bajó al 1,8 %.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405,4 M y unos 899 M de líneas de crédito no dispuestas a 30-jun-26; deuda bancaria de 0,9 M y caja neta (caja menos deuda bancaria) de 404,5 M [2]. A 31-dic-25: caja 549,5 M, líneas no dispuestas de 888,0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provisión de 159,5 M a 31-dic-25 y 159,7 M a 30-jun-26; obligaciones brutas de 336,6 M frente a activos afectos de 190,0 M [1, 2]. Anticipos de clientes (pasivos por contrato): 884,1 M a 31-dic-25 y 894,5 M a 30-jun-26, frente a 1.041,0 M a cierre de 2023; los activos por contrato (obra ejecutada sin facturar) suman 1.076,0 M y 1.092,4 M, de modo que la posición neta por contratos es deudora (unos 192-198 M) y no infla la caja [1, 2]. Proveedores incluye 136,0 M de financiación de proveedores (confirming) a 31-dic-25 (145,9 M en 2024), con plazos de 45 a 180 días [1]. Otros pasivos financieros incluyen opciones de compra/venta y precios aplazados de adquisiciones, incluidas las de Can Systems y GHS en 2025 [1]. Arrendamientos: 147,6 M a 31-dic-25 [1]. Provisiones corrientes de 223,6 M, sobre todo garantías de proyectos [1]. Sin covenants relevantes al no haber deuda.</w:t>
      </w:r>
    </w:p>
    <w:p>
      <w:pPr>
        <w:pStyle w:val="Heading1"/>
      </w:pPr>
      <w:r>
        <w:t xml:space="preserve">12. Asignación de capital</w:t>
      </w:r>
    </w:p>
    <w:p>
      <w:pPr>
        <w:pStyle w:val="Confianza"/>
        <w:spacing w:after="100"/>
      </w:pPr>
      <w:r>
        <w:t xml:space="preserve">Confianza: Alta</w:t>
      </w:r>
    </w:p>
    <w:p>
      <w:pPr>
        <w:spacing w:after="100"/>
      </w:pPr>
      <w:r>
        <w:t xml:space="preserve">La política de dividendos es repartir entre el 25 % y el 30 % del beneficio consolidado [1]. El dividendo pasó de 1,40 EUR (2021) a 2,80 EUR propuesto para 2025 (pagado en junio de 2026, 88,5 M), un 30 % del beneficio [1, 2]. En 2020 se pagó solo el mínimo legal (0,06 EUR) por las pérdidas, y en 2019 se pagó 0,75 EUR sobre el beneficio sin extraordinarios [7, 8]. No hay recompras; la junta tiene autorización para adquirir acciones, sin uso [1]. Las prioridades declaradas para la caja son crecimiento orgánico (capex y digitalización), compras complementarias en proceso, componentes, servicio y PET, y dividendo [1, 14]. La familia Kronseder controla la mayoría del capital a través de su consorcio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MHT Mold &amp; Hotrunner Technology (moldes PET), S.P.S. (Bélgica/Francia), Integrated Plastics Systems (70 %)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(salida neta de caja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para cerrar la cadena del PET; sin datos separados de rentabilidad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IPS Dubái (60 % restante, distribución en Oriente Medio) y Automata (Guatemala)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29,2 M pagados más el valor de la participación previa (19,5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Refuerza la red comercial de Oriente Medio/África, hoy el 12,7 % de las ventas; sin datos de rentabilidad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R+D Custom Automation (EE. UU., 80,5 %), automatización para farma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precio aplazado y opción de compra/venta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Fallida: 28,3 M de ventas anuales al comprarla y deterioro de 17,0 M del fondo de comercio en 2023 por peores perspectivas [4,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Ampco Pumps (EE. UU., 90 %), bombas higiénicas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114,5 M en efectivo, 22,0 M de pago contingente y 13,3 M de opción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30,6 M de ventas en siete meses; base del negocio de componentes de Process Technology, cuyo margen EBITDA subió del 7,7 % (2023) al 10,3 %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Netstal Maschinen (Suiza, 100 %), inyectoras de preformas y tapones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166,8 M de ventas y −1,4 M de beneficio en nueve meses de 2024 por la amortización de la asignación del precio; la empresa dice que diluyó ligeramente el margen en 2025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Systems Worldwide (Países Bajos, 100 %) y GHS Separationstechnik (60 %)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(32,1 M de salida neta en 2025) y opciones de compra/venta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para envase de latas y centrífugas; 9,9 M de ventas desde la compra [1].</w:t>
            </w:r>
          </w:p>
        </w:tc>
      </w:tr>
    </w:tbl>
    <w:p>
      <w:pPr>
        <w:spacing w:after="160" w:before="0"/>
      </w:pPr>
    </w:p>
    <w:p>
      <w:pPr>
        <w:spacing w:after="100"/>
      </w:pPr>
      <w:r>
        <w:t xml:space="preserve">Entre 2018 y 2025 Krones generó unos 2.580 M de flujo operativo y los repartió en capex (1.194 M), compras (unos 441 M, con pagos aplazados), dividendos (384 M) y arrendamientos (259 M); la caja subió de 219 a 550 M sin deuda [1, 4, 6, 7, 9]. Las compras han sido pequeñas y de nicho; la mayor, Netstal (170,5 M), equivale a un 3 % de las ventas. El historial es irregular: R+D Custom acabó en deterioro al año siguiente y Netstal aún no aporta beneficio visible, mientras Ampco encaja en la mejora de Process Technology [1, 4, 5]. Sin recompras ni ampliaciones, el número de acciones (31,59 M) no cambia desde hace décadas. El dividendo es prudente (25-30 %) y deja caja que no se usa: la caja neta de 549 M a cierre de 2025 equivale a un 13 % de la capitalización con la cotización de 135,80 EUR de fin de año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Ricker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(CEO) y director comercial (CSO)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mecánico, en Krones desde 1994 y en el consejo de dirección desde 2012 (I+D, después el segmento de llenado y envasado y, desde 2018, la red comercial mundial) [38]. Como director comercial acompañó el paso de las ventas de 3.854 M EUR en 2018 a 5.664 M EUR en 2025, con un margen EBITDA que subió del 7,9 % al 10,6 % [1, 6]. Primer ejecutivo desde el 11 de junio de 2026, sin dejar la dirección comercial [2,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Uta Anders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también Recursos Humanos y Sostenibilidad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veinte años en thyssenkrupp, donde acabó como directora financiera de thyssenkrupp System Engineering; entró en Krones a finales de 2020 como responsable de control de gestión, contabilidad e impuestos [38]. Con ella de directora financiera el ROCE pasó del 14,1 % de 2022 al 19,1 % de 2025 [1, 6]. Renovada hasta el 31 de diciembre de 2030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Volker Kronseder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ex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fundadora y antiguo primer ejecutivo; preside el consejo de supervisión desde 2016 y su comisión permanente, que prepara la remuneración del consejo de dirección [1]. Su participación es indirecta, a través del pool familiar que controla el 51,9 % del capital; la empresa no publica la parte de cada miembro [1]. El consejo le aplicó la excepción a la edad máxima de 70 años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Markus Tischer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maquinaria de llenado y envasado, I+D e ingeniería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Krones desde 1993; dirigió el servicio posventa desde 2006 y, ya en el consejo de dirección (2014-2026), las operaciones internacionales y el servicio, a las que sumó I+D y digitalización en 2022 [38]. Desde julio de 2026 lleva el segmento principal, con contrato prorrogado hasta 2031 [38,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Ralf Goldbrunner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(fabricación y montaje)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Krones desde 1999, donde dirigió las plantas alemanas e internacionales; en el consejo de dirección desde 2014, primero al frente del segmento de llenado y envasado y desde 2022 de toda la fabricación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Bülent Bayraktar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Soluciones de proceso y sistemas (tecnología de proceso, intralogística, moldeo y reciclado)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quince años en GEA Group, donde llegó a vicepresidente ejecutivo; en Krones desde 2018 como responsable de tecnología de proceso [38]. Consejero de dirección desde el 1 de julio de 2026, con mandato hasta junio de 2029 [40].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retirada en marzo de 2020 por la pandemia; guía revisada en noviembre: ventas en torno a −17 %, margen EBITDA sin costes de reestructuración del 5,5-6,0 %, circulante sobre ventas del 28-29 %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−16,1 %, margen EBITDA del 6,2 % sin reestructuración (4,0 % contable), circulante del 28,3 %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+2,5-3,5 %, margen EBITDA del 6,5-7,5 %, circulante sobre ventas del 26-27 %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+9,4 %, margen EBITDA del 8,6 %, circulante del 24,8 %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+5-8 % (elevada en octubre a +10-12 %), margen EBITDA del 8-9 %, ROCE del 10-12 %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+15,8 %, margen EBITDA del 8,9 %, ROCE del 14,1 %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+8-11 %, margen EBITDA del 9-10 %, ROCE del 15-17 %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+12,2 % (4.721 M EUR), margen EBITDA del 9,7 %, ROCE del 16,3 %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+9-13 %, margen EBITDA del 9,8-10,3 %, ROCE del 17-19 %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+12,1 %, margen EBITDA del 10,1 %, ROCE del 18,2 %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+7-9 %, margen EBITDA del 10,2-10,8 %, ROCE del 18-20 %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+7,0 % (en el suelo del rango), margen EBITDA del 10,6 %, ROCE del 19,1 %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 (plan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medio del 2-5 % anual, margen EBITDA del 9-12 % y circulante sobre ventas del 24-26 % en 2023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9,7 % y circulante del 17,8 % en 2023; ventas de 3.959 M EUR en 2019 a 4.721 M EUR en 2023 [4,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 (plan a medio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finales de 2021: ventas de al menos 5.000 M EUR (5 % orgánico anual más compras), margen EBITDA del 10-13 % y ROCE de al menos el 20 % en 2025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5.664 M EUR, margen EBITDA del 10,6 % y ROCE del 19,1 %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Historial de guía muy fiable: la dirección cumplió o superó la guía anual de 2020 a 2025 y solo se quedó corta en el ROCE del plan a 2025 (19,1 % frente a al menos el 20 %) [1, 6]. Es conservadora en ventas y precisa en márgenes. El plan a 2028 pide unos 7.000 M EUR de ventas, un margen EBITDA del 11-13 % y un ROCE superior al 20 % [1]; la guía de 2026 se confirmó en julio [2]. Equipo estable y de la casa: cuatro de los seis consejeros de dirección hicieron carrera en Krones. La sucesión de Christoph Klenk, comunicada como hecho relevante el 19 de marzo de 2026, fue interna y ordenada: Thomas Ricker, consejero de dirección desde 2012, le relevó el 11 de junio y el órgano pasó de cinco a seis miembros [2, 40].</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Volker Kronseder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 ex primer ejecutivo; miembro del pool familiar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Permanente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Josef Weitzer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presidente del comité de empresa del grupo (representante de los trabajadores)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Permanente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Norbert Broger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director financiero de Krones hasta 2022 (entró sin cumplir los dos años de enfriamiento)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Nora Diepold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consejera delegada de NK Immobilienverwaltungs GmbH; miembro del pool familiar Kronseder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Friedmann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del consejo de dirección central del grupo Würth</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Susanne Nonnast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catedrática de la OTH Regensburg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Permanente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Petra Schadeberg-Herrmann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socia directora de Krombacher Brauerei (familia Schadeberg, 5,8 % del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 Seifert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del consejo de dirección de Körber AG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Matthias Winkler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asesor fiscal y socio de Baker Tilly Germany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Oliver Grober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presidente del comité de empresa de Rosenheim</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Markus Hüttner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vicepresidente del comité de empresa del grupo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Permanente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Verena Di Pasquale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vicepresidenta de la confederación sindical DGB en Baviera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Beate Eva Maria Pöpperl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miembro liberada del comité de empresa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Stefan Raith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jefe de la línea de negocio Line Solutions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Olga Redda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IG Metall Regensburg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Wilhelm Klein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Representante de los trabajadores; presidente del comité de empresa de Nittenau (sustituye a Thomas Hiltl)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Josef Weitzer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0,60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Familie Kronseder Konsortium GbR (pool familiar Kronseder: Harald, Gunther, Leopold Kronseder, Nora Diepold, VMAX Familienstiftung, Harald Kronseder Holding GmbH y Beteiligungsgesellschaft Kronseder mbH)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(pacto de sindicación de voto y de restricción a la venta)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51,85 % notificado a la BaFin en 2013 y 51,9 % al 31-dic-2025 [1,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Schadeberg (Barbara Lambrecht-Schadeberg, Bernhard Schadeberg y Petra Schadeberg-Herrmann)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Significativo (familiar)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Última notificación a la BaFin: 5,04 % en diciembre de 2019; 5,8 % al 31-dic-2025 según la empresa [1,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 AB</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el 25-sep-2025 y bajó al 2,95 % el 29-jun-2026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acciones propias al 31-dic-2025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Schawei GmbH (persona estrechamente vinculada a la consejera Petra Schadeberg-Herrmann)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baja: Christoph Klenk cobró 1,75 M EUR por 2025 (2,13 M EUR con pensiones), unas 20 veces el salario medio de Krones AG [36]. El variable anual (tres mensualidades) depende del margen EBITDA (60 %) y de las ventas (40 %); se cumplió al 93,84 % [36]. El largo plazo (5,4 mensualidades, a tres años) mide en un 80 % un valor de empresa de fórmula (BAI, EBITDA y ventas, más caja neta) y en un 20 % objetivos ESG; pagó al 143,43 % [36]. Sin ROCE ni rentabilidad para el accionista. Todo en efectivo, sin acciones [1, 43]. Hay recuperación, techo de 2,9 M EUR e indemnización máxima de dos años [36]. Las juntas de 2024-2026 lo aprobaron con un 96-97 %; sin el pool, el rechazo del capital libre presente fue del 8-11 % (estimación propia) [39, 45, 46].</w:t>
      </w:r>
    </w:p>
    <w:p>
      <w:pPr>
        <w:pStyle w:val="Heading2"/>
      </w:pPr>
      <w:r>
        <w:t xml:space="preserve">Operaciones vinculadas, estructura de control y defensas</w:t>
      </w:r>
    </w:p>
    <w:p>
      <w:pPr>
        <w:spacing w:after="100"/>
      </w:pPr>
      <w:r>
        <w:t xml:space="preserve">El pool familiar Kronseder (51,9 %) vota en bloque, restringe la venta de sus acciones y tiene por objeto preservar el carácter familiar de la empresa [1]. Krones es sociedad dependiente y la dirección declara que no hubo operaciones con el pool [1]. Con el 5,8 % de los Schadeberg, dos familias suman el 57,7 %. Una acción, un voto, sin clases ni límites [1]. Las ventas a empresas vinculadas a consejeros fueron 30,8 M EUR en 2025 (0,5 % de las ventas), a precios de mercado [1]. Por la cogestión, los trabajadores tienen 8 de los 16 puestos del consejo de supervisión; la presidencia es de la familia [1]. Una OPA hostil es inviable. La junta de 2026 aprobó un capital autorizado de hasta el 25 % del capital hasta 2031, con derecho de suscripción salvo fracciones [39, 44].</w:t>
      </w:r>
    </w:p>
    <w:p>
      <w:pPr>
        <w:pStyle w:val="Heading2"/>
      </w:pPr>
      <w:r>
        <w:t xml:space="preserve">Señales de alerta</w:t>
      </w:r>
    </w:p>
    <w:p>
      <w:pPr>
        <w:pStyle w:val="ListParagraph"/>
        <w:numPr>
          <w:ilvl w:val="0"/>
          <w:numId w:val="2"/>
        </w:numPr>
        <w:spacing w:after="60"/>
      </w:pPr>
      <w:r>
        <w:t xml:space="preserve">Cambio de primer ejecutivo en junio de 2026, comunicado como hecho relevante el 19 de marzo: Christoph Klenk sale «de mutuo acuerdo» y le sustituye Thomas Ricker; el consejo de dirección pasa de cinco a seis miembros [2, 40].</w:t>
      </w:r>
    </w:p>
    <w:p>
      <w:pPr>
        <w:pStyle w:val="ListParagraph"/>
        <w:numPr>
          <w:ilvl w:val="0"/>
          <w:numId w:val="2"/>
        </w:numPr>
        <w:spacing w:after="60"/>
      </w:pPr>
      <w:r>
        <w:t xml:space="preserve">El presidente del consejo de supervisión, Volker Kronseder, es miembro de la familia de control y ex primer ejecutivo; el consejo hizo una excepción a su límite de edad de 70 años [1].</w:t>
      </w:r>
    </w:p>
    <w:p>
      <w:pPr>
        <w:pStyle w:val="ListParagraph"/>
        <w:numPr>
          <w:ilvl w:val="0"/>
          <w:numId w:val="2"/>
        </w:numPr>
        <w:spacing w:after="60"/>
      </w:pPr>
      <w:r>
        <w:t xml:space="preserve">El ex director financiero Norbert Broger se sentó en la comisión de auditoría sin cumplir los dos años de enfriamiento; la comisión la integran tres representantes de los trabajadores, dos ex directivos y un independiente que la preside [1].</w:t>
      </w:r>
    </w:p>
    <w:p>
      <w:pPr>
        <w:pStyle w:val="ListParagraph"/>
        <w:numPr>
          <w:ilvl w:val="0"/>
          <w:numId w:val="2"/>
        </w:numPr>
        <w:spacing w:after="60"/>
      </w:pPr>
      <w:r>
        <w:t xml:space="preserve">Sin comisión de nombramientos (incumple la recomendación D.4 del código alemán) [1].</w:t>
      </w:r>
    </w:p>
    <w:p>
      <w:pPr>
        <w:pStyle w:val="ListParagraph"/>
        <w:numPr>
          <w:ilvl w:val="0"/>
          <w:numId w:val="2"/>
        </w:numPr>
        <w:spacing w:after="60"/>
      </w:pPr>
      <w:r>
        <w:t xml:space="preserve">Una venta de una sociedad vinculada a la consejera Petra Schadeberg-Herrmann por 0,6 M EUR en enero de 2026; ninguna compra de directivos en doce meses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Krones espera un crecimiento de las ventas de entre el 3 % y el 5 % a tipo de cambio constante, un margen EBITDA de entre el 10,7 % y el 11,1 % (10,6 % en 2025) y un ROCE de entre el 19 % y el 20 % (19,1 % en 2025) [1]. La dirección los confirmó el 29 de julio de 2026, con un ROCE semestral del 17,7 % y un flujo de caja libre de −30,8 M EUR [2]. A medio plazo, el plan aprobado en julio de 2024 apunta a unas ventas de unos 7.000 M EUR en 2028 (5.664 M EUR en 2025), un margen EBITDA de entre el 11 % y el 13 % y un ROCE superior al 20 %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10 analistas, 9-oct-2026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(S&amp;P Global), 10 analistas, 9-oct-2026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 10 analistas, 9-oct-2026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105,00 – 191,00</w:t>
            </w:r>
          </w:p>
        </w:tc>
      </w:tr>
    </w:tbl>
    <w:p>
      <w:pPr>
        <w:spacing w:after="160" w:before="0"/>
      </w:pPr>
    </w:p>
    <w:p>
      <w:pPr>
        <w:pStyle w:val="Heading2"/>
      </w:pPr>
      <w:r>
        <w:t xml:space="preserve">Revisiones de estimaciones</w:t>
      </w:r>
    </w:p>
    <w:p>
      <w:pPr>
        <w:spacing w:after="100"/>
      </w:pPr>
      <w:r>
        <w:t xml:space="preserve">No hay historial numérico gratuito de revisiones (MarketScreener solo lo da en gráfico), así que no se mide el cambio del BPA a 3 y 12 meses. Sí consta el sentido: el 22 de septiembre Bernstein inició cobertura con «Market-Perform» y objetivo de 111 EUR, por un 2027 plano en pedidos y el objetivo de ventas de 2028 en peligro [52]; la acción cayó un 3,9 % al día siguiente [47]. Warburg, en cambio, subió su objetivo a 191 EUR tras el semestre [53]. Precio objetivo medio de 147,90 EUR, 7 compras y 3 mantener según S&amp;P Global [50, 51]; en junio la empresa contaba 11 compras, 1 mantener y 1 venta entre 13 bancos [2]. El consenso de ventas de 2028 queda un 8 % por debajo del objetivo de la empresa [1, 49].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Krones pierde un 21,5 % en el año con dividendos, frente al −4,5 % del ETF del MDAX y el +6,7 % del de bienes de equipo europeos [47]. Tras cinco años seguidos de subidas (2021-2025), la acción empezó 2026 en 135,80 EUR, marcó 144,20 EUR en febrero y cayó un 7,1 % el 19 de febrero, el día de las cifras de 2025 y la guía, aunque cuadraban con lo esperado [2, 47]. Después pesaron Oriente Próximo y, en septiembre, las dudas de Bernstein sobre los pedidos de 2027 [2, 52]. A cinco años, en cambio, bate con holgura al MDAX (6,4 % anual frente a −3,1 %), aunque queda por debajo del sector (10,5 %) [47]. Índice: ETF iShares Core MDAX, con dividendos. La única posición corta vigente en el registro (0,52 %) data de febrero de 2018 [54].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cierre del 8 de octubre de 2026, con 104,00 EUR, Krones cotiza a unas 11 veces el BPA de 2025 (9,45 EUR) y a 10,3 veces el estimado de 2026, frente a 15,7, 13,7 y 14,4 veces al cierre de 2023, 2024 y 2025 con el BPA de cada año [1, 47, 49]. El descuento no viene de un deterioro de las cuentas: margen, BPA y caja neta siguieron subiendo en el primer semestre [2]. Lo que ha cambiado es la visibilidad del crecimiento: el mercado duda de que los pedidos aguanten en 2027 y del objetivo de ventas de 2028, y la acción se ha comprimido mientras el beneficio subía [52].</w:t>
      </w:r>
    </w:p>
    <w:p>
      <w:pPr>
        <w:pStyle w:val="Heading1"/>
      </w:pPr>
      <w:r>
        <w:t xml:space="preserve">18. Comparables cotizados</w:t>
      </w:r>
    </w:p>
    <w:p>
      <w:pPr>
        <w:pStyle w:val="Confianza"/>
        <w:spacing w:after="100"/>
      </w:pPr>
      <w:r>
        <w:t xml:space="preserve">Confianza: Media</w:t>
      </w:r>
    </w:p>
    <w:p>
      <w:pPr>
        <w:spacing w:after="100"/>
      </w:pPr>
      <w:r>
        <w:t xml:space="preserve">Bienes de equipo para alimentación, bebidas y envasado, con clientes y ciclo de pedidos parecidos: GEA, JBT Marel, SIG, Tomra, Alfa Laval, Bucher e Interroll. Dürr se descarta (automóvil, 2026 distorsionado por desinversiones) [63]; Sidel, KHS, Syntegon, IMA y Tetra Pak no cotizan, y Shibuya solo tiene un analista. Todo de MarketScreener (S&amp;P Global), con cierres y tipos del BCE del 8-oct-2026 [66, 71]; últimos 12 meses como media de 2025 y 2026e.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20.692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Bucher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Interroll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 / 9,1x / 9,8x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11,0x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17,4x / 19,1x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1,9x / 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9,4 + 0,05 × crecimiento; R² = 0,01. El crecimiento explica poco los múltiplos de estos comparables (R² &lt; 0,3): la regresión no se usa en la valoración.</w:t>
      </w:r>
    </w:p>
    <w:p>
      <w:pPr>
        <w:spacing w:after="100"/>
      </w:pPr>
      <w:r>
        <w:t xml:space="preserve">Krones cotiza en torno a 5 veces el EBITDA y a menos de 10 veces el BPA de los próximos 12 meses, frente a unas medianas de los comparables de 9,1 y 17,4 veces [48, 49, 58, 59, 60, 61, 62, 63, 64, 65]. Parte del descuento está justificado: su margen EBITDA (10,6 % en 2025) es el más bajo del grupo, frente a una mediana del 18,3 %, y su crecimiento esperado (en torno al 4 % anual) queda algo por debajo de la mediana (5,7 %) [1, 49]. Pero incluso Bucher, con un margen del 12,8 % y ventas a la baja, cotiza a 8,5 veces [64]. El múltiplo de referencia razonable es el de GEA y JBT Marel (en torno a 10 veces el EBITDA de los próximos 12 meses), corregido por la diferencia de margen. Tomra (EBITDA de 2027 un 41 % mayor que el de 2026) y JBT Marel (EBITDA de 2025 con otra definición que las previsiones) piden cautela [60, 61].</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Netstal Maschinen AG (máquinas de inyección para preformas y tapones, Suiza)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170,5 M EUR en caja menos 10,3 M EUR de caja adquirida; ventas anuales de unos 210 M EUR estimadas con los 166,8 M EUR facturados desde la compra y las ventas pro forma del grupo (estimación propia). El EBITDA no se publicó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 (equipos de procesado de alimentos, Islandia)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Bean Technologies (JBT)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3,60 EUR por acción sobre unos 754 millones de acciones diluidas (2.714 M EUR) más 747 M EUR de deuda neta a 31-dic-2023; ventas de 2023 de unos 1.700 M EUR y EBITDA de unos 174 M EUR (recálculo propio con la oferta y el folleto). La sociedad combinada cotiza hoy como JBT Marel [61, 68,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Wenger Manufacturing (extrusoras para alimentos y piensos,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unos 0,5 miles de M USD y múltiplo sobre el EBITDA de los últimos 12 meses según la tabla de operaciones precedentes de Goldman Sachs en el folleto de JBT; convertido al tipo medio de abril de 2022 [68,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Scholle IPN (envases flexibles bag-in-box y spouted pouch)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 Group AG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1.362 M EUR sobre ventas de 474 M EUR y EBITDA ajustado de 90 M EUR de 2021. SIG publicó 14,5 veces; el recálculo con sus propias cifras da 15,1 veces, y 12,2 veces con 17 M EUR de sinergias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Welbilt, Inc. (equipos para cocinas profesionales,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 Holding (Ali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unos 4,8 miles de M USD y múltiplo sobre el EBITDA de los últimos 12 meses según la tabla de Goldman Sachs en el folleto de JBT; convertido al tipo medio de julio de 2021. Firmada en 2021, con los múltiplos del sector en máximos [68, 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 (14,8x – 20,2x)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288,50 – 391,23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con múltiplo publicado se pagaron entre 14 y 21 veces el EBITDA de los últimos 12 meses (mediana de 17,5 veces en las cuatro con dato), muy por encima de lo que hoy cotiza Krones [67, 68]. La comparación más útil es Marel: un margen EBITDA parecido al de Krones (en torno al 10 %) y aun así JBT pagó casi 20 veces [68, 69]. Netstal, comprada por Krones a 0,76 veces ventas, muestra precios mucho menores en piezas pequeñas [4]. Una opa sobre Krones es improbable: la familia Kronseder controla el 51,86 % a través de un pacto de sindicación y ha declarado que quiere seguir siendo accionista mayoritario estable; la familia Schadeberg tiene otro 5,77 % [2]. Las transacciones sirven como techo de referencia, no como valor alcanzable.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fijado por la guía y el semestre: +1,8 % reportado (5.766 M), porque el primer semestre cayó un 0,4 % con 60 M de efecto divisa y la guía del 3-5 % es sin divisas [2, 12]; el consenso espera 5.775 M [49]. Después crecemos menos que el consenso: +3,5 % en 2027e (consenso +5,0 %) y +4,0 % en 2028e (+5,8 %), y bajamos al 2,5 % en 2034-2035. Los pedidos llevan tres años planos en unos 5.500 M (5.377 M en 2023, 5.461 M en 2024 y 5.565 M en 2025) [1, 4] y las ventas ya los han alcanzado; la cartera solo sube un 0,8 % interanual [1, 2]. Bernstein espera un 2027 plano [52]. El mercado de bebidas envasadas crece un 2,6 % anual en volumen y el PET un 4,8 % [1]. No proyectamos el objetivo de unos 7.000 M en 2028: exigiría un 7,3 % anual sin compras [1].</w:t>
      </w:r>
    </w:p>
    <w:p>
      <w:pPr>
        <w:keepNext/>
        <w:spacing w:after="100"/>
      </w:pPr>
      <w:r>
        <w:rPr>
          <w:b/>
          <w:bCs/>
        </w:rPr>
        <w:t xml:space="preserve">Márgenes.</w:t>
      </w:r>
    </w:p>
    <w:p>
      <w:pPr>
        <w:spacing w:after="100"/>
      </w:pPr>
      <w:r>
        <w:t xml:space="preserve">El margen EBITDA del 10,9 % de 2026e es el centro de la guía (10,7-11,1 %) y el del semestre (10,8 %) [2]. Sube al 11,3 % en 2028e, en el suelo del objetivo de 2028 (11-13 %) y por debajo del consenso (11,4 %) [1, 49], con la fábrica de India, la ampliación de Taicang y más servicio. Desde 2030e lo bajamos hasta el 10,5 %, que es nuestro margen de ciclo completo: por encima de la media de 2016-2025 (8,4 %), porque el negocio ha cambiado (circulante de 27 % a 17 % de las ventas, disciplina de precios, Netstal y Process Technology rentables), pero por debajo del pico, porque cada ocho o diez años llega un año como 2009 o 2020 [1, 7]. El precio descuenta un margen del 9,3 %.</w:t>
      </w:r>
    </w:p>
    <w:p>
      <w:pPr>
        <w:keepNext/>
        <w:spacing w:after="100"/>
      </w:pPr>
      <w:r>
        <w:rPr>
          <w:b/>
          <w:bCs/>
        </w:rPr>
        <w:t xml:space="preserve">Inversión y circulante.</w:t>
      </w:r>
    </w:p>
    <w:p>
      <w:pPr>
        <w:spacing w:after="100"/>
      </w:pPr>
      <w:r>
        <w:t xml:space="preserve">Con NIIF 16 el capex incluye las altas de derechos de uso: 4,7 % de las ventas en 2026e (3,6 % en inmovilizado e intangibles, por las ampliaciones en EE. UU., India y China, más un 1 % de arrendamientos nuevos) [2, 15], frente al 4,3 % de 2025 (185 M más 57 M de derechos de uso) [1]. Baja al 3,9 % desde 2031e, por encima de una amortización del 3,6 % (3,3 % en 2025, más la de las plantas nuevas). El circulante comercial, con activos y pasivos por contrato, es el 17 % de las ventas (15,9 % al cierre de 2025 y 17,3 % de media de cuatro trimestres) [1]: no suponemos que vuelva al 24-27 % de 2016-2020, pero tampoco que siga bajando. Impuestos del 29,5 % (29,5 % en 2025 y 29,7 % en el semestre) [1, 2].</w:t>
      </w:r>
    </w:p>
    <w:p>
      <w:pPr>
        <w:keepNext/>
        <w:spacing w:after="100"/>
      </w:pPr>
      <w:r>
        <w:rPr>
          <w:b/>
          <w:bCs/>
        </w:rPr>
        <w:t xml:space="preserve">Coste del capital.</w:t>
      </w:r>
    </w:p>
    <w:p>
      <w:pPr>
        <w:spacing w:after="100"/>
      </w:pPr>
      <w:r>
        <w:t xml:space="preserve">Tasa libre del 3,57 %: el Bund a 10 años del 8-oct-2026 de la curva del Bundesbank, contrastada con la curva AAA del BCE (3,54 %) [55, 56]. </w:t>
      </w:r>
      <w:r>
        <w:rPr>
          <w:b/>
        </w:rPr>
        <w:t xml:space="preserve">Beta de 1,10</w:t>
      </w:r>
      <w:r>
        <w:t xml:space="preserve">, tras comparar cuatro índices con cinco años de datos mensuales (ajustadas): DAX 1,05, STOXX Europe 600 1,15, MDAX 0,83 e industriales europeos 0,86 [47]. Tomamos la media de los dos índices amplios: frente al MDAX y al sectorial sale baja porque esos índices están llenos de cíclicas alemanas que caen con Krones, y el inversor marginal de Krones (el 42 % que no está en manos de las familias) tiene una cartera europea diversificada. Prima del 5,5 %, sin prima adicional: el 49 % de las ventas va a emergentes, pero repartido entre muchas regiones [1]. Coste de la deuda del 4,0 % antes de impuestos con un peso del 8 % (arrendamientos y pensiones; no hay deuda bancaria). WACC del 9,08 %.</w:t>
      </w:r>
    </w:p>
    <w:p>
      <w:pPr>
        <w:keepNext/>
        <w:spacing w:after="100"/>
      </w:pPr>
      <w:r>
        <w:rPr>
          <w:b/>
          <w:bCs/>
        </w:rPr>
        <w:t xml:space="preserve">Valor terminal.</w:t>
      </w:r>
    </w:p>
    <w:p>
      <w:pPr>
        <w:spacing w:after="100"/>
      </w:pPr>
      <w:r>
        <w:t xml:space="preserve">Gordon con un crecimiento del 2,25 %: inflación del euro del 2 % y algo de crecimiento real por los emergentes y el PET, muy por debajo del techo de coherencia (Bund menos medio punto, 3,07 %). El valor terminal pesa el 55 % del valor empresa y equivale a 5,9 veces el EBITDA de 2035e, por debajo de las 7,2 veces que Krones valió de media en los cierres de 2018-2025 y de las 9,1 veces de la mediana de sus comparables: el caso base no cuenta con que el múltiplo se recupere. No usamos la etapa de transición aunque el ROIC (17,6 %) supera al WACC en más de cinco puntos: el mercado de Krones crece un 2,6-4,8 % al año y la empresa ya tiene un 25 % de cuota en llenado, así que no hay un crecimiento por encima del terminal que dure más de diez años [1, 14].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182,73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(ROIC 17,6 %)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 (histórico: 31,7 %)</w:t>
            </w:r>
          </w:p>
        </w:tc>
      </w:tr>
    </w:tbl>
    <w:p>
      <w:pPr>
        <w:spacing w:after="160" w:before="0"/>
      </w:pPr>
    </w:p>
    <w:p>
      <w:pPr>
        <w:spacing w:after="100"/>
      </w:pPr>
      <w:r>
        <w:t xml:space="preserve">La proyección reinvierte el 21 % del NOPAT. Con el ROIC del último ejercicio (17,6 %), eso financia un crecimiento del 3,7 % anual, frente al 3,1 % de ingresos proyectado. Supone que el capital nuevo rinde un 10,8 %, frente a un ROIC incremental histórico del 31,7 %.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3-5 % sin divisas y +1,8 % sin divisas en el semestre, con 60 M de efecto divisa (−2,2 puntos en el semestre); pedidos del semestre +4,5 % y relación pedidos/ventas de 1,05. Reparto entre volumen y precio, estimación propia: la empresa habla de disciplina de precios con precios de máquinas estables [1, 2,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planos en unos 5.500 M tres años y Bernstein espera un 2027 plano; el precio sigue a la inflación de costes, como en 2024-2025, cuando el margen subió con el coste de material a la baja [1, 52].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Consumo de bebidas envasadas +2,6 % anual y envases PET +4,8 % hasta 2028; plantas nuevas en India, Taicang y EE. UU. El consenso da +5,8 % [1, 49].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 ritmo que el mercado; sin compras y sin el objetivo de unos 7.000 M en 2028, que pediría un 7,3 % anual [1, 14].</w:t>
            </w:r>
          </w:p>
        </w:tc>
      </w:tr>
    </w:tbl>
    <w:p>
      <w:pPr>
        <w:spacing w:after="160" w:before="0"/>
      </w:pPr>
    </w:p>
    <w:p>
      <w:pPr>
        <w:spacing w:after="100"/>
      </w:pPr>
      <w:r>
        <w:t xml:space="preserve">Sí: proyectamos un 3,1 % anual, en línea con su mercado (maquinaria +3 %, bebidas envasadas +2,6 %, PET +4,8 %) [1]. Foso estrecho pero real: escala, base instalada y servicio, con un 25 % del llenado [14]. Poder de precios: el margen subió al 10,6 % en 2025 con precios estables [1]. La reinversión prevista financia un 3,7 % al ROIC del 17,6 % y pide al capital nuevo un 10,8 %, frente a un 31,7 % histórico. La cuota no sube: el segmento de llenado al ritmo del grupo, en un mercado de unos 19.000 M al +3 %, seguiría en el 25 % en 2035e (cálculo a mano: la cuota es solo de ese segmento). El riesgo es el ciclo, y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 (base: 10,5 %)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 (WACC: 9,1 %)</w:t>
            </w:r>
          </w:p>
        </w:tc>
      </w:tr>
    </w:tbl>
    <w:p>
      <w:pPr>
        <w:spacing w:after="160" w:before="0"/>
      </w:pPr>
    </w:p>
    <w:p>
      <w:pPr>
        <w:spacing w:after="100"/>
      </w:pPr>
      <w:r>
        <w:t xml:space="preserve">El DCF da </w:t>
      </w:r>
      <w:r>
        <w:rPr>
          <w:b/>
        </w:rPr>
        <w:t xml:space="preserve">127,88 EUR por acción</w:t>
      </w:r>
      <w:r>
        <w:t xml:space="preserve">, un 23,0 % sobre el cierre de 104,00 EUR, con un valor terminal que pesa el 55 %. El DCF inverso es la pregunta central: </w:t>
      </w:r>
      <w:r>
        <w:rPr>
          <w:b/>
        </w:rPr>
        <w:t xml:space="preserve">al precio actual, el mercado descuenta que las ventas caigan un 3,6 % al año entre 2027e y 2035e, o un margen EBITDA del 9,3 %</w:t>
      </w:r>
      <w:r>
        <w:t xml:space="preserve"> en vez del 10,5 % de nuestro caso base, y una rentabilidad implícita del 10,7 % frente a nuestro WACC del 9,08 %. Un margen del 9,3 % es el de 2023 y está por encima de la media de 2016-2025 (8,4 %): el mercado no paga la mejora de 2024-2026 y valora a Krones como si el margen volviera a la mitad del ciclo anterior. Eso no es exigente, es prudente. Lo que sí es exigente en nuestro caso base es la duración: diez años sin una caída como la de 2020, que el bajista recoge. Con la prima implícita del mercado (4,20 %) el WACC baja al 7,76 % y el DCF sube a 157,04 EUR. Cada punto de margen EBITDA mueve el valor unos 21 EUR por acción (107,18 EUR con un punto menos).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2019-2020: con la incertidumbre por los aranceles y Oriente Próximo, los embotelladores congelan la inversión, los pedidos caen como en 2020 (−19 %) y las ventas de 2027 bajan un 11,5 % con un margen EBITDA del 7,1 %. 2028 sale plano y, después, la competencia china y la de KHS dejan el margen en torno al 9 %, la media de 2016-2025.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crecen un 3-4 % anual con pedidos que suben despacio, la cartera cubre 2027 y el margen toca el 11,3 % en 2028 antes de volver al 10,5 % de ciclo completo. Krones no llega a los 7.000 M de 2028, pero mantiene el ROCE cerca del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170,32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cumple el plan a 2028: los pedidos vuelven a crecer con el reciclado y los emergentes (India, China, Oriente Medio), las ventas suben un 9-9,5 % en 2027-2028 hasta unos 6.900 M, cerca del objetivo, y el margen se queda en la banda del 11-13 % de forma duradera.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0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121,49 EUR (+16,8 %).</w:t>
      </w:r>
    </w:p>
    <w:p>
      <w:pPr>
        <w:spacing w:after="100"/>
      </w:pPr>
      <w:r>
        <w:t xml:space="preserve">El reparto compensa incluso con nuestro coste de capital: el alcista vale 170,32 EUR (+63,8 %) y el bajista 78,30 EUR (−24,7 %), una asimetría de 2,58 veces; el valor ponderado (30/50/20) es de 121,49 EUR. El bajista no es cosmético: suma una caída de un año como la de 2020 (ventas −16,1 %, margen del 6,2 % antes de partidas especiales) y un margen que después se queda en el 9 %, la media de 2016-2025 [7, 27]. Le damos un 30 %, más que al alcista, porque los pedidos llevan tres años planos y la dirección ya reconoce en julio que la incertidumbre afecta a las decisiones de algunos clientes [12]. El alcista solo exige el plan que la propia empresa publica [1]. Con la prima que hoy pide el mercado, el bajista queda en 93,95 EUR (−9,7 %) y el alcista en 213,19 EUR.</w:t>
      </w:r>
    </w:p>
    <w:p>
      <w:pPr>
        <w:pStyle w:val="Heading1"/>
      </w:pPr>
      <w:r>
        <w:t xml:space="preserve">22. Suma de partes</w:t>
      </w:r>
    </w:p>
    <w:p>
      <w:pPr>
        <w:pStyle w:val="Confianza"/>
        <w:spacing w:after="100"/>
      </w:pPr>
      <w:r>
        <w:t xml:space="preserve">Confianza: Media</w:t>
      </w:r>
    </w:p>
    <w:p>
      <w:pPr>
        <w:spacing w:after="100"/>
      </w:pPr>
      <w:r>
        <w:t xml:space="preserve">No aplica. Los tres segmentos venden a los mismos clientes (embotelladoras, cerveceras y lácteas), comparten el ciclo de inversión y tienen márgenes parecidos: EBITDA del 10,8 % en llenado y envasado, 10,3 % en Process Technology y 8,4 % en Intralogistics en 2025 [1]. Llenado y envasado es el 84 % de las ventas, así que una suma de partes repetiría el DCF del grupo.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0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spacing w:after="100"/>
      </w:pPr>
      <w:r>
        <w:rPr>
          <w:b/>
          <w:bCs/>
        </w:rPr>
        <w:t xml:space="preserve">Valor objetivo ponderado:</w:t>
      </w:r>
      <w:r>
        <w:t xml:space="preserve"> 131,42 EUR (+26,4 % sobre 104,00).</w:t>
      </w:r>
    </w:p>
    <w:p>
      <w:pPr>
        <w:spacing w:after="100"/>
      </w:pPr>
      <w:r>
        <w:t xml:space="preserve">El valor objetivo es de </w:t>
      </w:r>
      <w:r>
        <w:rPr>
          <w:b/>
        </w:rPr>
        <w:t xml:space="preserve">131,42 EUR</w:t>
      </w:r>
      <w:r>
        <w:t xml:space="preserve"> (+26,4 %): DCF 45 %, escenarios ponderados 45 % y comparables 10 %. El DCF y los escenarios mandan porque Krones es cíclica y solo un modelo con un año malo explícito mide bien su riesgo. Los comparables pesan poco: su mediana da 192,06 EUR, pero todos ganan márgenes EBITDA del 13-22 % frente al 10,6 % de Krones, y la propia Krones nunca ha cotizado a esos múltiplos (media de 7,2 veces el EBITDA en sus cierres de 2018-2025, mínimo de 6,3 veces) [49]. Las transacciones (339,87 EUR) no pesan: el pool Kronseder tiene el 51,9 % y quiere seguir siendo mayoritario, así que no habrá una opa [1]. El puente, al 30-jun-2026, resta la deuda financiera (2,8 M), los arrendamientos (139,6 M), las pensiones netas de impuestos (115,6 M), 31,7 M de pagos aplazados y opciones sobre minoritarios y los minoritarios (0,4 M), y suma la caja (405,4 M) y las asociadas (6,6 M) [2]: caja neta ajustada de 116 M. </w:t>
      </w:r>
      <w:r>
        <w:rPr>
          <w:b/>
        </w:rPr>
        <w:t xml:space="preserve">Los anticipos de clientes (894,5 M) no van al puente</w:t>
      </w:r>
      <w:r>
        <w:t xml:space="preserve">: se cancelan con las entregas de cada contrato y la obra sin facturar (1.092,4 M) es mayor, así que la caja no está inflada por ellos [2]. El riesgo está en el circulante: si volviera al 22 % de las ventas, el DCF bajaría a 115,25 EUR; al 27 % de 2016-2020, a 102,63 EUR. El confirming (136 M) tampoco va al puente, porque no cambia los plazos de pago, pero equivale a 4,30 EUR por acción si los bancos lo retiraran [1]. Con la prima implícita del mercado el objetivo sube a 157,08 EUR; el consenso de diez analistas está en 147,90 EUR [50].</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3T (1.340 M en el 2T) y si las ventas aceleran en el segundo semestre, como exige la guía del 3-5 % sin divisas tras un +1,8 % en el primero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preliminares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del ciclo: una guía de ventas plana confirmaría la tesis de Bernstein; una de +4-6 % la desmentiría [2,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la fábrica de India y ampliación de Taicang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producción local y más barata para Asia, donde Bernstein ve el freno de la inversión [1,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del servicio, circulante y anticipos: si los pasivos por contrato siguen bajando (de 1.041 M en 2023 a 894 M), anticipa menos pedidos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del año que el mercado teme plano en pedidos [52].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(2,80 EUR en 2026; el consenso espera 3,08 EUR) y primer año completo de Thomas Ricker como primer ejecutivo [2, 40, 49].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cíclica de la inversión de embotelladoras y cerveceras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(escenario bajista: 78,30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4.328 M, unos nueve meses de ventas, y servicio de ciclo de vida que cae menos [2,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trimestres seguidos con pedidos por debajo de las ventas (relación &lt; 0,95) o cartera por debajo de 4.000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vuelta a la media del ciclo anterior por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por cada punto de margen EBITDA (107,18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precios, producción en Hungría, China e India, y servicio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por debajo del 10,5 % en un semestre con ventas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menos anticipos y más obra sin facturar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el circulante vuelve al 22 % de las ventas (115,25 EUR); −20 % al 27 % de 2016-2020 (102,63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anticipos en los contratos y circulante medio estable en el 17 %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Pasivos por contrato por debajo de 850 M o circulante medio por encima del 19 %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punto menos de crecimiento anual (124,22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la mitad de las ventas en EE. UU. (un 10 % del total) está expuesta; 50 M de inversión para fabricar allí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Norteamérica a la baja o aranceles específicos a la maquinaria.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 en líneas de velocidad media y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por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Liderazgo en PET, lata y vidrio de alta velocidad y gama media propia (Kosme, Gernep)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Asia-Pacífico y China a la baja con mercados que crecen.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proyectos llave en mano (Process Technology, Intralogistics)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 (16 % de las ventas con margen inferior)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Selección de proyectos y programa de eficiencia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Intralogistics por debajo del 5 % (5,3 % en el 1S26)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descuento: beta y Bund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−6,5 % con medio punto más de WACC (119,56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ROIC del 17,6 %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familiar y comisión de auditoría poco independiente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impide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moderada y guía cumplida seis años seguidos [1, 36].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con empresas de consejeros por encima de los 30,8 M de 2025 [1].</w:t>
            </w:r>
          </w:p>
        </w:tc>
      </w:tr>
    </w:tbl>
    <w:p>
      <w:pPr>
        <w:spacing w:after="160" w:before="0"/>
      </w:pPr>
    </w:p>
    <w:p>
      <w:pPr>
        <w:pStyle w:val="Heading2"/>
      </w:pPr>
      <w:r>
        <w:t xml:space="preserve">Pre-mortem</w:t>
      </w:r>
    </w:p>
    <w:p>
      <w:pPr>
        <w:spacing w:after="100"/>
      </w:pPr>
      <w:r>
        <w:t xml:space="preserve">Octubre de 2029: Krones vale 62 EUR, un 40 % menos. La historia empezó en la guía de febrero de 2027, que salió plana: los pedidos del segundo semestre de 2026 cayeron en Oriente Medio y Asia y la cartera bajó de 4.000 M por primera vez desde 2021. En 2027 los grandes embotelladores, con el consumo frenado y los aranceles en el aire, aplazaron líneas, como en 2020. Las ventas cayeron un 12 % y Krones, con 21.000 empleados y un 30 % de costes de personal, no pudo ajustar a tiempo: el margen EBITDA bajó al 7 % [1]. A la vez, los anticipos se hundieron con los pedidos y el circulante volvió al 22 % de las ventas: la caja neta se evaporó y el flujo libre fue negativo dos años, como en 2019 y 2023 [1]. Los fabricantes chinos ganaron concursos de gama media en Asia y África con precios un 20-30 % más bajos, y el margen no volvió al 11 % en la recuperación, sino al 9 %. El mercado volvió a pagar 5 veces un EBITDA mucho menor. Las señales estaban a la vista: relación pedidos/ventas por debajo de 1 dos trimestres seguidos, pasivos por contrato por debajo de 850 M y la caída de la inversión de producción de AB InBev y de las embotelladoras en sus semestrales de 2026 [23].</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Platino, 91/100 (anterior: oro, 80/100); entre el 1 % mejor de más de 150.000 empresas [32]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(anterior: A-), según la nota de prensa de septiembre de 2025; la web de sostenibilidad indica A- en 2025 [32, 33]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2025-09</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[32]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27,16, riesgo medio (ambiental 10,94; social 9,9; gobierno 6,32) [34]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SBTi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a 2030 y neto cero en 2040 validados [33]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asunto que más pesa es la energía y el agua que consumen las máquinas de Krones en casa del cliente: las emisiones de los productos vendidos (alcance 3 aguas abajo) son el grueso de los 10,6 M t de CO₂e del grupo en 2025, frente a solo 26.302 t de emisiones propias, que ya han bajado un 52 % desde 2019 [1]. Krones lo convierte en negocio: sus clientes tienen objetivos de reducción y la compañía estima unos 11.000 M EUR de inversión ligada a ellos hasta 2030 [15]; además, 135 clientes revisan su calificación EcoVadis y la tienen en cuenta al comprar [33]; Sustainalytics lo sitúa en riesgo medio [34]. El segundo es la economía circular (reciclado de PET, envases reutilizables), que la regulación europea empuja [1, 30]. El tercero, la seguridad laboral en montajes y servicio, con el objetivo de reducir un 30 % los accidentes por millón de horas en 2030 respecto a 2020 [1].</w:t>
      </w:r>
    </w:p>
    <w:p>
      <w:pPr>
        <w:pStyle w:val="Heading2"/>
      </w:pPr>
      <w:r>
        <w:t xml:space="preserve">Controversias</w:t>
      </w:r>
    </w:p>
    <w:p>
      <w:pPr>
        <w:spacing w:after="100"/>
      </w:pPr>
      <w:r>
        <w:t xml:space="preserve">No hemos encontrado sanciones, litigios relevantes ni incidentes graves en los últimos tres años en el informe anual de 2025 ni en las comunicaciones de la compañía [1]. El único punto discutible es la calificación de CDP en cambio climático, que la propia Krones dio como bajada a B en 2025 y que su web sigue mostrando como A- [32, 33].</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cartera de 4.328 M se factura en 2027 y qué relación pedidos/ventas espera la dirección por región?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del 9,3 % o ventas a la baja; la guía de 2027 decide si el ciclo ha girado [2, 52].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las ventas de servicio y recambios y qué margen ganan frente a la maquinaria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recurrente y Krones no la publica; de ella depende cuánto cae el margen en un año malo.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pasivos por contrato bajaron de 1.041 M en 2023 a 894 M mientras la obra sin facturar subía a 1.092 M? ¿Han cambiado las condiciones de anticipo frente a la competencia?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5 puntos de circulante sobre ventas cuestan en torno a un 10 % del valor [1,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a 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7.000 M de ventas de 2028 depende de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queda un 8 % por debajo y nuestro caso base en 6.206 M; la credibilidad del plan mueve el múltiplo [1,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capex y qué rentabilidad esperan de India, Taicang y EE. UU., y cuándo vuelve el capex al 3,3 % de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1S26 subió al 3,6 % y el flujo libre fue negativo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y 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precios de las líneas de gama media frente a los fabricantes chinos?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unos 21 EUR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arancel de EE. UU. se traslada al cliente y qué volumen se fabricará en Franklin y Arden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10 % de las ventas está expuesto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¿Creará el consejo de supervisión una comisión de nombramientos y reforzará la independencia de la comisión de auditoría?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un miembro de la comisión de auditoría es independiente y no hay comisión de nombramientos [1].</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71 (49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10,8 % frente a un ROIC de 17,6 % y un incremental histórico de 31,7 %: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17,0 % frente a 15,9 % real: genera una variación de circulante de 80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0,01: el crecimiento no explica los múltiplos de estos comparables; no uses el valor de la regresión. Explicación: Los comparables cotizan por margen y calidad, no por crecimiento (R² de 0,01).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29,1 %, asimetría de 2,58, bajista del -24,7 % y el precio descuenta 6,8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semestrales: no lo publican; 2) Presentaciones de las conferencias: no lo publican; 3) Sin acceso a un proveedor de consenso histórico gratuito ni margen de búsquedas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del servicio de ciclo de vida (LCS) en las 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dice que el servicio creció menos que la maquinaria nueva en 2025, sin cifra; 2) presentaciones del día del inversor 2025, corporativa 2026 y de resultados de 2025 y del 2T26: sin desglose; 3) búsqueda web en inglés (share of lifecycle service revenue): sin dato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 Sidel y de Tetra Pak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Tetra Laval 2025/2026: solo comentarios cualitativos («nuevo máximo»); 2) web de Sidel: sin cuentas; 3) prensa sectorial: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y ventas de la división de líquidos de GEA (Liquid &amp; Powder Technologies)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preliminares 2025 de GEA: solo grupo y EBITDA; 2) informe anual 2025 en gea.com y en el repositorio more-ir: no accesible (404 y archivo vacío); 3) búsqueda web: sin cifras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márgenes de los competidores chinos (Tech-Long, Newamstar)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Krones: solo cualitativo; 2) búsqueda de cifras en informes anuales cotizados en China: no localizados en inglés; 3) prensa sectorial: sin cifra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MSCI ESG e ISS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web de sostenibilidad de Krones: no la citan; 2) búsqueda web en inglés: sin resultado; 3) agregadores de datos (Saxo, KnowESG): solo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mundial de maquinaria de alimentación y envasado de 2024-2025 (VDMA) y serie anual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Krones: solo producción alemana; 2) notas de la VDMA en prensa sectorial: años sueltos (2012, 2016, 2022, 2023e); 3) búsqueda web del dato de 2024: solo en resúmenes de buscador, no en documento abierto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e informe de remuneración 2025: no publican las acciones de cada consejero (la remuneración no se paga en acciones); 2) base de datos de la BaFin de operaciones de directivos: solo una venta de una sociedad vinculada en doce meses, sin saldos; 3) notificaciones de derechos de voto de la BaFin: solo dan el 51,85-54,04 % atribuido a cada miembro del pool, no su parte económica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 Annual Report 2025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https://www.krones.com/media/downloads/GB_2025_Konzern_e.pdf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 Interim Report 1 January to 30 June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https://www.krones.com/media/downloads/Q2_2026_e.pdf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Quarterly Statement 1 January to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https://www.krones.com/media/downloads/Q1_2026_e.pdf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2024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https://www.krones.com/media/downloads/GB_2024_Konzern_e.pdf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2023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https://www.krones.com/media/downloads/GB_2023_Konzern_e.pdf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2022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https://www.krones.com/media/downloads/GB_2022_Konzern_e.pdf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2020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https://www.krones.com/media/downloads/GB_2020_Konzern_e.pdf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2019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https://www.krones.com/media/downloads/GB_2019_Konzern_e.pdf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Annual Report 2018 (Konzern)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https://www.krones.com/media/downloads/GB_2018_Konzern_e.pdf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Quarterly Statement 1 January to 30 September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https://www.krones.com/media/downloads/Q3_2025_e.pdf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Quarterly Statement 1 January to 30 September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https://www.krones.com/media/downloads/Q3_2024_e.pdf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Conference Call First Half Year 2026 (presentación, 29-jul-2026)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https://www.krones.com/media/downloads/Conference-Call_Q2_2026.pdf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Conference Call Q1 2026 (presentación,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https://www.krones.com/media/downloads/Conference-Call_Q1_2026.pdf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Capital Market Day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https://www.krones.com/media/downloads/CMD_2025.pdf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Corporate IR Presentation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https://www.krones.com/media/downloads/Krones-Corporate-IR-Presentation-2026.pdf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Conference Call preliminary figures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https://www.krones.com/media/downloads/Conference-Call_preliminary_figures_2025.pdf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Laval 2025/2026 (informe del grupo: Tetra Pak, Sidel, DeLaval)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Tetra Laval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https://www.sidel.com/media/xamjsjz0/tetra-laval-2025-2026.pdf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 Key data financial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https://www.salzgitter-ag.com/fileadmin/finanzberichte/2025/gb2025/en/downloads/keydata-ar-2025-en.pdf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 Annual Report 2025 (Technology Business Unit)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Salzgitter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https://www.salzgitter-ag.com/fileadmin/finanzberichte/2025/gb2025/en/downloads/szag-ar2025-complete.pdf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Full-year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https://api.sig.biz/media/yaihwadl/sig_full-year-results-2025_en.pdf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publishes preliminary figures and exceeds expectations for key financial indicators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https://www.gea.com/en/news/corporate/2026/gea-publishes-preliminary-figures-and-exceeds-expectations/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HBC, 2026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Coca-Cola HBC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https://www.coca-colahellenic.com/content/dam/cch/us/documents/investors-and-financial/2026-half-year-results/coca-cola-hbc-2026-half-year-results.pdf.downloadasset.pdf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 InBev, Interim Financial Report for the six-month period ended 30 June 2026 (Form 6-K,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Anheuser-Busch InBev SA/NV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https://www.sec.gov/Archives/edgar/data/1668717/000119312526326285/d175040dex992.htm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Supervisory Board of Krones Group has appointed Thomas Ricker as the new Chairman of the Executive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https://www.krones.com/en/company/press/the-supervisory-board-of-krones-group-has-appointed-thomas-ricker-as-the-new-chairman-of-the-executive-board.php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datos XBRL del Form 10-K de 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https://data.sec.gov/api/xbrl/companyfacts/CIK0001433660.json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Annual Report 2010 (incluye semblanza del fundador y cifras 2006-2010)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https://irpages2.eqs.com/Download/Companies/krones/Annual%20Reports/DE0006335003-JA-2010-EQ-E-00.pdf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Annual Report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https://irpages2.eqs.com/Download/Companies/krones/Annual%20Reports/DE0006335003-JA-2020-EQ-E-00.pdf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 Filling Machines Market Size (resumen público del informe)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https://www.gminsights.com/industry-analysis/liquid-filling-machines-market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 exports of packaging machines (datos de la VDMA sobre comercio mundial)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https://packaging-journal.de/en/?p=91405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waste: Packaging and Packaging Waste Regulation (EU) 2025/40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 DG Medio Ambiente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https://environment.ec.europa.eu/topics/waste-and-recycling/packaging-waste_en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SACMI Group 2024 revenues surpass €1.7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https://www.petnology.com/magazine/article/sacmi-group-2024-revenues-surpass-eur17-billion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Sustainability (página web: calificaciones CDP y medalla platino de EcoVadis, 5-10-2026)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https://www.krones.com/en/company/sustainability.php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consecutive gold medal: Krones announces this year's EcoVadis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https://www.krones.com/en/company/press/third-consecutive-gold-medal-krones-announces-this-years-ecovadis-rating.php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(KRN:xetr), ficha con riesgo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https://www.home.saxo/de-ch/markets/stocks/krn-xetr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VDMA projects rising demand for food processing &amp; packaging machinery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Packaging 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https://packagingeurope.com/vdma-projects-rising-demand-for-food-processing-and-packaging-machinery/2034.article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Informe de remuneración 2025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https://www.krones.com/media/downloads/HV2026_19_Verguetungsbericht_Krones_2025_e.pdf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 base de datos de operaciones de directivos (art. 19 MAR): Krones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https://portal.mvp.bafin.de/database/DealingsInfo/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El consejo de dirección: currículos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https://www.krones.com/en/company/investor-relations/executive-board.php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Resultados de las votaciones de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https://www.krones.com/media/downloads/HV2026_1_Abstimmungsuebersicht_d.pdf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Hecho relevante: cambios en el consejo de dirección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https://www.krones.com/en/company/investor-relations/ad-hoc-disclosure-personnel-changes-in-the-executive-board-of-krones-ag.php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 base de datos de participaciones significativas (arts. 33 y ss. WpHG): Krones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https://portal.mvp.bafin.de/database/AnteileInfo/aktiengesellschaft.do?cmd=zeigeAktiengesellschaft&amp;id=40001126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Notificación de derechos de voto de Swedbank Robur Fonder AB (EQS)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 News / Börse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https://www.boerse-online.de/dpa-afx/eqs-stimmrechte-krones-ag-deutsch-534993.html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Sistema de remuneración del consejo de dirección (junta general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https://www.krones.com/media/downloads/HV2025_Verguetungssystem-des-Vorstands_2025_e.pdf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Convocatoria de la junta general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https://www.krones.com/media/downloads/HV2026_3_Einladung_HV_2026_e.pdf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Resultados de las votaciones de la junta general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https://www.krones.com/media/downloads/HV2025_Abstimmungsuebersicht_d.pdf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Resultados de las votaciones de la junta general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https://www.krones.com/media/downloads/Abstimmungsuebersicht.pdf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KRN.DE, iShares Core MDAX UCITS ETF (EXS3.DE) e iShares STOXX Europe 600 Industrial Goods &amp; Services (EXH4.DE); cierre del 8-oct-2026 tomado del cierre anterior que publica Yahoo para la sesión del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https://finance.yahoo.com/quote/KRN.DE/history/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cotización y cotizaciones diarias de Xetra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datos financieros y estimaciones 2023-2028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(ETR: KRN)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https://stockanalysis.com/quote/etr/KRN/forecast/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keeps falling, Bernstein offers little hope for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https://www.marketscreener.com/news/krones-keeps-falling-bernstein-offers-little-hope-for-2027-ce785ad9da8dfe21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Warburg Research raises target for Krones to €191,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https://www.marketscreener.com/news/warburg-research-raises-target-for-krones-to-128-191-buy-ce7f51d2de8ff123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Netto-Leerverkaufspositionen (registro de posiciones cortas netas ≥ 0,5 %), posiciones vigentes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Bundesanzeiger / BaFin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https://www.bundesanzeiger.de/pub/de/nlp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los valores federales cotizados (Svensson), vencimiento residual 10 años,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https://api.statistiken.bundesbank.de/rest/data/BBSIS/D.I.ZST.ZI.EUR.S1311.B.A604.R10XX.R.A.A._Z._Z.A?format=csv&amp;lang=en&amp;startPeriod=2026-09-15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area yield curve, bonos AAA, tipo al contado a 10 años (YC.B.U2.EUR.4F.G_N_A.SV_C_YM.SR_10Y)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https://data.ecb.europa.eu/data/datasets/YC/YC.B.U2.EUR.4F.G_N_A.SV_C_YM.SR_10Y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GEA Group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https://www.marketscreener.com/quote/stock/GEA-GROUP-AG-436397/finances/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https://www.marketscreener.com/quote/stock/SIG-GROUP-AG-46388822/finances/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https://www.marketscreener.com/quote/stock/TOMRA-SYSTEMS-ASA-1413304/finances/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https://www.marketscreener.com/quote/stock/ALFA-LAVAL-AB-6494532/finances/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Dürr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https://www.marketscreener.com/quote/stock/DURR-AG-436002/finances/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Bucher Industries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https://www.marketscreener.com/quote/stock/BUCHER-INDUSTRIES-AG-159124/finances/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Interroll Holding AG: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https://www.marketscreener.com/quote/stock/INTERROLL-HOLDING-AG-73849/finances/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(CHF, NOK, SEK, USD, JPY),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https://data-api.ecb.europa.eu/service/data/EXR/D.CHF+NOK+SEK+USD+JPY.EUR.SP00.A?startPeriod=2026-10-06&amp;format=csvdata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to acquire Scholle IPN to broaden leadership in sustainable packaging systems and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https://www.sig.biz/en/media/press-releases/sig-to-acquire-scholle-ipn-to-broaden-leadership-in-sustainable-packaging-systems-and-solutions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Bean Technologies Corporation, Form 8-K (425) del 18-jul-2024: suplemento al folleto de la oferta sobre Marel con el análisis de Goldman Sachs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https://www.sec.gov/Archives/edgar/data/1433660/000119312524190508/d877976d425.htm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announces extension of voluntary takeover offer to the shareholders of Marel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Marel hf.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https://storage.mfn.se/77706fa3-1682-473e-af6e-f43e1f907e1d/marel-jbt-announces-extension-of-voluntary-takeover-offer-to-the-shareholders-of-marel.pdf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medias mensuales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https://data-api.ecb.europa.eu/service/data/EXR/M.USD.EUR.SP00.A?startPeriod=2021-07&amp;endPeriod=2022-04&amp;format=csvdata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8-oct-2026 de G1A.DE, SIGN.SW, TOM.OL, JBTM, ALFA.ST, DUE.DE, BUCN.SW e INRN.SW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88,5 %</w:t>
      </w:r>
      <w:r>
        <w:t xml:space="preserve"> · Secciones con menos del 60 % de campos cubiertos: </w:t>
      </w:r>
      <w:r>
        <w:rPr>
          <w:b/>
          <w:bCs/>
        </w:rPr>
        <w:t xml:space="preserve">sentimiento</w:t>
      </w:r>
      <w:r>
        <w:t xml:space="preserve"> · Generado el 13 oct 2026.</w:t>
      </w:r>
    </w:p>
    <w:p>
      <w:pPr>
        <w:pStyle w:val="Nota"/>
        <w:spacing w:after="100"/>
      </w:pPr>
      <w:r>
        <w:t xml:space="preserve">Una sola línea cotizada (Xetra, KRN), en euros como las cuentas. El precio es el cierre del 8-oct-2026 (104,00 EUR): a las 09:30 del 9-oct la sesión de Xetra no había cerrado; Yahoo no traía esa sesión y se verificó con el cierre anterior que publica Yahoo para el 9-oct y con la tabla diaria de MarketScreener [47, 48]. Rentabilidades, beta y volatilidad llegan al 8-oct [47]. La cuenta se presenta por naturaleza; el coste de ventas es el de bienes y servicios comprados neto de la variación de existencias de producto terminado y en curso [1]. Los tres segmentos actuales solo se publican desde 2021 [1, 6]. El puente es del 30-jun-2026; los arrendamientos (139,6 M) salen de la tabla de instrumentos financieros del semestral [2]. Krones no publica el peso del servicio y los recambios (Lifecycle Service) en las ventas. No hemos tenido la transcripción de las conferencias, solo las presentaciones. El consenso sale de MarketScreener (S&amp;P Global, 10 analistas); Stock Analysis usa el mismo proveedor, así que el contraste independiente se limita a las recomendaciones que recoge la propia Krones [2, 49].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Krones AG (KRN)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Hoja1!$B$2:$B$9</c:f>
              <c:numCache>
                <c:formatCode>#,##0</c:formatCode>
                <c:ptCount val="8"/>
                <c:pt idx="0">
                  <c:v>103.8</c:v>
                </c:pt>
                <c:pt idx="1">
                  <c:v>105</c:v>
                </c:pt>
                <c:pt idx="2">
                  <c:v>184.02</c:v>
                </c:pt>
                <c:pt idx="3">
                  <c:v>181.47</c:v>
                </c:pt>
                <c:pt idx="4">
                  <c:v>115.42</c:v>
                </c:pt>
                <c:pt idx="5">
                  <c:v>78.3</c:v>
                </c:pt>
                <c:pt idx="6">
                  <c:v>144.45</c:v>
                </c:pt>
                <c:pt idx="7">
                  <c:v>103.48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Hoja1!$C$2:$C$9</c:f>
              <c:numCache>
                <c:formatCode>#,##0</c:formatCode>
                <c:ptCount val="8"/>
                <c:pt idx="0">
                  <c:v>40.39999999999999</c:v>
                </c:pt>
                <c:pt idx="1">
                  <c:v>86</c:v>
                </c:pt>
                <c:pt idx="2">
                  <c:v>25.289999999999992</c:v>
                </c:pt>
                <c:pt idx="3">
                  <c:v>24.919999999999987</c:v>
                </c:pt>
                <c:pt idx="4">
                  <c:v>29.049999999999997</c:v>
                </c:pt>
                <c:pt idx="5">
                  <c:v>92.02</c:v>
                </c:pt>
                <c:pt idx="6">
                  <c:v>27.700000000000017</c:v>
                </c:pt>
                <c:pt idx="7">
                  <c:v>1.039999999999992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Filling and Packaging Technology</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3045.6</c:v>
                </c:pt>
                <c:pt idx="1">
                  <c:v>3497.3</c:v>
                </c:pt>
                <c:pt idx="2">
                  <c:v>3924.7</c:v>
                </c:pt>
                <c:pt idx="3">
                  <c:v>4453.9</c:v>
                </c:pt>
                <c:pt idx="4">
                  <c:v>4774.2</c:v>
                </c:pt>
              </c:numCache>
            </c:numRef>
          </c:val>
        </c:ser>
        <c:ser>
          <c:idx val="1"/>
          <c:order val="1"/>
          <c:tx>
            <c:strRef>
              <c:f>Hoja1!$C$1</c:f>
              <c:strCache>
                <c:ptCount val="1"/>
                <c:pt idx="0">
                  <c:v>Process Technology</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296.6</c:v>
                </c:pt>
                <c:pt idx="1">
                  <c:v>367.5</c:v>
                </c:pt>
                <c:pt idx="2">
                  <c:v>453.3</c:v>
                </c:pt>
                <c:pt idx="3">
                  <c:v>507.5</c:v>
                </c:pt>
                <c:pt idx="4">
                  <c:v>513.7</c:v>
                </c:pt>
              </c:numCache>
            </c:numRef>
          </c:val>
        </c:ser>
        <c:ser>
          <c:idx val="2"/>
          <c:order val="2"/>
          <c:tx>
            <c:strRef>
              <c:f>Hoja1!$D$1</c:f>
              <c:strCache>
                <c:ptCount val="1"/>
                <c:pt idx="0">
                  <c:v>Intralogistics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292.3</c:v>
                </c:pt>
                <c:pt idx="1">
                  <c:v>344.5</c:v>
                </c:pt>
                <c:pt idx="2">
                  <c:v>342.6</c:v>
                </c:pt>
                <c:pt idx="3">
                  <c:v>332.2</c:v>
                </c:pt>
                <c:pt idx="4">
                  <c:v>375.9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Filling and Packaging Technology</c:v>
                </c:pt>
                <c:pt idx="1">
                  <c:v>Process Technology</c:v>
                </c:pt>
                <c:pt idx="2">
                  <c:v>Intralogistics</c:v>
                </c:pt>
              </c:strCache>
            </c:strRef>
          </c:cat>
          <c:val>
            <c:numRef>
              <c:f>Hoja1!$B$2:$B$4</c:f>
              <c:numCache>
                <c:formatCode>General</c:formatCode>
                <c:ptCount val="3"/>
                <c:pt idx="0">
                  <c:v>84.3</c:v>
                </c:pt>
                <c:pt idx="1">
                  <c:v>9.1</c:v>
                </c:pt>
                <c:pt idx="2">
                  <c:v>6.6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Norteamérica y Centroamérica</c:v>
                </c:pt>
                <c:pt idx="1">
                  <c:v>Europa central y occidental</c:v>
                </c:pt>
                <c:pt idx="2">
                  <c:v>Oriente Medio y África</c:v>
                </c:pt>
                <c:pt idx="3">
                  <c:v>Asia-Pacífico</c:v>
                </c:pt>
                <c:pt idx="4">
                  <c:v>Sudamérica y México</c:v>
                </c:pt>
                <c:pt idx="5">
                  <c:v>Alemania</c:v>
                </c:pt>
                <c:pt idx="6">
                  <c:v>Europa del Este y Asia Central</c:v>
                </c:pt>
                <c:pt idx="7">
                  <c:v>China</c:v>
                </c:pt>
              </c:strCache>
            </c:strRef>
          </c:cat>
          <c:val>
            <c:numRef>
              <c:f>Hoja1!$B$2:$B$9</c:f>
              <c:numCache>
                <c:formatCode>0"%"</c:formatCode>
                <c:ptCount val="8"/>
                <c:pt idx="0">
                  <c:v>21.2</c:v>
                </c:pt>
                <c:pt idx="1">
                  <c:v>20.8</c:v>
                </c:pt>
                <c:pt idx="2">
                  <c:v>12.7</c:v>
                </c:pt>
                <c:pt idx="3">
                  <c:v>11.6</c:v>
                </c:pt>
                <c:pt idx="4">
                  <c:v>10.8</c:v>
                </c:pt>
                <c:pt idx="5">
                  <c:v>9.3</c:v>
                </c:pt>
                <c:pt idx="6">
                  <c:v>7.3</c:v>
                </c:pt>
                <c:pt idx="7">
                  <c:v>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comercio mundial de maquinaria de alimentación y envasado según la VDMA (2016 y 2023, cifras «más de»; 2023 era previsión al publicarse))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2012</c:v>
                </c:pt>
                <c:pt idx="1">
                  <c:v>2016</c:v>
                </c:pt>
                <c:pt idx="2">
                  <c:v>2022</c:v>
                </c:pt>
                <c:pt idx="3">
                  <c:v>2023e</c:v>
                </c:pt>
              </c:strCache>
            </c:strRef>
          </c:cat>
          <c:val>
            <c:numRef>
              <c:f>Hoja1!$B$2:$B$5</c:f>
              <c:numCache>
                <c:formatCode>#,##0</c:formatCode>
                <c:ptCount val="4"/>
                <c:pt idx="0">
                  <c:v>33900</c:v>
                </c:pt>
                <c:pt idx="1">
                  <c:v>38000</c:v>
                </c:pt>
                <c:pt idx="2">
                  <c:v>48600</c:v>
                </c:pt>
                <c:pt idx="3">
                  <c:v>52000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Krones</c:v>
                </c:pt>
                <c:pt idx="1">
                  <c:v>Sidel (Tetra Laval)</c:v>
                </c:pt>
                <c:pt idx="2">
                  <c:v>KHS (área Technology de Salzgitter)</c:v>
                </c:pt>
                <c:pt idx="3">
                  <c:v>Tetra Pak (Tetra Laval)</c:v>
                </c:pt>
                <c:pt idx="4">
                  <c:v>SIG Group</c:v>
                </c:pt>
                <c:pt idx="5">
                  <c:v>GEA Group</c:v>
                </c:pt>
                <c:pt idx="6">
                  <c:v>JBT Marel</c:v>
                </c:pt>
                <c:pt idx="7">
                  <c:v>Sacmi</c:v>
                </c:pt>
              </c:strCache>
            </c:strRef>
          </c:cat>
          <c:val>
            <c:numRef>
              <c:f>Hoja1!$B$2:$B$9</c:f>
              <c:numCache>
                <c:formatCode>0.0"%"</c:formatCode>
                <c:ptCount val="8"/>
                <c:pt idx="0">
                  <c:v>7.4</c:v>
                </c:pt>
                <c:pt idx="2">
                  <c:v>6.1</c:v>
                </c:pt>
                <c:pt idx="4">
                  <c:v>13.6</c:v>
                </c:pt>
                <c:pt idx="6">
                  <c:v>5</c:v>
                </c:pt>
                <c:pt idx="7">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3854</c:v>
                </c:pt>
                <c:pt idx="1">
                  <c:v>3958.9</c:v>
                </c:pt>
                <c:pt idx="2">
                  <c:v>3322.7</c:v>
                </c:pt>
                <c:pt idx="3">
                  <c:v>3634.5</c:v>
                </c:pt>
                <c:pt idx="4">
                  <c:v>4209.3</c:v>
                </c:pt>
                <c:pt idx="5">
                  <c:v>4720.7</c:v>
                </c:pt>
                <c:pt idx="6">
                  <c:v>5293.6</c:v>
                </c:pt>
                <c:pt idx="7">
                  <c:v>5663.8</c:v>
                </c:pt>
                <c:pt idx="8">
                  <c:v>5766</c:v>
                </c:pt>
                <c:pt idx="9">
                  <c:v>5968</c:v>
                </c:pt>
                <c:pt idx="10">
                  <c:v>6206</c:v>
                </c:pt>
                <c:pt idx="11">
                  <c:v>6455</c:v>
                </c:pt>
                <c:pt idx="12">
                  <c:v>6680</c:v>
                </c:pt>
                <c:pt idx="13">
                  <c:v>6898</c:v>
                </c:pt>
                <c:pt idx="14">
                  <c:v>7104</c:v>
                </c:pt>
                <c:pt idx="15">
                  <c:v>7300</c:v>
                </c:pt>
                <c:pt idx="16">
                  <c:v>7482</c:v>
                </c:pt>
                <c:pt idx="17">
                  <c:v>7669</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305.9</c:v>
                </c:pt>
                <c:pt idx="1">
                  <c:v>261.3</c:v>
                </c:pt>
                <c:pt idx="2">
                  <c:v>205.2</c:v>
                </c:pt>
                <c:pt idx="3">
                  <c:v>295.6</c:v>
                </c:pt>
                <c:pt idx="4">
                  <c:v>373.3</c:v>
                </c:pt>
                <c:pt idx="5">
                  <c:v>457.3</c:v>
                </c:pt>
                <c:pt idx="6">
                  <c:v>537.1</c:v>
                </c:pt>
                <c:pt idx="7">
                  <c:v>602.3</c:v>
                </c:pt>
                <c:pt idx="8">
                  <c:v>628</c:v>
                </c:pt>
                <c:pt idx="9">
                  <c:v>662</c:v>
                </c:pt>
                <c:pt idx="10">
                  <c:v>701</c:v>
                </c:pt>
                <c:pt idx="11">
                  <c:v>729</c:v>
                </c:pt>
                <c:pt idx="12">
                  <c:v>748</c:v>
                </c:pt>
                <c:pt idx="13">
                  <c:v>759</c:v>
                </c:pt>
                <c:pt idx="14">
                  <c:v>774</c:v>
                </c:pt>
                <c:pt idx="15">
                  <c:v>781</c:v>
                </c:pt>
                <c:pt idx="16">
                  <c:v>793</c:v>
                </c:pt>
                <c:pt idx="17">
                  <c:v>805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47.3</c:v>
                </c:pt>
                <c:pt idx="1">
                  <c:v>48.6</c:v>
                </c:pt>
                <c:pt idx="2">
                  <c:v>50.2</c:v>
                </c:pt>
                <c:pt idx="3">
                  <c:v>50.8</c:v>
                </c:pt>
                <c:pt idx="4">
                  <c:v>50.9</c:v>
                </c:pt>
                <c:pt idx="5">
                  <c:v>49.6</c:v>
                </c:pt>
                <c:pt idx="6">
                  <c:v>51.3</c:v>
                </c:pt>
                <c:pt idx="7">
                  <c:v>52.3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7.9</c:v>
                </c:pt>
                <c:pt idx="1">
                  <c:v>6.6</c:v>
                </c:pt>
                <c:pt idx="2">
                  <c:v>6.2</c:v>
                </c:pt>
                <c:pt idx="3">
                  <c:v>8.1</c:v>
                </c:pt>
                <c:pt idx="4">
                  <c:v>8.9</c:v>
                </c:pt>
                <c:pt idx="5">
                  <c:v>9.7</c:v>
                </c:pt>
                <c:pt idx="6">
                  <c:v>10.1</c:v>
                </c:pt>
                <c:pt idx="7">
                  <c:v>10.6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5.3</c:v>
                </c:pt>
                <c:pt idx="1">
                  <c:v>2</c:v>
                </c:pt>
                <c:pt idx="2">
                  <c:v>0.9</c:v>
                </c:pt>
                <c:pt idx="3">
                  <c:v>4.2</c:v>
                </c:pt>
                <c:pt idx="4">
                  <c:v>5.5</c:v>
                </c:pt>
                <c:pt idx="5">
                  <c:v>6.2</c:v>
                </c:pt>
                <c:pt idx="6">
                  <c:v>7</c:v>
                </c:pt>
                <c:pt idx="7">
                  <c:v>7.4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3.9</c:v>
                </c:pt>
                <c:pt idx="1">
                  <c:v>0.2</c:v>
                </c:pt>
                <c:pt idx="2">
                  <c:v>-2.4</c:v>
                </c:pt>
                <c:pt idx="3">
                  <c:v>3.9</c:v>
                </c:pt>
                <c:pt idx="4">
                  <c:v>4.4</c:v>
                </c:pt>
                <c:pt idx="5">
                  <c:v>4.8</c:v>
                </c:pt>
                <c:pt idx="6">
                  <c:v>5.2</c:v>
                </c:pt>
                <c:pt idx="7">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13.2</c:v>
                </c:pt>
                <c:pt idx="1">
                  <c:v>14.9</c:v>
                </c:pt>
                <c:pt idx="2">
                  <c:v>13.1</c:v>
                </c:pt>
                <c:pt idx="3">
                  <c:v>0.6</c:v>
                </c:pt>
                <c:pt idx="4">
                  <c:v>4.7</c:v>
                </c:pt>
                <c:pt idx="5">
                  <c:v>9.7</c:v>
                </c:pt>
                <c:pt idx="6">
                  <c:v>-2.2</c:v>
                </c:pt>
                <c:pt idx="7">
                  <c:v>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90</c:v>
                </c:pt>
                <c:pt idx="1">
                  <c:v>86</c:v>
                </c:pt>
                <c:pt idx="2">
                  <c:v>77</c:v>
                </c:pt>
                <c:pt idx="3">
                  <c:v>75</c:v>
                </c:pt>
                <c:pt idx="4">
                  <c:v>71</c:v>
                </c:pt>
                <c:pt idx="5">
                  <c:v>60</c:v>
                </c:pt>
                <c:pt idx="6">
                  <c:v>56</c:v>
                </c:pt>
                <c:pt idx="7">
                  <c:v>58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33</c:v>
                </c:pt>
                <c:pt idx="1">
                  <c:v>38</c:v>
                </c:pt>
                <c:pt idx="2">
                  <c:v>42</c:v>
                </c:pt>
                <c:pt idx="3">
                  <c:v>47</c:v>
                </c:pt>
                <c:pt idx="4">
                  <c:v>56</c:v>
                </c:pt>
                <c:pt idx="5">
                  <c:v>55</c:v>
                </c:pt>
                <c:pt idx="6">
                  <c:v>51</c:v>
                </c:pt>
                <c:pt idx="7">
                  <c:v>49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51</c:v>
                </c:pt>
                <c:pt idx="1">
                  <c:v>46</c:v>
                </c:pt>
                <c:pt idx="2">
                  <c:v>43</c:v>
                </c:pt>
                <c:pt idx="3">
                  <c:v>56</c:v>
                </c:pt>
                <c:pt idx="4">
                  <c:v>65</c:v>
                </c:pt>
                <c:pt idx="5">
                  <c:v>62</c:v>
                </c:pt>
                <c:pt idx="6">
                  <c:v>62</c:v>
                </c:pt>
                <c:pt idx="7">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135.90000000000003</c:v>
                </c:pt>
                <c:pt idx="1">
                  <c:v>-107.60000000000001</c:v>
                </c:pt>
                <c:pt idx="2">
                  <c:v>192.8</c:v>
                </c:pt>
                <c:pt idx="3">
                  <c:v>198.99999999999997</c:v>
                </c:pt>
                <c:pt idx="4">
                  <c:v>325</c:v>
                </c:pt>
                <c:pt idx="5">
                  <c:v>-62.699999999999996</c:v>
                </c:pt>
                <c:pt idx="6">
                  <c:v>226.90000000000003</c:v>
                </c:pt>
                <c:pt idx="7">
                  <c:v>218.70000000000005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151.1</c:v>
                </c:pt>
                <c:pt idx="1">
                  <c:v>9.5</c:v>
                </c:pt>
                <c:pt idx="2">
                  <c:v>-79.7</c:v>
                </c:pt>
                <c:pt idx="3">
                  <c:v>141.4</c:v>
                </c:pt>
                <c:pt idx="4">
                  <c:v>187</c:v>
                </c:pt>
                <c:pt idx="5">
                  <c:v>224.5</c:v>
                </c:pt>
                <c:pt idx="6">
                  <c:v>276.9</c:v>
                </c:pt>
                <c:pt idx="7">
                  <c:v>298.7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12.3</c:v>
                </c:pt>
                <c:pt idx="1">
                  <c:v>3.5</c:v>
                </c:pt>
                <c:pt idx="2">
                  <c:v>1.8</c:v>
                </c:pt>
                <c:pt idx="3">
                  <c:v>11.1</c:v>
                </c:pt>
                <c:pt idx="4">
                  <c:v>16.6</c:v>
                </c:pt>
                <c:pt idx="5">
                  <c:v>17.2</c:v>
                </c:pt>
                <c:pt idx="6">
                  <c:v>17.7</c:v>
                </c:pt>
                <c:pt idx="7">
                  <c:v>17.6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9.1</c:v>
                </c:pt>
                <c:pt idx="1">
                  <c:v>9.1</c:v>
                </c:pt>
                <c:pt idx="2">
                  <c:v>9.1</c:v>
                </c:pt>
                <c:pt idx="3">
                  <c:v>9.1</c:v>
                </c:pt>
                <c:pt idx="4">
                  <c:v>9.1</c:v>
                </c:pt>
                <c:pt idx="5">
                  <c:v>9.1</c:v>
                </c:pt>
                <c:pt idx="6">
                  <c:v>9.1</c:v>
                </c:pt>
                <c:pt idx="7">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10.5</c:v>
                </c:pt>
                <c:pt idx="1">
                  <c:v>0.7</c:v>
                </c:pt>
                <c:pt idx="2">
                  <c:v>-6.2</c:v>
                </c:pt>
                <c:pt idx="3">
                  <c:v>10.9</c:v>
                </c:pt>
                <c:pt idx="4">
                  <c:v>12.5</c:v>
                </c:pt>
                <c:pt idx="5">
                  <c:v>13.5</c:v>
                </c:pt>
                <c:pt idx="6">
                  <c:v>15.2</c:v>
                </c:pt>
                <c:pt idx="7">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-0.7</c:v>
                </c:pt>
                <c:pt idx="1">
                  <c:v>0.19</c:v>
                </c:pt>
                <c:pt idx="2">
                  <c:v>-0.44</c:v>
                </c:pt>
                <c:pt idx="3">
                  <c:v>-0.95</c:v>
                </c:pt>
                <c:pt idx="4">
                  <c:v>-1.51</c:v>
                </c:pt>
                <c:pt idx="5">
                  <c:v>-0.67</c:v>
                </c:pt>
                <c:pt idx="6">
                  <c:v>-0.57</c:v>
                </c:pt>
                <c:pt idx="7">
                  <c:v>-0.67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2026</c:v>
                </c:pt>
              </c:strCache>
            </c:strRef>
          </c:cat>
          <c:val>
            <c:numRef>
              <c:f>Hoja1!$B$2</c:f>
              <c:numCache>
                <c:formatCode>#,##0</c:formatCode>
                <c:ptCount val="1"/>
                <c:pt idx="0">
                  <c:v>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24.8</c:v>
                </c:pt>
                <c:pt idx="1">
                  <c:v>29.9</c:v>
                </c:pt>
                <c:pt idx="2">
                  <c:v>11.6</c:v>
                </c:pt>
                <c:pt idx="3">
                  <c:v>11.2</c:v>
                </c:pt>
                <c:pt idx="4">
                  <c:v>34.3</c:v>
                </c:pt>
                <c:pt idx="5">
                  <c:v>114.9</c:v>
                </c:pt>
                <c:pt idx="6">
                  <c:v>179.4</c:v>
                </c:pt>
                <c:pt idx="7">
                  <c:v>35.2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53.7</c:v>
                </c:pt>
                <c:pt idx="1">
                  <c:v>53.7</c:v>
                </c:pt>
                <c:pt idx="2">
                  <c:v>23.7</c:v>
                </c:pt>
                <c:pt idx="3">
                  <c:v>1.9</c:v>
                </c:pt>
                <c:pt idx="4">
                  <c:v>44.2</c:v>
                </c:pt>
                <c:pt idx="5">
                  <c:v>55.3</c:v>
                </c:pt>
                <c:pt idx="6">
                  <c:v>69.5</c:v>
                </c:pt>
                <c:pt idx="7">
                  <c:v>82.1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0</c:v>
                </c:pt>
                <c:pt idx="3">
                  <c:v>0</c:v>
                </c:pt>
                <c:pt idx="4">
                  <c:v>0</c:v>
                </c:pt>
                <c:pt idx="5">
                  <c:v>0</c:v>
                </c:pt>
                <c:pt idx="6">
                  <c:v>0</c:v>
                </c:pt>
                <c:pt idx="7">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3</c:v>
                </c:pt>
                <c:pt idx="1">
                  <c:v>9</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Familie Kronseder Konsortium GbR (pool familiar Kronseder: Harald, Gunther, Leopold Kronseder, Nora Diepold, VMAX Familienstiftung, Harald Kronseder Holding GmbH y Beteiligungsgesellschaft Kronseder mbH)</c:v>
                </c:pt>
                <c:pt idx="1">
                  <c:v>Familia Schadeberg (Barbara Lambrecht-Schadeberg, Bernhard Schadeberg y Petra Schadeberg-Herrmann)</c:v>
                </c:pt>
                <c:pt idx="2">
                  <c:v>Swedbank Robur Fonder AB</c:v>
                </c:pt>
                <c:pt idx="3">
                  <c:v>Autocartera</c:v>
                </c:pt>
              </c:strCache>
            </c:strRef>
          </c:cat>
          <c:val>
            <c:numRef>
              <c:f>Hoja1!$B$2:$B$5</c:f>
              <c:numCache>
                <c:formatCode>0.0"%"</c:formatCode>
                <c:ptCount val="4"/>
                <c:pt idx="0">
                  <c:v>51.9</c:v>
                </c:pt>
                <c:pt idx="1">
                  <c:v>5.8</c:v>
                </c:pt>
                <c:pt idx="2">
                  <c:v>2.95</c:v>
                </c:pt>
                <c:pt idx="3">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33.7</c:v>
                </c:pt>
                <c:pt idx="1">
                  <c:v>-40.2</c:v>
                </c:pt>
                <c:pt idx="2">
                  <c:v>2.4</c:v>
                </c:pt>
                <c:pt idx="3">
                  <c:v>-0.8</c:v>
                </c:pt>
                <c:pt idx="4">
                  <c:v>45.3</c:v>
                </c:pt>
                <c:pt idx="5">
                  <c:v>11.3</c:v>
                </c:pt>
                <c:pt idx="6">
                  <c:v>8.2</c:v>
                </c:pt>
                <c:pt idx="7">
                  <c:v>9.2</c:v>
                </c:pt>
                <c:pt idx="8">
                  <c:v>15.3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17.4</c:v>
                </c:pt>
                <c:pt idx="1">
                  <c:v>-18.4</c:v>
                </c:pt>
                <c:pt idx="2">
                  <c:v>30.3</c:v>
                </c:pt>
                <c:pt idx="3">
                  <c:v>8.2</c:v>
                </c:pt>
                <c:pt idx="4">
                  <c:v>13.2</c:v>
                </c:pt>
                <c:pt idx="5">
                  <c:v>-29.1</c:v>
                </c:pt>
                <c:pt idx="6">
                  <c:v>7.9</c:v>
                </c:pt>
                <c:pt idx="7">
                  <c:v>-6.5</c:v>
                </c:pt>
                <c:pt idx="8">
                  <c:v>19.1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0.0"x"</c:formatCode>
                <c:ptCount val="9"/>
                <c:pt idx="1">
                  <c:v>6.3</c:v>
                </c:pt>
                <c:pt idx="2">
                  <c:v>8.4</c:v>
                </c:pt>
                <c:pt idx="3">
                  <c:v>9.7</c:v>
                </c:pt>
                <c:pt idx="4">
                  <c:v>9.3</c:v>
                </c:pt>
                <c:pt idx="5">
                  <c:v>7.4</c:v>
                </c:pt>
                <c:pt idx="6">
                  <c:v>7</c:v>
                </c:pt>
                <c:pt idx="7">
                  <c:v>6.5</c:v>
                </c:pt>
                <c:pt idx="8">
                  <c:v>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0.0"x"</c:formatCode>
                <c:ptCount val="9"/>
                <c:pt idx="0">
                  <c:v>7.2</c:v>
                </c:pt>
                <c:pt idx="1">
                  <c:v>7.2</c:v>
                </c:pt>
                <c:pt idx="2">
                  <c:v>7.2</c:v>
                </c:pt>
                <c:pt idx="3">
                  <c:v>7.2</c:v>
                </c:pt>
                <c:pt idx="4">
                  <c:v>7.2</c:v>
                </c:pt>
                <c:pt idx="5">
                  <c:v>7.2</c:v>
                </c:pt>
                <c:pt idx="6">
                  <c:v>7.2</c:v>
                </c:pt>
                <c:pt idx="7">
                  <c:v>7.2</c:v>
                </c:pt>
                <c:pt idx="8">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Krones</c:v>
                </c:pt>
                <c:pt idx="1">
                  <c:v>GEA Group</c:v>
                </c:pt>
                <c:pt idx="2">
                  <c:v>SIG Group</c:v>
                </c:pt>
                <c:pt idx="3">
                  <c:v>Tomra Systems</c:v>
                </c:pt>
                <c:pt idx="4">
                  <c:v>JBT Marel</c:v>
                </c:pt>
                <c:pt idx="5">
                  <c:v>Alfa Laval</c:v>
                </c:pt>
                <c:pt idx="6">
                  <c:v>Bucher Industries</c:v>
                </c:pt>
                <c:pt idx="7">
                  <c:v>Interroll</c:v>
                </c:pt>
              </c:strCache>
            </c:strRef>
          </c:cat>
          <c:val>
            <c:numRef>
              <c:f>Hoja1!$B$2:$B$9</c:f>
              <c:numCache>
                <c:formatCode>0.0"x"</c:formatCode>
                <c:ptCount val="8"/>
                <c:pt idx="0">
                  <c:v>4.8</c:v>
                </c:pt>
                <c:pt idx="1">
                  <c:v>9.9</c:v>
                </c:pt>
                <c:pt idx="2">
                  <c:v>9.1</c:v>
                </c:pt>
                <c:pt idx="3">
                  <c:v>8.6</c:v>
                </c:pt>
                <c:pt idx="4">
                  <c:v>9.6</c:v>
                </c:pt>
                <c:pt idx="5">
                  <c:v>14.8</c:v>
                </c:pt>
                <c:pt idx="6">
                  <c:v>8.5</c:v>
                </c:pt>
                <c:pt idx="7">
                  <c:v>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Krones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4.7</c:v>
                </c:pt>
              </c:numCache>
            </c:numRef>
          </c:xVal>
          <c:yVal>
            <c:numRef>
              <c:f>Hoja1!$C$2</c:f>
              <c:numCache>
                <c:formatCode>0.0"x"</c:formatCode>
                <c:ptCount val="1"/>
                <c:pt idx="0">
                  <c:v>4.8</c:v>
                </c:pt>
              </c:numCache>
            </c:numRef>
          </c:yVal>
          <c:smooth val="0"/>
        </c:ser>
        <c:ser>
          <c:idx val="1"/>
          <c:order val="1"/>
          <c:tx>
            <c:strRef>
              <c:f>Hoja1!$A$3</c:f>
              <c:strCache>
                <c:ptCount val="1"/>
                <c:pt idx="0">
                  <c:v>GEA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5.7</c:v>
                </c:pt>
              </c:numCache>
            </c:numRef>
          </c:xVal>
          <c:yVal>
            <c:numRef>
              <c:f>Hoja1!$C$3</c:f>
              <c:numCache>
                <c:formatCode>0.0"x"</c:formatCode>
                <c:ptCount val="1"/>
                <c:pt idx="0">
                  <c:v>9.9</c:v>
                </c:pt>
              </c:numCache>
            </c:numRef>
          </c:yVal>
          <c:smooth val="0"/>
        </c:ser>
        <c:ser>
          <c:idx val="2"/>
          <c:order val="2"/>
          <c:tx>
            <c:strRef>
              <c:f>Hoja1!$A$4</c:f>
              <c:strCache>
                <c:ptCount val="1"/>
                <c:pt idx="0">
                  <c:v>SIG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9.1</c:v>
                </c:pt>
              </c:numCache>
            </c:numRef>
          </c:yVal>
          <c:smooth val="0"/>
        </c:ser>
        <c:ser>
          <c:idx val="3"/>
          <c:order val="3"/>
          <c:tx>
            <c:strRef>
              <c:f>Hoja1!$A$5</c:f>
              <c:strCache>
                <c:ptCount val="1"/>
                <c:pt idx="0">
                  <c:v>Tomra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15.1</c:v>
                </c:pt>
              </c:numCache>
            </c:numRef>
          </c:xVal>
          <c:yVal>
            <c:numRef>
              <c:f>Hoja1!$C$5</c:f>
              <c:numCache>
                <c:formatCode>0.0"x"</c:formatCode>
                <c:ptCount val="1"/>
                <c:pt idx="0">
                  <c:v>8.6</c:v>
                </c:pt>
              </c:numCache>
            </c:numRef>
          </c:yVal>
          <c:smooth val="0"/>
        </c:ser>
        <c:ser>
          <c:idx val="4"/>
          <c:order val="4"/>
          <c:tx>
            <c:strRef>
              <c:f>Hoja1!$A$6</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5.3</c:v>
                </c:pt>
              </c:numCache>
            </c:numRef>
          </c:xVal>
          <c:yVal>
            <c:numRef>
              <c:f>Hoja1!$C$6</c:f>
              <c:numCache>
                <c:formatCode>0.0"x"</c:formatCode>
                <c:ptCount val="1"/>
                <c:pt idx="0">
                  <c:v>9.6</c:v>
                </c:pt>
              </c:numCache>
            </c:numRef>
          </c:yVal>
          <c:smooth val="0"/>
        </c:ser>
        <c:ser>
          <c:idx val="5"/>
          <c:order val="5"/>
          <c:tx>
            <c:strRef>
              <c:f>Hoja1!$A$7</c:f>
              <c:strCache>
                <c:ptCount val="1"/>
                <c:pt idx="0">
                  <c:v>Alfa Laval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9.1</c:v>
                </c:pt>
              </c:numCache>
            </c:numRef>
          </c:xVal>
          <c:yVal>
            <c:numRef>
              <c:f>Hoja1!$C$7</c:f>
              <c:numCache>
                <c:formatCode>0.0"x"</c:formatCode>
                <c:ptCount val="1"/>
                <c:pt idx="0">
                  <c:v>14.8</c:v>
                </c:pt>
              </c:numCache>
            </c:numRef>
          </c:yVal>
          <c:smooth val="0"/>
        </c:ser>
        <c:ser>
          <c:idx val="6"/>
          <c:order val="6"/>
          <c:tx>
            <c:strRef>
              <c:f>Hoja1!$A$8</c:f>
              <c:strCache>
                <c:ptCount val="1"/>
                <c:pt idx="0">
                  <c:v>Bucher Industries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c:v>
                </c:pt>
              </c:numCache>
            </c:numRef>
          </c:xVal>
          <c:yVal>
            <c:numRef>
              <c:f>Hoja1!$C$8</c:f>
              <c:numCache>
                <c:formatCode>0.0"x"</c:formatCode>
                <c:ptCount val="1"/>
                <c:pt idx="0">
                  <c:v>8.5</c:v>
                </c:pt>
              </c:numCache>
            </c:numRef>
          </c:yVal>
          <c:smooth val="0"/>
        </c:ser>
        <c:ser>
          <c:idx val="7"/>
          <c:order val="7"/>
          <c:tx>
            <c:strRef>
              <c:f>Hoja1!$A$9</c:f>
              <c:strCache>
                <c:ptCount val="1"/>
                <c:pt idx="0">
                  <c:v>Interroll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9.8</c:v>
                </c:pt>
              </c:numCache>
            </c:numRef>
          </c:xVal>
          <c:yVal>
            <c:numRef>
              <c:f>Hoja1!$C$9</c:f>
              <c:numCache>
                <c:formatCode>0.0"x"</c:formatCode>
                <c:ptCount val="1"/>
                <c:pt idx="0">
                  <c:v>7.8</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Netstal Maschinen AG (máquinas de inyección para preformas y tapones, Suiza)</c:v>
                </c:pt>
                <c:pt idx="1">
                  <c:v>Marel hf. (equipos de procesado de alimentos, Islandia)</c:v>
                </c:pt>
                <c:pt idx="2">
                  <c:v>Wenger Manufacturing (extrusoras para alimentos y piensos, EE. UU.)</c:v>
                </c:pt>
                <c:pt idx="3">
                  <c:v>Scholle IPN (envases flexibles bag-in-box y spouted pouch)</c:v>
                </c:pt>
                <c:pt idx="4">
                  <c:v>Welbilt, Inc. (equipos para cocinas profesionales, EE. UU.)</c:v>
                </c:pt>
              </c:strCache>
            </c:strRef>
          </c:cat>
          <c:val>
            <c:numRef>
              <c:f>Hoja1!$B$2:$B$6</c:f>
              <c:numCache>
                <c:formatCode>0.0"x"</c:formatCode>
                <c:ptCount val="5"/>
                <c:pt idx="1">
                  <c:v>19.9</c:v>
                </c:pt>
                <c:pt idx="2">
                  <c:v>14</c:v>
                </c:pt>
                <c:pt idx="3">
                  <c:v>15.1</c:v>
                </c:pt>
                <c:pt idx="4">
                  <c:v>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152</c:v>
                </c:pt>
                <c:pt idx="1">
                  <c:v>232</c:v>
                </c:pt>
                <c:pt idx="2">
                  <c:v>258</c:v>
                </c:pt>
                <c:pt idx="3">
                  <c:v>282</c:v>
                </c:pt>
                <c:pt idx="4">
                  <c:v>293</c:v>
                </c:pt>
                <c:pt idx="5">
                  <c:v>302</c:v>
                </c:pt>
                <c:pt idx="6">
                  <c:v>309</c:v>
                </c:pt>
                <c:pt idx="7">
                  <c:v>310</c:v>
                </c:pt>
                <c:pt idx="8">
                  <c:v>316</c:v>
                </c:pt>
                <c:pt idx="9">
                  <c:v>318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1779</c:v>
                </c:pt>
                <c:pt idx="1">
                  <c:v>2139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104,00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78.3</c:v>
                </c:pt>
                <c:pt idx="1">
                  <c:v>127.88</c:v>
                </c:pt>
                <c:pt idx="2">
                  <c:v>170.32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104,00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Hoja1!$B$2:$B$9</c:f>
              <c:numCache>
                <c:formatCode>#,##0</c:formatCode>
                <c:ptCount val="8"/>
                <c:pt idx="0">
                  <c:v>103.8</c:v>
                </c:pt>
                <c:pt idx="1">
                  <c:v>105</c:v>
                </c:pt>
                <c:pt idx="2">
                  <c:v>184.02</c:v>
                </c:pt>
                <c:pt idx="3">
                  <c:v>181.47</c:v>
                </c:pt>
                <c:pt idx="4">
                  <c:v>115.42</c:v>
                </c:pt>
                <c:pt idx="5">
                  <c:v>78.3</c:v>
                </c:pt>
                <c:pt idx="6">
                  <c:v>144.45</c:v>
                </c:pt>
                <c:pt idx="7">
                  <c:v>103.48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(103,80 – 144,20)</c:v>
                </c:pt>
                <c:pt idx="1">
                  <c:v>Precio objetivo de los analistas (105,00 – 191,00)</c:v>
                </c:pt>
                <c:pt idx="2">
                  <c:v>Comparables: EV/EBITDA NTM (184,02 – 209,31)</c:v>
                </c:pt>
                <c:pt idx="3">
                  <c:v>Comparables: PER NTM (181,47 – 206,39)</c:v>
                </c:pt>
                <c:pt idx="4">
                  <c:v>DCF (WACC y g ± 0,5) (115,42 – 144,47)</c:v>
                </c:pt>
                <c:pt idx="5">
                  <c:v>Escenarios (bajista – alcista) (78,30 – 170,32)</c:v>
                </c:pt>
                <c:pt idx="6">
                  <c:v>DCF con la prima implícita del mercado (4,2 %)</c:v>
                </c:pt>
                <c:pt idx="7">
                  <c:v>Precio actual (104,00)</c:v>
                </c:pt>
              </c:strCache>
            </c:strRef>
          </c:cat>
          <c:val>
            <c:numRef>
              <c:f>Hoja1!$C$2:$C$9</c:f>
              <c:numCache>
                <c:formatCode>#,##0</c:formatCode>
                <c:ptCount val="8"/>
                <c:pt idx="0">
                  <c:v>40.39999999999999</c:v>
                </c:pt>
                <c:pt idx="1">
                  <c:v>86</c:v>
                </c:pt>
                <c:pt idx="2">
                  <c:v>25.289999999999992</c:v>
                </c:pt>
                <c:pt idx="3">
                  <c:v>24.919999999999987</c:v>
                </c:pt>
                <c:pt idx="4">
                  <c:v>29.049999999999997</c:v>
                </c:pt>
                <c:pt idx="5">
                  <c:v>92.02</c:v>
                </c:pt>
                <c:pt idx="6">
                  <c:v>27.700000000000017</c:v>
                </c:pt>
                <c:pt idx="7">
                  <c:v>1.039999999999992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