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TOMRA Systems ASA</w:t>
      </w:r>
    </w:p>
    <w:p>
      <w:pPr>
        <w:spacing w:after="60"/>
        <w:rPr>
          <w:color w:val="52514E"/>
          <w:sz w:val="22"/>
          <w:szCs w:val="22"/>
        </w:rPr>
      </w:pPr>
      <w:r>
        <w:rPr>
          <w:color w:val="52514E"/>
          <w:sz w:val="22"/>
          <w:szCs w:val="22"/>
        </w:rPr>
        <w:t xml:space="preserve">TOM · Euronext Oslo Børs · ISIN NO0012470089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9,03 EUR (94,50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13,01 EUR (136,17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+46,3 % (base +27,9 %)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7,57 EUR (79,23 NOK) · mercado 9,19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2.670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TOMRA Systems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 / NO0012470089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(equipos de recogida y clasificación por sensores)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Asker (Noruega)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www.tomra.com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9,03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8,48 – 13,33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 M EUR/día (600.074 acciones; 3 meses a 23-oct-2026)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13,01 EUR (136,17 NOK)</w:t>
      </w:r>
      <w:r>
        <w:t xml:space="preserve"> frente a 9,03 (94,50 NOK) · Rentabilidad a 12 meses </w:t>
      </w:r>
      <w:r>
        <w:rPr>
          <w:b/>
          <w:bCs/>
        </w:rPr>
        <w:t xml:space="preserve">+46,3 % (base +27,9 %)</w:t>
      </w:r>
      <w:r>
        <w:t xml:space="preserve"> · Valor intrínseco 7,57 EUR (79,23 NOK) · con la prima implícita del mercado: 9,19 (96,19 NOK) (+1,8 %) · Alcista / bajista +17,3 % / -58,6 %</w:t>
      </w:r>
    </w:p>
    <w:p>
      <w:pPr>
        <w:spacing w:after="100"/>
      </w:pPr>
      <w:r>
        <w:rPr>
          <w:b/>
        </w:rPr>
        <w:t xml:space="preserve">La recomendación y por qué.</w:t>
      </w:r>
      <w:r>
        <w:t xml:space="preserve"> Mantener, con convicción baja. El valor intrínseco es de 7,57 EUR (79,23 NOK) frente a un cierre de 9,03 EUR (94,50 NOK, 23-oct): −16,2 %. Las reglas discrepan: con nuestro WACC del 8,68 % sale Vender; con la prima que hoy pide el mercado (4,20 %) el objetivo es de 9,19 EUR (96,19 NOK) y sale Mantener. A 12 meses, nuestro PER por nuestro BPA de 2028e da 13,01 EUR ponderado (+46,3 %) y 11,35 EUR en el base (+27,9 %), pero el valor intrínseco por debajo del precio impide comprar. La convicción es baja porque todo depende de la tasa y del Reino Unido; subiría con cadenas británicas adjudicadas por encima de lo previsto y un margen bruto de Collection estable sobre el 40 %.</w:t>
      </w:r>
    </w:p>
    <w:p>
      <w:pPr>
        <w:spacing w:after="100"/>
      </w:pPr>
      <w:r>
        <w:rPr>
          <w:b/>
        </w:rPr>
        <w:t xml:space="preserve">Qué ha cambiado desde el 8-oct.</w:t>
      </w:r>
      <w:r>
        <w:t xml:space="preserve"> El 3T26 batió al consenso: ingresos de 366 M (+20 %) frente a 347 M y EBITA ajustado de 47 M frente a 41 M; el flujo operativo subió a 112 M y la deuda bajó a 2,1 veces el EBITDA [11, 14]. Pero la guía del 4T de Collection (193-213 M frente a 207 M) habla de «normalización» y la acción cerró el día con solo un +1,5 % [12, 82]. Nuestro valor intrínseco baja de 8,10 a 7,57 EUR sobre todo por tres correcciones de método, no por el trimestre: la beta se reapalanca con la deuda de hoy (1,20 frente a 1,10), lo que sube el WACC al 8,68 % pese al Bund más bajo (3,39 %); la suma de partes sigue ahora al DCF limitado (7,72 frente a 8,86 EUR); y el circulante va a su nivel real, el 28 %.</w:t>
      </w:r>
    </w:p>
    <w:p>
      <w:pPr>
        <w:spacing w:after="100"/>
      </w:pPr>
      <w:r>
        <w:rPr>
          <w:b/>
        </w:rPr>
        <w:t xml:space="preserve">El negocio.</w:t>
      </w:r>
      <w:r>
        <w:t xml:space="preserve"> Collection, las máquinas de devolución de envases, es el 56 % de las ventas y el grueso del beneficio, con un 61 % de ingresos de servicio, throughput y material [18]. Tiene 91.900 máquinas frente a 13.000 de Envipco, que pierde dinero [19]. Recycling y Food son cíclicos. El ROIC cayó del 15,0 % en 2021 al 9,8 %, solo 1,1 puntos sobre el WACC.</w:t>
      </w:r>
    </w:p>
    <w:p>
      <w:pPr>
        <w:spacing w:after="100"/>
      </w:pPr>
      <w:r>
        <w:rPr>
          <w:b/>
        </w:rPr>
        <w:t xml:space="preserve">Sector y ciclo.</w:t>
      </w:r>
      <w:r>
        <w:t xml:space="preserve"> El Reino Unido arranca el 1-oct-2027 con unas 25.000 máquinas en la primera fase; Tomra tiene ~3.900 adjudicadas y una carta de intenciones por ~2.000 [12, 30]. Alemania renueva su parque hasta 2029 y el PPWR obliga a implantar el depósito en la UE desde 2029 [18]. Cada pico es temporal: tras el de 2024, Collection cayó un 4 % en 2025 [18].</w:t>
      </w:r>
    </w:p>
    <w:p>
      <w:pPr>
        <w:spacing w:after="100"/>
      </w:pPr>
      <w:r>
        <w:rPr>
          <w:b/>
        </w:rPr>
        <w:t xml:space="preserve">Finanzas.</w:t>
      </w:r>
      <w:r>
        <w:t xml:space="preserve"> 2026e queda en 1.480 M de ingresos (+12,3 %) y un margen EBITDA del 18,2 %. La deuda neta ajustada es de 629 M y Scope tiene a Tomra en BBB+ [8, 11].</w:t>
      </w:r>
    </w:p>
    <w:p>
      <w:pPr>
        <w:spacing w:after="100"/>
      </w:pPr>
      <w:r>
        <w:rPr>
          <w:b/>
        </w:rPr>
        <w:t xml:space="preserve">Equipo y gobierno.</w:t>
      </w:r>
      <w:r>
        <w:t xml:space="preserve"> Resta. Latour (21,08 %) preside el consejo, el 53 % del capital libre votó contra la remuneración y el incentivo a largo plazo solo mide el BPA [1, 31, 32].</w:t>
      </w:r>
    </w:p>
    <w:p>
      <w:pPr>
        <w:spacing w:after="100"/>
      </w:pPr>
      <w:r>
        <w:rPr>
          <w:b/>
        </w:rPr>
        <w:t xml:space="preserve">Valoración.</w:t>
      </w:r>
      <w:r>
        <w:t xml:space="preserve"> DCF 6,14 EUR, escenarios 6,65 y suma de partes 7,72; los comparables, 13,05, mezclan calidad con fabricantes de equipo. El DCF inverso pide un crecimiento del 13,3 % anual o un margen EBITDA del 24 %, frente al 5,3 % y el 20,3 % del base. ¿Es sostenible el crecimiento? En parte: al ROIC actual solo se financia un 2,1 % anual, así que el margen del caso base se limita al que devuelve el ROIC a su máximo de 2021.</w:t>
      </w:r>
    </w:p>
    <w:p>
      <w:pPr>
        <w:spacing w:after="100"/>
      </w:pPr>
      <w:r>
        <w:rPr>
          <w:b/>
        </w:rPr>
        <w:t xml:space="preserve">Riesgos y catalizadores.</w:t>
      </w:r>
      <w:r>
        <w:t xml:space="preserve"> El hueco tras el pico británico (bajista de 3,74 EUR) y el margen de producto (−12,7 % por punto). Capital Markets Day el 24-nov y 4T26 el 12-feb-2027 [86].</w:t>
      </w:r>
    </w:p>
    <w:p>
      <w:pPr>
        <w:spacing w:after="100"/>
      </w:pPr>
      <w:r>
        <w:rPr>
          <w:b/>
        </w:rPr>
        <w:t xml:space="preserve">Qué cambiaría la decisión.</w:t>
      </w:r>
      <w:r>
        <w:t xml:space="preserve"> Compraríamos por debajo de 7,57 EUR (79,23 NOK) y venderíamos por encima de 14,67 EUR (153,54 NOK). La convicción bajaría con un margen bruto de Collection por debajo del 40 % o una deuda de nuevo por encima de 2,5 veces el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13,01 EUR (136,17 NOK)</w:t>
      </w:r>
      <w:r>
        <w:t xml:space="preserve"> (rentabilidad +46,3 % (base +27,9 %)) · Valor intrínseco: 7,57 EUR (79,23 NOK) (-16,2 % sobre 9,03) · con la prima implícita del mercado: 9,19 (96,19 NOK) (+1,8 %)</w:t>
      </w:r>
    </w:p>
    <w:p>
      <w:pPr>
        <w:spacing w:after="100"/>
      </w:pPr>
      <w:r>
        <w:t xml:space="preserve">Tomra es el líder mundial en máquinas de devolución de envases: 91.900 instaladas, siete veces las de Envipco, su único rival cotizado [18, 19]. Collection factura el 61 % en servicio, throughput y material, y la regulación le abre mercados nuevos cada año: Polonia en 2025, Portugal y Singapur en 2026, el Reino Unido en 2027 y la UE entera con el PPWR desde 2029 [4, 12, 18]. Recycling y Food, clasificadoras por sensores, aportan tecnología y ciclo.</w:t>
      </w:r>
    </w:p>
    <w:p>
      <w:pPr>
        <w:spacing w:after="100"/>
      </w:pPr>
      <w:r>
        <w:t xml:space="preserve">El precio, 9,03 EUR, descuenta más que nuestro caso base. Según el DCF inverso, supone un crecimiento del 13,3 % anual hasta 2035 o un margen EBITDA del 24 %, con una rentabilidad implícita del 7,2 %, por debajo de nuestro WACC del 8,68 %. Cotiza a 11,1 veces el EBITDA de los últimos 12 meses, un 29 % menos que su media de cinco años, y a 9,5 veces el de los próximos 12 meses. El 3T26 demostró que el capital de 2024-2025 empieza a rendir (EBITA ajustado +55 %, flujo operativo +75 %) [11], pero la guía del 4T enfrió la lectura.</w:t>
      </w:r>
    </w:p>
    <w:p>
      <w:pPr>
        <w:spacing w:after="100"/>
      </w:pPr>
      <w:r>
        <w:t xml:space="preserve">Para invertir hay que creer dos cosas. Primero, que el Reino Unido llena 2027-2028 sin destrozar el margen de producto. Segundo, que el ROIC vuelve al 15 % de 2021 y no se queda en el 9,8 %. Aun creyéndolas, nuestro valor intrínseco queda un 16,2 % por debajo del precio: la tesis solo funciona con la tasa que hoy pide el mercado o con el múltiplo de los próximos 12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 EUR (136,17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 × 0,35 = 7,10 · 25,5x × 0,45 = 11,35 · 34,5x × 0,64 = 22,22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 / 27,9 %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 (nuestro base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EUR (79,23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(NOK al tipo de 0,0955 EUR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 EUR (94,50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 / -58,6 %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8,7 %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 EUR (96,19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(6,0 % anual proyectado; financiable al ROIC actual: 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7,57 (79,23 NOK)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7,57 y 14,67 (79,23 y 153,54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14,67 (153,54 NOK)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7,57 EUR (79,23 NOK), pasaríamos a Comprar; por encima de 14,67 EUR (153,54 NOK), a Vender.</w:t>
      </w:r>
    </w:p>
    <w:p>
      <w:pPr>
        <w:pStyle w:val="ListParagraph"/>
        <w:numPr>
          <w:ilvl w:val="0"/>
          <w:numId w:val="2"/>
        </w:numPr>
        <w:spacing w:after="60"/>
      </w:pPr>
      <w:r>
        <w:t xml:space="preserve">Si el margen bruto de Collection queda por debajo del 40 % en el 4T26 o el 1T27, bajaríamos el caso base.</w:t>
      </w:r>
    </w:p>
    <w:p>
      <w:pPr>
        <w:pStyle w:val="ListParagraph"/>
        <w:numPr>
          <w:ilvl w:val="0"/>
          <w:numId w:val="2"/>
        </w:numPr>
        <w:spacing w:after="60"/>
      </w:pPr>
      <w:r>
        <w:t xml:space="preserve">Si la deuda neta vuelve a superar 2,5 veces el EBITDA o el patrimonio baja del 32 % del activo, bajaríamos el caso base.</w:t>
      </w:r>
    </w:p>
    <w:p>
      <w:pPr>
        <w:pStyle w:val="ListParagraph"/>
        <w:numPr>
          <w:ilvl w:val="0"/>
          <w:numId w:val="2"/>
        </w:numPr>
        <w:spacing w:after="60"/>
      </w:pPr>
      <w:r>
        <w:t xml:space="preserve">Si Tomra gana cadenas británicas por encima de las ~5.900 máquinas entre adjudicadas y carta de intenciones, subiríamos la convicción.</w:t>
      </w:r>
    </w:p>
    <w:p>
      <w:pPr>
        <w:pStyle w:val="ListParagraph"/>
        <w:numPr>
          <w:ilvl w:val="0"/>
          <w:numId w:val="2"/>
        </w:numPr>
        <w:spacing w:after="60"/>
      </w:pPr>
      <w:r>
        <w:t xml:space="preserve">Si el Capital Markets Day del 24-nov cambia el incentivo a largo plazo a ROCE y fija objetivos por división creíbles,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13,3 % anual o un margen EBITDA del 24 %, con una rentabilidad del 7,2 %. Es más que nuestro caso base, que ya queda un 13,1 % por debajo del EBITDA del consenso para 2027. Los analistas son más optimistas aún: 6 de 9 recomiendan comprar, con un objetivo medio de 11,77 EUR (123,19 NOK) [57, 74].</w:t>
      </w:r>
    </w:p>
    <w:p>
      <w:pPr>
        <w:keepNext/>
        <w:spacing w:after="100"/>
      </w:pPr>
      <w:r>
        <w:rPr>
          <w:b/>
          <w:bCs/>
        </w:rPr>
        <w:t xml:space="preserve">Lo que creemos nosotros.</w:t>
      </w:r>
    </w:p>
    <w:p>
      <w:pPr>
        <w:spacing w:after="100"/>
      </w:pPr>
      <w:r>
        <w:t xml:space="preserve">Compartimos el escepticismo sobre los objetivos de la dirección: el margen del caso base se limita por sostenibilidad y el bajista recoge un hueco tras el pico británico como el de 2025. El 3T26 fue bueno, pero buena parte del crecimiento vino de conversiones puntuales en los mercados existentes que la propia guía del 4T no repite.</w:t>
      </w:r>
    </w:p>
    <w:p>
      <w:pPr>
        <w:keepNext/>
        <w:spacing w:after="100"/>
      </w:pPr>
      <w:r>
        <w:rPr>
          <w:b/>
          <w:bCs/>
        </w:rPr>
        <w:t xml:space="preserve">Por qué podemos tener razón.</w:t>
      </w:r>
    </w:p>
    <w:p>
      <w:pPr>
        <w:spacing w:after="100"/>
      </w:pPr>
      <w:r>
        <w:t xml:space="preserve">Porque el ROIC incremental de 2021-2025 es negativo y un trimestre no lo cambia; porque la cartera de Food cae un 20 % y los pedidos de Recycling llevan 26 M extraordinarios de Mining [11]; y porque, con la deuda de hoy, la beta reapalancada sube el coste del capital. Lo que no discutimos es el foso de Collection: la diferencia es de tasa y de cuánto margen deja el Reino Unido, no de calidad del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9,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Base instalada dominante</w:t>
      </w:r>
      <w:r>
        <w:t xml:space="preserve">: 91.900 máquinas frente a 13.000 de Envipco, con un margen bruto 8 puntos mayor [18, 19].</w:t>
      </w:r>
    </w:p>
    <w:p>
      <w:pPr>
        <w:pStyle w:val="ListParagraph"/>
        <w:numPr>
          <w:ilvl w:val="0"/>
          <w:numId w:val="2"/>
        </w:numPr>
        <w:spacing w:after="60"/>
      </w:pPr>
      <w:r>
        <w:rPr>
          <w:b/>
        </w:rPr>
        <w:t xml:space="preserve">El 3T26 batió</w:t>
      </w:r>
      <w:r>
        <w:t xml:space="preserve">: ingresos +20 % y EBITA ajustado de 47 M frente a 41 M esperados; flujo operativo de 112 M [11, 14].</w:t>
      </w:r>
    </w:p>
    <w:p>
      <w:pPr>
        <w:pStyle w:val="ListParagraph"/>
        <w:numPr>
          <w:ilvl w:val="0"/>
          <w:numId w:val="2"/>
        </w:numPr>
        <w:spacing w:after="60"/>
      </w:pPr>
      <w:r>
        <w:rPr>
          <w:b/>
        </w:rPr>
        <w:t xml:space="preserve">Calendario regulatorio con fechas</w:t>
      </w:r>
      <w:r>
        <w:t xml:space="preserve">: Reino Unido el 1-oct-2027 (~25.000 máquinas en la primera fase), renovación alemana hasta 2029 y el PPWR en toda la UE desde 2029 [12, 18].</w:t>
      </w:r>
    </w:p>
    <w:p>
      <w:pPr>
        <w:pStyle w:val="ListParagraph"/>
        <w:numPr>
          <w:ilvl w:val="0"/>
          <w:numId w:val="2"/>
        </w:numPr>
        <w:spacing w:after="60"/>
      </w:pPr>
      <w:r>
        <w:rPr>
          <w:b/>
        </w:rPr>
        <w:t xml:space="preserve">Deuda a la baja</w:t>
      </w:r>
      <w:r>
        <w:t xml:space="preserve">: de 2,5 a 2,1 veces el EBITDA en un trimestre, con 135 M de líneas sin disponer [11].</w:t>
      </w:r>
    </w:p>
    <w:p>
      <w:pPr>
        <w:pStyle w:val="ListParagraph"/>
        <w:numPr>
          <w:ilvl w:val="0"/>
          <w:numId w:val="2"/>
        </w:numPr>
        <w:spacing w:after="60"/>
      </w:pPr>
      <w:r>
        <w:rPr>
          <w:b/>
        </w:rPr>
        <w:t xml:space="preserve">Valoración baja frente a su historia</w:t>
      </w:r>
      <w:r>
        <w:t xml:space="preserve">: 11,1 veces el EBITDA de los últimos 12 meses frente a una media de 15,7 veces en cinco años.</w:t>
      </w:r>
    </w:p>
    <w:p>
      <w:pPr>
        <w:pStyle w:val="Heading2"/>
      </w:pPr>
      <w:r>
        <w:t xml:space="preserve">En contra</w:t>
      </w:r>
    </w:p>
    <w:p>
      <w:pPr>
        <w:pStyle w:val="ListParagraph"/>
        <w:numPr>
          <w:ilvl w:val="0"/>
          <w:numId w:val="2"/>
        </w:numPr>
        <w:spacing w:after="60"/>
      </w:pPr>
      <w:r>
        <w:rPr>
          <w:b/>
        </w:rPr>
        <w:t xml:space="preserve">El ROIC se acerca al WACC</w:t>
      </w:r>
      <w:r>
        <w:t xml:space="preserve">: del 15,0 % en 2021 al 9,8 % en 2025, con un ROIC incremental del −1,1 % y un WACC del 8,68 %.</w:t>
      </w:r>
    </w:p>
    <w:p>
      <w:pPr>
        <w:pStyle w:val="ListParagraph"/>
        <w:numPr>
          <w:ilvl w:val="0"/>
          <w:numId w:val="2"/>
        </w:numPr>
        <w:spacing w:after="60"/>
      </w:pPr>
      <w:r>
        <w:rPr>
          <w:b/>
        </w:rPr>
        <w:t xml:space="preserve">Picos temporales</w:t>
      </w:r>
      <w:r>
        <w:t xml:space="preserve">: los mercados nuevos bajaron de 69 M a 24 M entre el 2T26 y el 3T26, y la guía del 4T de Collection es plana [11, 12].</w:t>
      </w:r>
    </w:p>
    <w:p>
      <w:pPr>
        <w:pStyle w:val="ListParagraph"/>
        <w:numPr>
          <w:ilvl w:val="0"/>
          <w:numId w:val="2"/>
        </w:numPr>
        <w:spacing w:after="60"/>
      </w:pPr>
      <w:r>
        <w:rPr>
          <w:b/>
        </w:rPr>
        <w:t xml:space="preserve">Food y Recycling débiles por debajo</w:t>
      </w:r>
      <w:r>
        <w:t xml:space="preserve">: cartera de Food un 20 % más baja y pedidos de Recycling inflados por 26 M de Mining [11].</w:t>
      </w:r>
    </w:p>
    <w:p>
      <w:pPr>
        <w:pStyle w:val="ListParagraph"/>
        <w:numPr>
          <w:ilvl w:val="0"/>
          <w:numId w:val="2"/>
        </w:numPr>
        <w:spacing w:after="60"/>
      </w:pPr>
      <w:r>
        <w:rPr>
          <w:b/>
        </w:rPr>
        <w:t xml:space="preserve">Gobierno débil</w:t>
      </w:r>
      <w:r>
        <w:t xml:space="preserve">: Latour preside el consejo con el 21,08 % y el 53 % del capital libre votó contra la remuneración [1, 31, 32].</w:t>
      </w:r>
    </w:p>
    <w:p>
      <w:pPr>
        <w:pStyle w:val="ListParagraph"/>
        <w:numPr>
          <w:ilvl w:val="0"/>
          <w:numId w:val="2"/>
        </w:numPr>
        <w:spacing w:after="60"/>
      </w:pPr>
      <w:r>
        <w:rPr>
          <w:b/>
        </w:rPr>
        <w:t xml:space="preserve">Valor intrínseco bajo el precio</w:t>
      </w:r>
      <w:r>
        <w:t xml:space="preserve">: 7,57 EUR frente a 9,03 EUR; ni con la prima del mercado (9,19 EUR) hay recorrido.</w:t>
      </w:r>
    </w:p>
    <w:p>
      <w:pPr>
        <w:pStyle w:val="ListParagraph"/>
        <w:numPr>
          <w:ilvl w:val="0"/>
          <w:numId w:val="2"/>
        </w:numPr>
        <w:spacing w:after="60"/>
      </w:pPr>
      <w:r>
        <w:rPr>
          <w:b/>
        </w:rPr>
        <w:t xml:space="preserve">Bajistas en el capital</w:t>
      </w:r>
      <w:r>
        <w:t xml:space="preserve">: posiciones cortas del 3,48 %, frente al 0,69 % de hace un año [49].</w:t>
      </w:r>
    </w:p>
    <w:p>
      <w:pPr>
        <w:pStyle w:val="Heading2"/>
      </w:pPr>
      <w:r>
        <w:t xml:space="preserve">Qué tiene que pasar para que la tesis funcione</w:t>
      </w:r>
    </w:p>
    <w:p>
      <w:pPr>
        <w:spacing w:after="100"/>
      </w:pPr>
      <w:r>
        <w:t xml:space="preserve">La tesis depende de que el Reino Unido llene 2027 sin hundir el margen de producto y de que el capital de 2024-2025 siga rindiendo como en el 3T26. La señal de que no se cumple sería un margen bruto de Collection por debajo del 40 % (40,8 % en el 3T26), un 4T de Collection en la parte baja de 193-213 M o un Capital Markets Day que repita objetivos sin un plan para el capital invertido y la deuda.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Collection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de las máquinas en los mercados nuevos [11].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nuevos mercados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M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Reino Unido llena el hueco tras Polonia [11].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Recycling sin extraordinarios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M (3T26; 73 M con Mining)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dos o tres trimestres [11].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Food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M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un 20 % en un año; marca el crecimiento de 2027 [11].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covenant de patrimonio del 30 % [8, 11].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 (20-oct-26)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apuesta por más rebajas de estimaciones [49].</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TOMRA nace en 1972 en Noruega, fundada por la familia Planke, con la primera máquina de devolución de envases (RVM): a final de ese año tenía 29 instaladas [28]. Sale a bolsa en Oslo en 1985 y casi quiebra en su primera expansión en EE. UU. (pérdida antes de impuestos de 129,6 M NOK en 1986, beneficio de 10,3 M NOK en 1987) [28]. El sistema alemán de depósito para envases de un solo uso (2003) la convierte en un negocio de escala. Desde 2004 (TiTech) diversifica hacia la clasificación por sensores: reciclaje y minería primero, alimentos después con Odenberg (2011), BEST (2012), Compac (2016) y BBC Technologies (2018) [28]. Con Tove Andersen como consejera delegada desde agosto de 2021 [28], vuelve a reforzar la recogida: c-trace (80 %, octubre de 2024), los minoritarios de TOMRA Collection Australia y CLYNK (septiembre de 2025) [18], y en 2026 estudia vender TOMRA Mining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RVM autoprogramable (Tomra SP), que dispara el crecimiento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la expansión en EE. UU. lleva a una pérdida antes de impuestos de 129,6 M NOK en 1986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NEROC (manipulación de material): entrada en la cadena de valor posterior a la recogida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TiTech: entrada en la clasificación por sensores, origen de TOMRA Recycling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Commodas; Alemania implanta el depósito para envases de un solo uso (en vigor desde enero de 2003 según Reloop), el gran hito de la década [20,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Odenberg (2011) y BEST (2012): entrada en la clasificación de alimentos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Compac (2016) y BBC Technologies (2018): calibrado de fruta fresca, base de TOMRA Food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consejera delegada desde el 16 de agosto de 2021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c-trace (gestión digital de residuos, Alemania), dentro de TOMRA Horizon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CLYNK (devolución por bolsas en EE. UU.) y de los minoritarios de TOMRA Collection Australia; apertura de la planta de TOMRA Feedstock en Områ (Noruega); arranque del depósito en Austria y Polonia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reducción de costes en Recycling; estudia vender TOMRA Mining; Polonia se convierte en su segundo mercado de depósito de Europa [16, 17,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Polonia llega a ~7.500 máquinas y termina la primera fase; Singapur arranca el 1-abr; en el Reino Unido, tres cadenas eligen a Tomra (dos en julio, ~3.900 máquinas, y una carta de intenciones el 21-oct por unas 2.000) para el sistema que empieza el 1-oct-2027 [12, 30].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TOMRA vende tecnología de sensores para recoger, clasificar y aprovechar recursos. </w:t>
      </w:r>
      <w:r>
        <w:rPr>
          <w:b/>
        </w:rPr>
        <w:t xml:space="preserve">Collection</w:t>
      </w:r>
      <w:r>
        <w:t xml:space="preserve"> (741 M EUR en 2025, el 56 % del grupo) diseña, fabrica, vende o alquila y mantiene máquinas de devolución de envases (RVM) en mercados con depósito: más de 91.900 instalaciones en más de 60 mercados, que captan más de 53.000 M de envases al año; en algunos mercados también procesa el material y gestiona datos y compensación del sistema [4, 18]. </w:t>
      </w:r>
      <w:r>
        <w:rPr>
          <w:b/>
        </w:rPr>
        <w:t xml:space="preserve">Recycling</w:t>
      </w:r>
      <w:r>
        <w:t xml:space="preserve"> (218 M EUR) vende clasificadoras por sensores a recicladores, gestores de residuos y minas, con 11.900 máquinas instaladas en más de 100 países [18]. </w:t>
      </w:r>
      <w:r>
        <w:rPr>
          <w:b/>
        </w:rPr>
        <w:t xml:space="preserve">Food</w:t>
      </w:r>
      <w:r>
        <w:t xml:space="preserve"> (328 M EUR) vende clasificadoras y calibradoras a productores, centrales hortofrutícolas y procesadores, con ~16.100 unidades instaladas, centrada en nueve categorías (patata, frutos secos, arándanos, kiwi, cítricos, cerezas, manzanas, fruta y verdura procesadas) [4, 18]. </w:t>
      </w:r>
      <w:r>
        <w:rPr>
          <w:b/>
        </w:rPr>
        <w:t xml:space="preserve">Horizon</w:t>
      </w:r>
      <w:r>
        <w:t xml:space="preserve"> (32 M EUR) agrupa negocios nuevos: Feedstock, Reuse y c-trace [18]. Ingresos del grupo en 2025: 1.318 M EUR [18].</w:t>
      </w:r>
    </w:p>
    <w:p>
      <w:pPr>
        <w:pStyle w:val="Heading2"/>
      </w:pPr>
      <w:r>
        <w:t xml:space="preserve">Cómo gana dinero</w:t>
      </w:r>
    </w:p>
    <w:p>
      <w:pPr>
        <w:spacing w:after="100"/>
      </w:pPr>
      <w:r>
        <w:t xml:space="preserve">En Collection, el 39 % de los ingresos de 2025 fue venta de equipos y el 61 % servicios: servicio y mantenimiento (22 %), arrendamiento y </w:t>
      </w:r>
      <w:r>
        <w:rPr>
          <w:i/>
        </w:rPr>
        <w:t xml:space="preserve">throughput</w:t>
      </w:r>
      <w:r>
        <w:t xml:space="preserve"> (22 %; TOMRA conserva la máquina y cobra una tarifa por envase recogido) y recuperación de material (17 %) [18]. Los mercados ya establecidos dieron el 87 % de los ingresos de la división y crecen con la reposición y el servicio (servicio +11 % en 2025); los nuevos mercados dan picos de venta de equipos con menos margen (margen bruto del 38,6 % en el 2T26 frente al 41,8 % por la venta en Polonia) [4, 18]. Collection ganó un EBITA de 126 M EUR (17,0 %) en 2025 [18]. Recycling y Food venden bienes de equipo con cartera de pedidos (94 M y 136 M EUR a final de 2025): el margen depende del volumen y la mezcla (Recycling bajó del 23 % al 11 % de EBITA ajustado al caer las ventas un 18 %) [18].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Collection, el cliente tipo es la cadena de alimentación: la propia TOMRA describe ese negocio como de «alta cuota de mercado» y servicio recurrente, líder mundial desde hace más de 50 años [18]. En los mercados nuevos, las compras las hacen pocas cadenas grandes por concurso: en Reino Unido, TOMRA ha sido elegida por dos grandes cadenas para ~3.900 RVM, y en Polonia la primera fase fue de grandes cadenas, con independientes después [4, 16]. En los modelos de </w:t>
      </w:r>
      <w:r>
        <w:rPr>
          <w:i/>
        </w:rPr>
        <w:t xml:space="preserve">throughput</w:t>
      </w:r>
      <w:r>
        <w:t xml:space="preserve"> (Australia, Estonia, Letonia, Lituania, centros grandes de Quebec), el cliente es el sistema o el operador, y los ingresos varían con el volumen [4, 18]. No publica concentración de clientes. Poder de precios: el margen bruto de Collection subió 1,1 puntos en 2025, hasta el 41,7 %, por mejoras y más servicio, pero los mercados nuevos con competencia se venden con menos margen (Polonia) [4, 18].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RVM (Collection)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mercados y 53.000 M de envases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Recycling (11.900) y Food (16.100)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peso de mercados existentes /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 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 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nuevos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nuevos mercados 24 M de 217 M (11 %); los existentes crecieron un 19 % [11]. Polonia tenía ~7.500 máquinas instaladas a final del 3T26 y Singapur ~500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venta de equipos /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 55 % (2024, cálculo propio con la nota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 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equipos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 software y servicio, arrendamiento y throughput, y recuperación de material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42 M / 109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73 M / 124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 +14 %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del 3T26 incluyen 26 M de pedidos extraordinarios de Mining, que tardan 9-12 meses en facturarse; sin ellos, 47 M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3T25: 77 M / 138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3T26: 75 M / 110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 −20 %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cartera lleva tres trimestres bajando (137 M en el 1T26, 121 M en el 2T26)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sistemas de devolución de envases con depósito (DRS)</w:t>
      </w:r>
      <w:r>
        <w:t xml:space="preserve">: venta, servicio, arrendamiento y </w:t>
      </w:r>
      <w:r>
        <w:rPr>
          <w:i/>
        </w:rPr>
        <w:t xml:space="preserve">throughput</w:t>
      </w:r>
      <w:r>
        <w:t xml:space="preserve"> de RVM a cadenas de distribución y operadores de sistema. Es el negocio que más pesa en el beneficio de TOMRA (126 de 192 M EUR de EBITA de las divisiones en 2025). Lo mueve la regulación: de los 2 billones de envases de bebida vendidos cada año en el mundo, el 11 % se vende en mercados con DRS y otro 11 % en mercados que lo van a implantar, sobre todo en Europa [18]. Los estudios de mercado (Credence, Market Research Future) estiman ~450-460 M USD en 2024 [21, 22], menos que los ingresos de TOMRA Collection (741 M EUR) [18]: miden solo la venta de máquinas. Se usa como suelo la suma de los dos actores cotizados. Los otros dos mercados: clasificadoras ópticas (~3.122 M USD en 2024, el 40 % alimentos)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831 M EUR en 2025 sumando TOMRA Collection (741 M EUR) y Envipco (90,3 M EUR), los dos actores que publican cuentas, con servicio y recuperación de material [18, 19]. Solo venta de máquinas: 446,5 M USD en 2024 según Market Research Future [22] y 461,2 M USD según Credence Research [21]. Clasificadoras ópticas (reciclaje, alimentos, minería): 3.121,9 M USD en 2024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 de RVM según Market Research Future; 2030e interpolado con su TCAC del 5,5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UE (SUP y PPWR) y leyes nacionales de depósito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PPWR obliga a recoger por separado el 90 % de las botellas de plástico y latas de hasta 3 l desde el 1 de enero de 2029 mediante DRS, salvo que el país haya recogido el 80 % en 2026 [20]; 14 de los 27 países de la UE tenían DRS en 2024 [20]; el 11 % de los envases del mundo se vende en mercados que lo van a implantar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los nuevos mercados (picos de instalación)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de los ingresos de Collection en 2024 al 13 % en 2025 (≈155 M y ≈96 M EUR, estimación propia sobre 773 y 741 M EUR); en el 2T26 dieron 69 M EUR en un trimestre (15 M EUR un año antes), y TOMRA espera que se frenen en el 2S26 hasta las entregas en Reino Unido de 2027 [4, 16,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reposición en mercados establecidos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+11 % en 2025; mercados existentes +15 % en el 2T26 (con CLYNK); TOMRA espera crecimiento de un dígito medio en ellos [4, 16,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plásticos vírgenes y reciclados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años de plástico virgen barato hundieron la inversión de los recicladores: ingresos de Recycling −18 % en 2025 (Norteamérica −59 %) y pedidos de 205 M EUR frente a 274 M [18]. También rebaja la recuperación de material: los servicios de Envipco en Norteamérica cayeron un 5 % por el precio de los plásticos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productores de alimentos (cosechas, mano de obra,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años flojos, Food creció un 5 % en 2025 y sus pedidos un 12 % (356 M EUR) [18]; en el 2T26 los pedidos cayeron un 22 % por menos proyectos grandes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tecnológica en Alemania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nuevos estándares técnicos del sistema alemán abren un ciclo de renovación y ampliación hasta mayo de 2029; Alemania es el mayor mercado de depósito de Tomra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un duopolio en mercados nuevos: Envipco se fija más del 30 % de cuota en cada mercado nuevo y dice estar cumpliéndolo [19]; en Polonia TOMRA tiene ~7.000 de ~13.000 RVM [16]. Envipco pierde dinero (EBIT de −7,6 M EUR en 2025) [19], lo que sugiere precios agresivos en los concursos.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cadenas grandes compran por concurso en cada lanzamiento (Reino Unido: dos cadenas, ~3.900 RVM) [16]; el margen bruto de Collection cayó al 38,6 % en el 2T26 por el precio en Polonia [4]. Un solo cliente dio a Envipco 19,7 M EUR, más del 10 % de sus ingresos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industriales y electrónicos; TOMRA fabrica las máquinas y comparte con un fabricante externo el diseño de los compactadores [18]. No hay indicios de proveedores críticos únicos.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homologación por el operador (Irlanda publica su especificación de RVM) [20], red de servicio en cada país y capital circulante para los picos de instalación. Envipco necesitó 54 M EUR de ampliación de capital para seguir el ritmo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recogida manual sigue siendo el 15 % del volumen en Polonia [16] y el 28 % en Eslovaquia [20]; los sistemas por bolsas (que TOMRA compró con CLYNK) y los países que alcancen el 80 % sin DRS pueden evitar la RVM [18, 20].</w:t>
            </w:r>
          </w:p>
        </w:tc>
      </w:tr>
    </w:tbl>
    <w:p>
      <w:pPr>
        <w:spacing w:after="160" w:before="0"/>
      </w:pPr>
    </w:p>
    <w:p>
      <w:pPr>
        <w:pStyle w:val="Heading2"/>
      </w:pPr>
      <w:r>
        <w:t xml:space="preserve">Ciclo</w:t>
      </w:r>
    </w:p>
    <w:p>
      <w:pPr>
        <w:spacing w:after="100"/>
      </w:pPr>
      <w:r>
        <w:t xml:space="preserve">En Collection, el ciclo lo marca el calendario regulatorio, no la economía: ingresos récord en el 2T26 (+45 %) por Polonia, Portugal, Singapur y Rumanía, y Reino Unido en 2027 [4, 16]. La señal de que el pico de un mercado ya pasó es la caída de los ingresos de nuevos mercados (20 % → 13 % de Collection entre 2024 y 2025) [18]. Recycling está en contracción: ingresos −18 % en 2025, pero los pedidos subieron un 40 % en el 2T26 por minería y metales [4, 18]. Food se recupera tras 2023-24 [18]. No se han buscado datos de 2008-09 y 2020. En el 3T26 los mercados existentes crecieron un 19 % y los nuevos aportaron 24 M; la dirección espera que los existentes se normalicen en el 4T y vuelvan a crecer «un dígito medio» de media [11].</w:t>
      </w:r>
    </w:p>
    <w:p>
      <w:pPr>
        <w:pStyle w:val="Heading2"/>
      </w:pPr>
      <w:r>
        <w:t xml:space="preserve">Regulación</w:t>
      </w:r>
    </w:p>
    <w:p>
      <w:pPr>
        <w:spacing w:after="100"/>
      </w:pPr>
      <w:r>
        <w:t xml:space="preserve">La Directiva de plásticos de un solo uso (SUP) exige recoger por separado el 90 % de las botellas de plástico en 2029. El Reglamento de Envases (PPWR), en vigor desde el 11 de febrero de 2025, obliga a implantar el DRS para botellas de plástico y latas de hasta 3 l el 1 de enero de 2029, salvo que el país haya recogido el 80 % en 2026 y tenga un plan creíble para llegar al 90 % [18, 20]. Exige además un 25 % de contenido reciclado en botellas PET desde 2025 y un 30 % en 2030 [20], lo que tira de Recycling. España quedó obligada a implantar el DRS tras recoger el 41 % en 2023 (el umbral era el 70 %), con el operador aún por asignar [4, 16]. Reino Unido arranca el 1 de octubre de 2027 [4]. Estado a oct-2026: Grecia retrasa su sistema; Moldavia, como tarde en ene-2027; Reino Unido, 1-oct-2027 (Gales se suma con el mismo operador desde ago-2026); España, operador en tramitación tras activarse la obligación en nov-2024 [11].</w:t>
      </w:r>
    </w:p>
    <w:p>
      <w:pPr>
        <w:pStyle w:val="Heading2"/>
      </w:pPr>
      <w:r>
        <w:t xml:space="preserve">Tendencias y disrupción</w:t>
      </w:r>
    </w:p>
    <w:p>
      <w:pPr>
        <w:spacing w:after="100"/>
      </w:pPr>
      <w:r>
        <w:t xml:space="preserve">Hay tres tendencias. La primera, máquinas multienvase y para vidrio: el TOMRA R2 ya acepta vidrio, y se pasaron las 1.000 instalaciones de R1 y R2 [18]. La segunda, máquinas pequeñas y baratas para tiendas independientes en mercados nuevos: TOMRA B7 y S2 en Polonia [18]. La tercera, devolución por bolsas en Norteamérica (CLYNK) [18]. En Collection, la competencia de Envipco crece en mercados nuevos (Rumanía es su mayor mercado europeo) [19], así que TOMRA gana el volumen pero con menos cuota que en su base histórica. En Recycling, el PPWR y la responsabilidad ampliada del productor empujan la demanda, y la IA (GAINnext) y el láser (LIBS) abren el clasificado fino. Pero la inversión depende del diferencial entre el material virgen y el reciclado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RVM: 91.900 instalaciones frente a 13.000 de Envipco, el segundo que publica cuentas [18, 19]. En el mayor mercado nuevo, Polonia, tiene ~7.000 de ~13.000 RVM (≈54 %, estimación propia) y el 58 % de los envases recogidos por máquina [16]. En Recycling dice tener posición de liderazgo mundial (11.900 máquinas) y en Food una de las bases tecnológicas más amplias, sin cuota publicada [18]. En el Reino Unido, el segundo mercado del mundo tras Alemania (26.000 M de envases), Tomra estima ~25.000 máquinas en la primera fase y 5.000-10.000 en la segunda; tiene adjudicadas ~3.900 y una carta de intenciones por ~2.000 más [12,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 (cotiza en Oslo)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puro de RVM que cotiza: ~13.000 RVM instaladas en 17 mercados; venta de RVM de 54,0 M EUR y servicios de 36,4 M EUR en 2025 (−21 %); EBIT de −7,6 M EUR y margen bruto del 33,4 % (TOMRA Collection: 41,7 %). Rumanía y Hungría son sus mayores mercados europeos; objetivo de más del 30 % de cuota en cada mercado nuevo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Bühler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clasificación óptica de alimentos (Sortex) dentro de un grupo de maquinaria alimentaria: ventas de ~2.800 M CHF en 2025 (−7,8 % en CHF), EBIT de 220,3 M CHF [24]. Convertido a EUR al tipo de cierre de 2025 (0,9314 CHF/EUR) [29]. No desglosa la clasificación.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Maquinaria de proceso de alimentos y bebidas, rival de TOMRA Food en clasificación y procesado de fruta y verdura: ingresos de 3.798,2 M USD en 2025 y beneficio operativo de 189,4 M USD; el 50 % de los ingresos es recurrente [25]. Convertido a 1,175 USD/EUR (cierre de 2025)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STEINERT GmbH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de TOMRA Recycling en metales, residuos y minería (sensores y magnetismo), empresa familiar. Datos de 2024 de la sociedad matriz (HGB, incluye la línea ANOFOL): 122,6 M EUR de ventas. El margen es una estimación propia: resultado antes de impuestos (18,2 M EUR), menos dividendos de filiales (4,0 M) y resultado financiero neto (0,3 M) [26]. En 2023, 123,2 M EUR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densidad de servicio y datos (91.900 máquinas en más de 60 mercados, compensación y datos del sistema en algunos mercados) [4], pero el consumidor no elige la marca de la máquina: el efecto de red es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61 % de los ingresos de Collection es servicio, *throughput* o recuperación de material, con contratos plurianuales [4]. En *throughput* la máquina sigue siendo de TOMRA. La reposición va al proveedor instalado: los mercados existentes crecen un 15 % en el 2T26 sin nuevas leyes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de liderazgo, seis líneas de producto, más de 1.000 multienvase R1/R2 [4]; la homologación por cada operador favorece a quien ya está aprobado. No cuantifica patentes.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del 41,7 % en 2025 frente al 33,4 % de Envipco; EBITA del 17,0 % frente a un EBIT de −8,4 % [4, 5]. Pero en Polonia TOMRA también tuvo que bajar su margen de producto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y regulado: ~450 M USD de venta de máquinas al año [8], con dos actores relevantes. Cada lanzamiento admite pocos proveedores: en Singapur, tres operadores de red [4].</w:t>
            </w:r>
          </w:p>
        </w:tc>
      </w:tr>
    </w:tbl>
    <w:p>
      <w:pPr>
        <w:spacing w:after="160" w:before="0"/>
      </w:pPr>
    </w:p>
    <w:p>
      <w:pPr>
        <w:pStyle w:val="Heading2"/>
      </w:pPr>
      <w:r>
        <w:t xml:space="preserve">Amenazas</w:t>
      </w:r>
    </w:p>
    <w:p>
      <w:pPr>
        <w:spacing w:after="100"/>
      </w:pPr>
      <w:r>
        <w:t xml:space="preserve">La amenaza principal es la cuota en los mercados nuevos. Envipco se fija más del 30 % en cada uno y Rumanía ya es su mayor mercado europeo [19]; en Polonia TOMRA tiene ~54 % de las máquinas, muy por debajo del peso de su base histórica [16, 19]. Probabilidad alta de que la cuota en mercados nuevos siga por debajo de la histórica. Segunda amenaza: precios a la baja en los concursos de grandes cadenas (Reino Unido 2027), con el margen bruto de Collection ya en el 38,6 % en el 2T26 [4]. Tercera: retrasos regulatorios (Grecia, Uruguay, España sin fecha) [4]. El riesgo de que un país evite el DRS alcanzando el 80 % por otras vías es bajo [20]. Envipco perdió un 19,6 % en bolsa entre el 7 y el 23-oct-2026, sin que conste un concurso británico perdido frente a Tomra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5,3 %</w:t>
      </w:r>
      <w:r>
        <w:t xml:space="preserve">, EBITDA </w:t>
      </w:r>
      <w:r>
        <w:rPr>
          <w:b/>
          <w:bCs/>
        </w:rPr>
        <w:t xml:space="preserve">2,3 %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1.206 M en 2022 a 1.318 M en 2025 (TCAC ~3 %), con un 2025 a la baja (−2,2 %; en línea a tipo de cambio constante) porque Collection cayó un 4 % al dejar atrás las grandes entregas de 2024 a nuevos mercados (Austria, Hungría, Irlanda) y Recycling un 18 % [1, 5]. El EBITDA (EBIT + amortizaciones, incluidos los derechos de uso) sube de 198 M en 2023 a 262 M en 2025; 2023 está deprimido por 43 M de partidas especiales (ciberataque y reestructuración de Food) [2, 3]. El margen bruto mejora de 43,3 % a 44,4 % en 2025 por más servicio y throughput en Collection y la recuperación de Food, pero las amortizaciones suben de 99,6 M a 114,4 M por el capex en Feedstock y máquinas propias [1]. En el 1S26 los ingresos crecen un 17 % (739 M) por Polonia y Portugal, pero el margen bruto cae a 40,8 % por la mezcla de venta de máquinas y el beneficio neto atribuido baja a 25 M por 13 M de reestructuración de Recycling [4]. 2021 y 2022 son conversiones propias desde NOK (informes anuales 2022 y 2023 con los tipos del BCE) [3, 9, 10].</w:t>
      </w:r>
    </w:p>
    <w:p>
      <w:pPr>
        <w:pStyle w:val="Heading2"/>
      </w:pPr>
      <w:r>
        <w:t xml:space="preserve">Ajustes y partidas no recurrentes</w:t>
      </w:r>
    </w:p>
    <w:p>
      <w:pPr>
        <w:spacing w:after="100"/>
      </w:pPr>
      <w:r>
        <w:t xml:space="preserve">TOMRA publica EBITA y EBITA ajustado por «special items» (dentro del EBITDA, en gastos operativos). Importes: 2023, ~43 M de coste (EBITA 119 M frente a 162 M ajustado: ciberataque y reestructuración de Food); 2024, 5,3 M de coste (reestructuración de Food); 2025, +2,5 M de ingreso neto (ahorros únicos del programa de Food menos 1,3 M de reestructuración de Recycling en el 4T25); 1S26, 13 M de coste (programa de 16 M de ahorro en Recycling) [1, 2, 4, 5]. Se devuelven al EBITDA para calcular márgenes comparables (en 2025 restan, porque fueron un ingreso neto). El dividendo se declara en NOK; el DPA en EUR es el pagado en mayo del año siguiente según el equivalente en MEUR del flujo de caja entre ~295,4 M de acciones (estimación propia). Los gastos financieros incluyen los intereses de arrendamientos (7,0 M en 2025). En los últimos 12 meses a sep-26 hay 14 M de partidas especiales dentro del EBITDA (1 M en el 4T25 y 13 M de reestructuración de Recycling en el 1T26); el 3T26 no tiene ninguna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w:t>
      </w:r>
      <w:r>
        <w:rPr>
          <w:b/>
        </w:rPr>
        <w:t xml:space="preserve">2T26</w:t>
      </w:r>
      <w:r>
        <w:t xml:space="preserve"> (17-jul-26) el mensaje fue de volumen: ingresos +25 % a 405 M, nuevos mercados con 69 M (Polonia, Portugal, Singapur y Rumanía) y EBITA ajustado de 57 M (14,1 %), frente a 47,1 M que esperaba el consenso de Infront [4, 15]. El margen bruto de Collection cayó al 38,6 % por las máquinas de Polonia y la deuda subió a 2,5 veces el EBITDA; la guía rebajó el ritmo: Collection 400-440 M en el 2S26 y el Reino Unido a 2027 [4].</w:t>
      </w:r>
    </w:p>
    <w:p>
      <w:pPr>
        <w:spacing w:after="100"/>
      </w:pPr>
      <w:r>
        <w:t xml:space="preserve">En el </w:t>
      </w:r>
      <w:r>
        <w:rPr>
          <w:b/>
        </w:rPr>
        <w:t xml:space="preserve">3T26</w:t>
      </w:r>
      <w:r>
        <w:t xml:space="preserve"> (23-oct-26) el tono pasó a ejecución y caja. Ingresos +20 % (+17 % a tipo constante) a 366 M, frente a 347 M del consenso previo de diez casas que publica la propia Tomra; EBITA ajustado de 47 M frente a 41 M (12,9 % de margen, 10,0 % un año antes) y BPA de 0,08 EUR frente a 0,065 [11, 14]. El crecimiento vino de los mercados existentes (+19 %: Alemania, Norteamérica con la conversión puntual de quioscos en Canadá y 8 M de CLYNK, y Australia), con solo 24 M de mercados nuevos; el flujo operativo subió a 112 M (64 M) al cobrar Polonia, y la deuda neta bajó a 2,1 veces el EBITDA [11, 12]. La guía se estrechó: Collection 410-430 M en el 2S26 (implica 193-213 M en el 4T, frente a 207 M un año antes: «el crecimiento de los mercados existentes se normaliza»), Recycling 205-215 M (antes 200-215) y Food 347-357 M (antes 340-360) [12]. La dirección dimensionó el Reino Unido en unas 25.000 máquinas en la primera fase y 5.000-10.000 en la segunda, y confirmó que estudia vender Mining [12]. La acción abrió un 11 % arriba y cerró el día un 1,5 % arriba, con la guía del 4T de Collection y los 26 M de pedidos extraordinarios de Mining como puntos que rebajaron el entusiasmo. No hemos tenido acceso a la transcripción del turno de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pasa de 283 M en 2023 a 517 M en 2025, y con arrendamientos (156 M) la deuda neta de la empresa llega a 608 M (2,3x EBITDA), frente a 1,6x en 2024. El salto se debe a CLYNK (39,6 M en caja), a la compra del 20 % restante de Tomra Collection Australia y el 30 % de Francia (53,9 M) y al capex de Feedstock [1]. En jun-26 la deuda neta/EBITDA sube a 2,5x y en sep-26 baja a 2,1x: deuda financiera de 500 M, arrendamientos de 156 M y caja de 67 M, con el cobro de Polonia (flujo operativo de 112 M en el 3T26) [4, 11]. El circulante absorbe caja: las existencias suben 29 M en 2025 (a 254,6 M) para preparar las entregas a nuevos mercados, y los cobros pendientes saltan de 401 M a 463 M en el 1S26 con Polonia [1, 4]. Los vencimientos se concentran en 2028 (RCF de 121,8 M) y a partir de 2030 (bonos verdes en NOK)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119</w:t>
      </w:r>
      <w:r>
        <w:t xml:space="preserve">, conversión </w:t>
      </w:r>
      <w:r>
        <w:rPr>
          <w:b/>
          <w:bCs/>
        </w:rPr>
        <w:t xml:space="preserve">26 %</w:t>
      </w:r>
      <w:r>
        <w:t xml:space="preserve"> del beneficio neto; adquisiciones 200, dividendos 281, recompras 20.</w:t>
      </w:r>
    </w:p>
    <w:p>
      <w:pPr>
        <w:spacing w:after="100"/>
      </w:pPr>
      <w:r>
        <w:t xml:space="preserve">El flujo operativo se presenta antes de intereses (los intereses, incluidos los de arrendamientos, van en financiación y aquí se recogen netos de los cobros por swaps). Pasa de 114 M en 2022 a 235 M en 2024 y cae a 171 M en 2025 por el aumento de existencias (−33,9 M) para los nuevos mercados de depósito [1]. El capex sube de 82 M (2022) a 131,5 M (2025) e incluye las máquinas propias de throughput y de arrendamiento operativo, que no van aparte: 78,1 M de las inversiones de 2025 fueron de Collection y 25,4 M de Horizon, sobre todo Feedstock [1]. Para 2026 la empresa planea 90-100 M de capex, unos 10 M en Horizon [4]. No publica el reparto entre mantenimiento y crecimiento; como estimación propia, el mantenimiento rondaría la amortización material sin derechos de uso (~61 M en 2025: 102,6 M de amortización material menos 41,2 M de derechos de uso). Las adquisiciones de 2024-2025 incluyen la compra de minoritarios por opciones, que la empresa clasifica en financiación (25,5 M y 54,9 M). En enero-septiembre de 2026 el flujo operativo fue de 210 M (147 M un año antes) y la inversión de 65 M, con 61 M de capex y otras inversiones; la guía de capex de 2026 sigue en 90-100 M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AS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desde el ejercicio 2020, elegido en la junta del 4-may-20, y emitió una opinión sin salvedades sobre 2025 [1]. Puntos a vigilar: (1) el cambio de moneda de presentación de NOK a EUR en 2024, con 2020-2023 reexpresados; las series anteriores salen de cuentas en NOK. (2) Las partidas especiales son recurrentes en la práctica: ~43 M en 2023, 5,3 M en 2024, +2,5 M en 2025 y 13 M en el 1S26. (3) Se capitalizan costes de desarrollo (59,4 M de activo en 2025, frente a 34,3 M en 2023). (4) Los ingresos por venta de máquinas se reconocen en la instalación y los de arrendamientos financieros también de una vez, lo que concentra ingresos en las implantaciones de nuevos mercados. (5) Las opciones de venta de minoritarios se valoran contra patrimonio (−30,8 M en 2024 y −10,7 M en 2025), no contra la cuenta. (6) El resultado financiero mueve más de 100 M brutos de diferencias de cambio. El tipo efectivo es estable (24,2 % en 2024 y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en 2023, 5,3 M en 2024, +2,5 M en 2025 y 13 M en el 1S26 (reestructuraciones de Food y Recycling, ciberataque)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Aumento de la 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por desarrollo pasa de 34,3 M (2023) a 59,4 M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en descenso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171 M frente a 262 M de EBITDA en 2025 por las existencias; en el 1S26 los cobros pendientes suben 62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opciones sobre minoritarios contra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−30,8 M (2024) y −10,7 M (2025) de cambios de estimación llevados a reservas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369 M en 2025 (el 32 % del capital invertido medio); ha subido más de un 5 % en 2 de 4 años: compras pequeñas. ROIC publicado 9,8 %; sin fondo de comercio, 14,4 %.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-1,1 % · </w:t>
      </w:r>
      <w:r>
        <w:rPr>
          <w:b/>
          <w:bCs/>
        </w:rPr>
        <w:t xml:space="preserve">WACC</w:t>
      </w:r>
      <w:r>
        <w:t xml:space="preserve">: 8,7 %.</w:t>
      </w:r>
    </w:p>
    <w:p>
      <w:pPr>
        <w:spacing w:after="100"/>
      </w:pPr>
      <w:r>
        <w:rPr>
          <w:b/>
        </w:rPr>
        <w:t xml:space="preserve">Tomra crea valor, pero cada vez menos.</w:t>
      </w:r>
      <w:r>
        <w:t xml:space="preserve"> El ROIC después de impuestos cae del 15,0 % de 2021 al 13,3 % en 2022, el 12,0 % en 2023, el 12,5 % en 2024 y el 9,8 % en 2025, solo 1,1 puntos por encima del WACC del 8,68 %. El ROIC incremental de 2021-2025 es del −1,1 %: el beneficio operativo después de impuestos se quedó en torno a 110 M mientras el capital invertido subía de 756 a 1.121 M. Lo que lo hunde es la rotación, no el margen: los ingresos por euro de activo bajan de 0,93 a 0,77 porque Tomra se llenó de capital en esos años (máquinas propias de throughput, la planta de Feedstock en Områ, existencias para los nuevos mercados y las compras de c-trace, CLYNK y los minoritarios de Australia) [1]. La propia empresa da el mismo diagnóstico con su ROCE: del 22,9 % en 2021 al 15,4 % en 2025 [1]. El 3T26 es el primer trimestre en que ese capital empieza a rendir: EBITA ajustado de 47 M (30 M un año antes) y flujo operativo de 112 M (64 M) [11]. El único rival puro que cotiza, Envipco, pierde dinero (margen EBIT del −8,4 %) [19]. El objetivo de 2030 del Capital Markets Day de 2024 era un ROCE de más del 18 % [40]; el del 24-nov dirá si se mantiene.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30-sep-26: caja de 67 M y 135 M de líneas no dispuestas (RCF de 150 M hasta dic-28, Eksfin y descubierto del cash pool); vida media de la deuda de 3,8 años [11, 12]. A 31-dic-25: caja de 87,4 M y 54,1 M de líneas no dispuestas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Scope Ratings: BBB+, perspectiva estable (confirmado en la presentación del 3T26); rebaja de un escalón desde A- anunciada por TOMRA el 3-jun-26 por mayor apalancamiento tras adquisiciones financiadas con deuda y caja más débil [8,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el RCF y la financiación de Eksfin exigen patrimonio de al menos el 30 % del activo cada trimestre; el ratio era del 35 % a cierre de 2025, del 34 % en jun-26 y del 36 % en sep-26 [1, 4, 11]. Pensiones: 21,1 M de pasivo (con 16,3 M de seguro de vida corporativo en activo). Provisiones a corto plazo: 35,1 M. CLYNK lleva un earn-out de 9,6 M hasta 2027. Opciones de venta y compra sobre minoritarios registradas como pasivo financiero (método de adquisición anticipada): c-trace (20 %, ejercitable tras las cuentas de 2026) y AKR (49 %, tras 2028); en 2025 el cambio de estimación restó 10,7 M de patrimonio (30,8 M en 2024) [1]. La deuda neta de la empresa incluye 21,6 M de derivados (swaps de divisa): 607,8 M a cierre de 2025, 2,3x el EBITDA [1].</w:t>
      </w:r>
    </w:p>
    <w:p>
      <w:pPr>
        <w:pStyle w:val="Heading1"/>
      </w:pPr>
      <w:r>
        <w:t xml:space="preserve">12. Asignación de capital</w:t>
      </w:r>
    </w:p>
    <w:p>
      <w:pPr>
        <w:pStyle w:val="Confianza"/>
        <w:spacing w:after="100"/>
      </w:pPr>
      <w:r>
        <w:t xml:space="preserve">Confianza: Media</w:t>
      </w:r>
    </w:p>
    <w:p>
      <w:pPr>
        <w:spacing w:after="100"/>
      </w:pPr>
      <w:r>
        <w:t xml:space="preserve">TOMRA reparte entre el 40 % y el 60 % del BPA como dividendo, manteniendo un rating de grado de inversión [1]. Propuso NOK 2,15 por acción con cargo a 2025 (payout del 58 %, igual que en 2024), pagado en mayo de 2026 por un equivalente de 59 M [1, 4]. No hay recompras para retribuir: la junta autoriza adquirir hasta 1.000.000 de acciones propias para el plan de acciones de los empleados (650.000 compradas en 2025 por 7,6 M) [1]. La prioridad declarada es el crecimiento en nuevos mercados de depósito y Horizon; el capex planeado para 2026 es de 90-100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(80 %, gestión digital de residuos,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(58,9 M en caja + opción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54,5 M; aportó 6,3 M de ingresos en 2024 y en 2025 ganó su mayor contrato (Bratislava);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Tomra Holding OÜ (Bálticos) y 49 % de Tomra Recycling Technology (Xiamen)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(ejercicio de opciones)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del 100 % de las filiales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CLYNK (bag drop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39,6 M en caja + 9,6 M de earn-out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M de ingresos y −1,5 M de EBITA en el 4T25; 24,4 M de ingresos y −0,5 M de EBITA pro forma anual; 7 M de ingresos en el 2T26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restante de Tomra Collection Australia, 30 % de Tomra Collection France y 40 % de Bottlecycler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(ejercicio de opciones de compra y 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tiene ahora el 100 %; reduce los minoritarios de la cuenta, pero sube la deuda neta/EBITDA a 2,3x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Kunststoffrecycling (51 %, Feedstock) y Smartsquare (100 %,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Fondos de comercio de 6,1 M y 2,2 M [1].</w:t>
            </w:r>
          </w:p>
        </w:tc>
      </w:tr>
    </w:tbl>
    <w:p>
      <w:pPr>
        <w:spacing w:after="160" w:before="0"/>
      </w:pPr>
    </w:p>
    <w:p>
      <w:pPr>
        <w:spacing w:after="100"/>
      </w:pPr>
      <w:r>
        <w:t xml:space="preserve">Entre 2022 y 2025, TOMRA dedicó ~425 M a capex y ~198 M a adquisiciones y compras de minoritarios (casi todo en 2024-2025), frente a ~238 M de dividendos (cifras de los flujos). El crecimiento de 2022-2025 fue modesto (TCAC de ingresos ~3 %) para el aumento del capital empleado: el ROCE de la empresa bajó de 22,9 % en 2021 a 15,4 % en 2025 [1]. Las compras recientes son pequeñas y estratégicas (bag drop, minoritarios en mercados de throughput), pero se financiaron con deuda y llevaron a la rebaja del rating [8]. No hay dilución: las acciones emitidas siguen en 296,04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Tove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&amp; CEO); no forma parte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(NTNU) y MBA (BI); 24 años en Yara (1997-2021), donde fue EVP Europa, Producción y Cadena de suministro; CEO de Tomra desde el 16-ago-2021 [1, 31]. Con ella los ingresos crecieron un 15,9 % en 2021 y un 12,1 % en 2022, pero se frenaron (+6,9 % y +4,6 %) y cayeron un 2,2 % en 2025 (1.318 MEUR); el BPA fue de 0,36 EUR en 2021 y de 0,31 EUR en 2025, y el margen EBITA de 2025 (13,2 %) queda lejos del 18 % fijado para 2030 [31]. Tiene 75.548 acciones tras el programa de mayo de 2026 y 8.000 más a través de personas vinculadas [1,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Sagemo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Promoción interna: en Tomra desde 2012 como Group Controller de Tomra Sorting y del grupo (2018-2022); antes, BDO, Aibel y Fugro; CFO desde el 1-mar-2022 [1, 31]. Consejera de Akastor y Hexagon Composites [1]. 18.988 acciones tras mayo de 2026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preside las comisiones de Remuneración y de Horizon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Investment AB Latour (21,08 % de Tomra) desde 2019; antes, CEO de Fagerhult (2009-2018) y de Lammhults Design, y directivo de Electrolux [1, 35]. Preside Alimak y ASSA ABLOY y es consejero de Sweco, todas participadas de Latour [1]. Tiene 20.000 acciones a título personal (10.000 compradas en noviembre de 2025) y figuran como vinculadas suyas las 62,4 millones de Latour [1,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Harald Henriksen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Food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Tomra desde 2004 (CEO de Tomra North America 2011-2016 y responsable de Collection 2016-2023); al frente de Food desde 2023 [1]. Con el programa de ahorro de ~30 MEUR anuales lanzado en 2024, el margen EBITA de Food pasó del 5 % en 2024 al 14 % en 2025 con ingresos +5 % (328 MEUR) [36, 38]; en el 2T26 bajó al 14,9 % ajustado desde el 17,6 % [4]. Es el directivo con más acciones (114.382)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Marius Fraurud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Collection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(NTNU); en Tomra desde 2016 (I+D, tecnología RVM, responsable de EMEA) y antes en Aker Solutions; responsable de Collection desde octubre de 2023 [1, 31]. Collection facturó 741 MEUR en 2025 (−4 %, por el calendario de los nuevos mercados de depósito) y 246 MEUR en el 2T26 (+46 %) con el despliegue de Polonia [4,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Lars Kversøy Enge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responsable de TOMRA Recycling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Ex-CFO de Yara Europe; en Tomra desde 2022 como EVP de Estrategia, creó TOMRA Horizon (Feedstock, Reuse, compra de c-trace) [1, 42]. Nombrado el 3-sep-2025 tras la salida de Katrin Fricke, que solo duró tres meses en el cargo [31, 42]. Recycling cerró 2025 con margen EBITA del 10 % (23 % en 2024) y lanzó en febrero de 2026 un ajuste de 16 MEUR brutos y ~175 empleos para volver a más del 20 % [36,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crecimiento de ingresos que «puede alcanzar un dígito medio» (informe 2T25)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Food 328 MEUR frente a 311 MEUR (+5 %)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margen EBITA del 10-11 % en 2025 tras el programa de ahorro de 2024 (informes 2T25 y 3T25)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Food 47 MEUR sobre 328 MEUR: 14 %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Horizon: capex de 40 MEUR en 2025, sobre todo en las plantas de Feedstock (informes 4T24 y 2T25) [37,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30 MEUR en el 3T25; en el 4T25 se congelaron los ~25 MEUR pendientes de la planta alemana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margen bruto del año por encima del 40 % (informe 1T26)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se rebaja a «en torno al 40 %» para el año, tras un 38,6 % en el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grupo de ~100 MEUR (informes 4T25 y 1T26) [36,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90-100 MEUR en el 2T26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CMD 2024: crecer un 15 % anual a lo largo del ciclo, margen EBITA del 18 % y ROCE &gt;18 % en 2030; dividendo del 40-60 % del BPA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1.288 MEUR (2023) → 1.348 (2024) → 1.318 (2025): ~1 % anual; margen EBITA del 13,2 % en 2025 [31]. Desde el 2T25 los informes ya no repiten el objetivo de grupo y solo dan ambiciones por división; el CMD del 24-nov-2026 lo revisará [37,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Recycling 200-215 MEUR y Food 340-360 MEUR en 2026; Collection 400-440 MEUR en el 2S26 (informe 2T26)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3T26: rangos estrechados a 205-215, 347-357 y 410-430 MEUR, con 9M de 141, 264 y 454 + 217 MEUR; ingresos y EBITA del 3T por encima del consenso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en la cúpula: Andersen es CEO desde 2021 y Sagemo CFO desde 2022, y no hubo cambios de presidente ni de CEO en 24 meses [1, 31]. La rotación está en las divisiones. Recycling ha tenido tres responsables en 2025 (Rehrmann se jubiló, Fricke se fue a los tres meses y entró Enge) [31, 42, 43], y el puesto de relaciones con inversores está en interinidad desde agosto de 2026 [50]. La credibilidad es mixta. Food cumplió con holgura su margen de 2025, pero el objetivo de grupo del CMD 2024 (15 % de crecimiento y 18 % de margen EBITA en 2030) está muy lejos, con ingresos que caen en 2025. Las guías de capex y de Horizon se han rebajado. Tomra no publica un plan de sucesión; la Comisión de Remuneración tiene encomendado vigilarlo [1]. En el 3T26 la guía por división se estrechó en la parte media o alta de los rangos anteriores y el EBITA superó al consenso por segundo trimestre seguido [11]. La jefatura de relación con inversores es interina (Bing Zhao) [11].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 (presidente); Horizon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Bodil Sonesson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Couderc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Osmundsen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Horizon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Wantz-O'Rourke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asignación publicada (nombrada en la junta del 23-abr-2026)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Bergan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Kjell Korneliussen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 Palm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Bodil Sonesson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(sociedad de inversión sueca); su CEO preside el 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(62,4 millones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público noruego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 al cierre de 2025; aviso del 10-mar-2026: neto 4,94 % tras prestar 800.000 acciones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5,38 % al cierre de 2025; aviso de 13-feb-2026: baja al 4,98 % en derechos de voto directos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Long Term Capital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(Luxemburgo)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4-abr-2025 (5,06 %); 5,21 % al cierre de 2025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(Noruega)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4,88 % al cierre de 2025; 5,01 % el 12-feb-2026; 4,96 % el 29-sep-2026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(Finlandia)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KIRKBI Invest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(familia propietaria de LEGO)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(4,99 %) el 10-jul-2025 y al 3,82 % a fin de 2025; tiene un miembro en el comité de nombramientos [1, 35,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PGGM Vermogensbeheer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339.778 acciones a 30-jun-2026; se recompran solo para el plan de acciones de los empleados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(CEO), plan de acciones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Johan Hjertonsson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Hege Skryseth (consejera hasta abr-2026)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Erik Osmundsen (consejero), vía Creo Foundation 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Tove Andersen (CEO), plan de remuneración en acciones y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Sagemo (CFO),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Marius Fraurud (EVP Collection),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Stefan Schrahe (EVP Personas),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Lars Kversøy Enge (EVP Recycling),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Kathleen Wantz-O'Rourke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CEO devengó 11,84 MNOK en 2025 (1,01 MEUR al cambio medio del BCE de 11,72 NOK/EUR, estimación propia), un 16 % menos que en 2024: 5,96 MNOK de fijo, 1,18 de pensión, 1,48 de bonus anual, 2,63 de incentivo a largo y 0,60 de otros; fijo 65 % y variable 35 % [10, 31]. El bonus anual tiene un tope del 50 % del salario y mide BPA del grupo, EBITA de la división, pedidos, ingresos, circulante y objetivos de personas y planeta. El incentivo a largo, con tope del 100 % del salario, depende </w:t>
      </w:r>
      <w:r>
        <w:rPr>
          <w:b/>
        </w:rPr>
        <w:t xml:space="preserve">solo del BPA acumulado de tres años</w:t>
      </w:r>
      <w:r>
        <w:t xml:space="preserve"> (ajustado por costes de arranque y extraordinarios) y pagó el 44,5 % del máximo en 2025 (84,5 % en 2024). Obliga a invertir el 25 % en acciones durante tres años y tiene </w:t>
      </w:r>
      <w:r>
        <w:rPr>
          <w:i/>
        </w:rPr>
        <w:t xml:space="preserve">clawback</w:t>
      </w:r>
      <w:r>
        <w:t xml:space="preserve">. La indemnización es de seis meses para la CEO, la CFO y el responsable de Recycling [31]. </w:t>
      </w:r>
      <w:r>
        <w:rPr>
          <w:b/>
        </w:rPr>
        <w:t xml:space="preserve">El voto en contra es alto y repetido</w:t>
      </w:r>
      <w:r>
        <w:t xml:space="preserve">: el informe de 2023 sacó un 36,61 % en contra, el de 2024 un 42,01 % y el de 2025 un 38,10 % [32, 33, 34]. Descontando a Latour, que suponemos a favor, se opuso el 52-53 % del capital libre presente en 2025 y 2026 (estimación propia). La empresa no explica en los documentos revisados qué cambió tras esas votaciones.</w:t>
      </w:r>
    </w:p>
    <w:p>
      <w:pPr>
        <w:pStyle w:val="Heading2"/>
      </w:pPr>
      <w:r>
        <w:t xml:space="preserve">Operaciones vinculadas, estructura de control y defensas</w:t>
      </w:r>
    </w:p>
    <w:p>
      <w:pPr>
        <w:spacing w:after="100"/>
      </w:pPr>
      <w:r>
        <w:t xml:space="preserve">Una sola clase de acciones, sin límites de voto ni blindajes estatutarios [1]. El control efectivo lo tiene </w:t>
      </w:r>
      <w:r>
        <w:rPr>
          <w:b/>
        </w:rPr>
        <w:t xml:space="preserve">Investment AB Latour</w:t>
      </w:r>
      <w:r>
        <w:t xml:space="preserve">, con el 21,08 %. Su consejero delegado preside el consejo y la Comisión de Remuneración, y su representante (Rune Selmar) preside el comité de nombramientos, que propone a los consejeros [1, 35]. Con una asistencia del 74-83 % del capital, Latour pesa entre el 26 % y el 28 % de los votos de cada junta [32, 33, 34]. El comité considera no independientes de Latour al presidente y a Bodil Sonesson, que es CEO de Fagerhult, participada de Latour [35]. El consejo se vota en bloque, no por candidato, en contra de la recomendación del código noruego NUES; el propio comité reconoce las quejas de accionistas por el exceso de cargos del presidente [1, 35]. En 2024 se opuso a la lista del consejo el 35,10 % de los votos, casi la mitad del capital libre presente (47,6 %, estimación propia sin Latour). En 2026 se opuso el 15,78 % [32, 34]. No hubo operaciones vinculadas relevantes en 2025 [1]. Sin avisos de participaciones ni de operaciones de directivos entre el 30-sep y el 26-oct-2026 [51].</w:t>
      </w:r>
    </w:p>
    <w:p>
      <w:pPr>
        <w:pStyle w:val="Heading2"/>
      </w:pPr>
      <w:r>
        <w:t xml:space="preserve">Señales de alerta</w:t>
      </w:r>
    </w:p>
    <w:p>
      <w:pPr>
        <w:pStyle w:val="ListParagraph"/>
        <w:numPr>
          <w:ilvl w:val="0"/>
          <w:numId w:val="2"/>
        </w:numPr>
        <w:spacing w:after="60"/>
      </w:pPr>
      <w:r>
        <w:t xml:space="preserve">Voto en contra del informe de remuneraciones del 36-42 % tres años seguidos (2024-2026) y, descontando a Latour, rechazo de la mayoría del capital libre presente en 2025 y 2026 (52-53 %, estimación propia) [32, 33, 34].</w:t>
      </w:r>
    </w:p>
    <w:p>
      <w:pPr>
        <w:pStyle w:val="ListParagraph"/>
        <w:numPr>
          <w:ilvl w:val="0"/>
          <w:numId w:val="2"/>
        </w:numPr>
        <w:spacing w:after="60"/>
      </w:pPr>
      <w:r>
        <w:t xml:space="preserve">Rotación en Recycling: tres responsables en 2025. Katrin Fricke dejó el cargo a los tres meses, con indemnización y baja retribuida hasta marzo de 2026, y el anterior responsable cobra hasta junio de 2026 en baja retribuida [31, 42, 43].</w:t>
      </w:r>
    </w:p>
    <w:p>
      <w:pPr>
        <w:pStyle w:val="ListParagraph"/>
        <w:numPr>
          <w:ilvl w:val="0"/>
          <w:numId w:val="2"/>
        </w:numPr>
        <w:spacing w:after="60"/>
      </w:pPr>
      <w:r>
        <w:t xml:space="preserve">Scope bajó la calificación de Tomra de A- a BBB+ el 3-jun-2026 por el mayor apalancamiento (compras con deuda) y el menor flujo de caja [8].</w:t>
      </w:r>
    </w:p>
    <w:p>
      <w:pPr>
        <w:pStyle w:val="ListParagraph"/>
        <w:numPr>
          <w:ilvl w:val="0"/>
          <w:numId w:val="2"/>
        </w:numPr>
        <w:spacing w:after="60"/>
      </w:pPr>
      <w:r>
        <w:t xml:space="preserve">Las posiciones cortas declaradas en Finanstilsynet subieron del 0,69 % (oct-2025) al 3,59 % (6-oct-2026), con un máximo del 3,7 % en mayo de 2026; las mayores son JPMorgan AM (1,59 %), Alamut, Capital Fund Management y AQR [49].</w:t>
      </w:r>
    </w:p>
    <w:p>
      <w:pPr>
        <w:pStyle w:val="ListParagraph"/>
        <w:numPr>
          <w:ilvl w:val="0"/>
          <w:numId w:val="2"/>
        </w:numPr>
        <w:spacing w:after="60"/>
      </w:pPr>
      <w:r>
        <w:t xml:space="preserve">Interinidad en relaciones con inversores: desde agosto de 2026 los comunicados los firma un responsable interino, Bing Zhao [50].</w:t>
      </w:r>
    </w:p>
    <w:p>
      <w:pPr>
        <w:pStyle w:val="ListParagraph"/>
        <w:numPr>
          <w:ilvl w:val="0"/>
          <w:numId w:val="2"/>
        </w:numPr>
        <w:spacing w:after="60"/>
      </w:pPr>
      <w:r>
        <w:t xml:space="preserve">En julio de 2025 Tomra dejó de hacer llamadas previas al cierre con analistas y empezó a publicar guías numéricas por división, tras el debate en el mercado sobre esas llamadas [44].</w:t>
      </w:r>
    </w:p>
    <w:p>
      <w:pPr>
        <w:pStyle w:val="ListParagraph"/>
        <w:numPr>
          <w:ilvl w:val="0"/>
          <w:numId w:val="2"/>
        </w:numPr>
        <w:spacing w:after="60"/>
      </w:pPr>
      <w:r>
        <w:t xml:space="preserve">Auditor: PwC desde 2020 (seis años); sin rotación ni salvedades detectadas [1].</w:t>
      </w:r>
    </w:p>
    <w:p>
      <w:pPr>
        <w:pStyle w:val="ListParagraph"/>
        <w:numPr>
          <w:ilvl w:val="0"/>
          <w:numId w:val="2"/>
        </w:numPr>
        <w:spacing w:after="60"/>
      </w:pPr>
      <w:r>
        <w:t xml:space="preserve">Posiciones cortas declaradas del 3,48 % del capital a 20-oct-2026 (JPMorgan AM 1,59 %, Alamut 0,71 %, AQR 0,59 %, CFM 0,59 %), que llegaron al 4,07 % el 16-oct con Citadel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Tomra no da objetivo de grupo: guía por división en cada trimestre. En el 3T26 (23-oct-2026) [11]: Collection, 410-430 MEUR de ingresos en el segundo semestre (antes 400-440; con 217 MEUR en el 3T, el 4T queda en 193-213 MEUR, frente a 207 MEUR en el 4T25), margen bruto &gt;40 % en el semestre y ~40 % en el año, y unos 52 MEUR de gastos por trimestre más 1-2 MEUR de divisa; Recycling, 205-215 MEUR en 2026 (antes 200-215), con el 55 % de la cartera facturada en el 4T, margen bruto del 50-54 % y 16 MEUR brutos de ahorros con efecto pleno en 2027; Food, 347-357 MEUR (antes 340-360) y margen bruto del 43-47 % en el 4T; Horizon, 45-50 MEUR; capex de 90-100 MEUR. Ambiciones hacia 2030 «a lo largo del ciclo»: Collection, dos dígitos y EBITA en la parte alta de la decena; Recycling, dos dígitos y EBITA del 20-25 %; Food, un dígito medio-alto y EBITA hacia el 15 %. Capital Markets Day el 24-nov-2026.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datos del 15-oct-2026, anteriores al 3T26 [57]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datos del 15-oct-2026, anteriores al 3T26 [57]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del 15-oct-2026, anteriores al 3T26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 – 13,38</w:t>
            </w:r>
          </w:p>
        </w:tc>
      </w:tr>
    </w:tbl>
    <w:p>
      <w:pPr>
        <w:spacing w:after="160" w:before="0"/>
      </w:pPr>
    </w:p>
    <w:p>
      <w:pPr>
        <w:pStyle w:val="Heading2"/>
      </w:pPr>
      <w:r>
        <w:t xml:space="preserve">Revisiones de estimaciones</w:t>
      </w:r>
    </w:p>
    <w:p>
      <w:pPr>
        <w:spacing w:after="100"/>
      </w:pPr>
      <w:r>
        <w:t xml:space="preserve">Las estimaciones siguen bajando hasta los resultados. En el consenso que recoge la propia Tomra, del posterior al 2T26 (31-jul-2026, 9 casas) al previo al 3T26 (16-oct-2026, 10 casas): ingresos de 2026 de 1.485 a 1.482 MEUR (−0,2 %) y de 2027 de 1.807 a 1.773 (−1,9 %); EBITA ajustado de 2026 de 189 a 188,5 MEUR y de 2027 de 313 a 296 (−5,3 %); BPA de 2027 0,606 EUR [14, 59]. Del 1T26 al 3T26 el EBITA de 2027 cae un 14 % (344 → 296). MarketScreener (15-oct) va en la misma línea: BPA de 2027 0,555 frente a 0,608 el 8-oct [57]. Objetivos: Jefferies de 105 a 90 NOK (mantener, 15-oct), DNB Carnegie a 75 NOK, y en septiembre recortes de Danske (135 → 125), SB1 Markets (120 → 115) y Fearnley (124 → 120); solo Barclays sube (120 → 140, 1-oct) [76, 77, 79]. Las cifras de después del 3T26 no se han publicado aún (el archivo de consenso posterior da 404).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bl>
    <w:p>
      <w:pPr>
        <w:spacing w:after="160" w:before="0"/>
      </w:pPr>
    </w:p>
    <w:p>
      <w:pPr>
        <w:spacing w:after="100"/>
      </w:pPr>
      <w:r>
        <w:t xml:space="preserve">Tomra pierde un 29,3 % en el año (con dividendos, hasta el 23-oct) frente al +24,5 % del OSEBX y el +3,8 % del sectorial europeo de bienes industriales, y un 17,5 % anual en cinco años frente al +11,6 % del índice [53]. Cotiza a 94,50 NOK, un 6,5 % por encima del mínimo de 52 semanas (88,75 NOK, 15-oct-2026) y un 32 % bajo el máximo (139,50 NOK, 7-ene-2026) [53]. Las caídas tienen fecha y causa: −25,6 % el 24-abr-2026 con el 1T26 (EBITA de 13 M con 13 M de partidas especiales en Recycling), −8,7 % el 13-feb-2026 con el 4T25 y −8,3 % el 7-sep-2026, sin noticia [53]. El día del 3T26 abrió un 11 % arriba (máximo de 103,7 NOK) y cerró con +1,5 %, con casi cinco veces el volumen medio: el mercado leyó bien el trimestre y peor la guía del 4T de Collection [82]. La posición corta declarada bajó del 4,07 % (16-oct) al 3,48 % (20-oct), muy por encima del 0,69 % de octubre de 2025 [49]. La caída máxima de cinco años es del −73,4 % (dic-2021 a oct-2023), cuando el múltiplo de 40 veces el EBITDA se deshizo [53]. Beta de 0,96 frente al OSEBX (mensual, cinco años) y volatilidad del 44,5 % [53].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 -6,5 % / +5,2 % / -27,0 %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 / +7,1 %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(24-abr): EBITA de 13 MEUR con 13 MEUR de reestructuración en Recycling y margen bruto de Collection del 38,6 %; −25,6 % en el día [4,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(17-jul): ingresos +25 % y EBITA de 57 MEUR frente a 47,1 MEUR esperados; dos cadenas británicas eligen a Tomra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sin comunicado de la empresa ni noticia localizada (NewsWeb y Cision sin avisos esa semana)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resultados; en esas semanas DNB Carnegie baja su objetivo a 75 NOK y Jefferies a 90 NOK (15-oct); mínimo de 52 semanas el 15-oct (88,75 NOK) [76, 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por encima del consenso: ingresos 366 frente a 347 MEUR y EBITA ajustado 47 frente a 41 MEUR; guía estrechada al alza en Recycling y Food y Collection del 4T normalizándose; la acción sube un 11 % en la apertura y cierra +1,5 % [11, 78, 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Carta de intenciones para ser proveedor preferente de una gran cadena británica: ~2.000 máquinas desde 2027 (venta, arrendamiento y servicio) [B]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baja su objetivo de 105 a 90 NOK (mantener); DNB Carnegie lo baja a 75 NOK; Barclays lo había subido a 140 NOK el 1-oct [76, 77, 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Cortos declarados del 3,48 % (4,07 % el 16-oct), sin cambios relevantes de los accionistas de referencia; Latour mantiene el 21,08 % [49]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en Asker: actualización de objetivos y de asignación de capital; posible decisión sobre la venta de TOMRA Mining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propuesta de dividendo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baja un 27 % en un año y sigue un 10 % bajo su media de 200 sesiones (tendencia bajista), pero rebota un 6,5 % desde el mínimo del 15-oct. La caída tiene causa conocida: cuatro trimestres de márgenes bajos (1T26) y recortes de estimaciones y objetivos hasta la víspera del 3T. El 3T26 bate al consenso y la reacción se queda en +1,5 % porque el 4T de Collection se normaliza y los pedidos de Recycling llevan 26 MEUR extraordinarios de Mining. No hay colocaciones, ampliaciones, ventas de directivos ni litigios pendientes; el único hecho con fecha es el Capital Markets Day del 24-nov, que puede mover el precio en los dos sentidos y no es ajeno al análisis.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11,1 veces el EBITDA de los últimos 12 meses, Tomra cotiza un 29 % por debajo de su media de cinco años (15,7x) y por debajo del mínimo de esos cierres (14,9x); el PER (29,1x) está un 36 % por debajo de su media (45,8x). El descuento es en buena parte estructural. La media incluye el cierre de 2021, a 40 veces, cuando el mercado pagaba un crecimiento del 12 % anual y un ROIC del 15 %; hoy el crecimiento de 2021-2025 es del 5,3 % anual, el ROIC del 9,8 % y la deuda neta de 2,1 veces el EBITDA frente a 0,6 veces entonces [1, 11]. Además, el Bund ha pasado de tipos negativos al 3,39 % [55]. Lo que no es estructural es el EBITDA de los próximos 12 meses: con el nuestro, el múltiplo baja a 9,5 veces porque 2027 incluye el arranque del Reino Unido.</w:t>
      </w:r>
    </w:p>
    <w:p>
      <w:pPr>
        <w:pStyle w:val="Heading1"/>
      </w:pPr>
      <w:r>
        <w:t xml:space="preserve">18. Comparables cotizados</w:t>
      </w:r>
    </w:p>
    <w:p>
      <w:pPr>
        <w:pStyle w:val="Confianza"/>
        <w:spacing w:after="100"/>
      </w:pPr>
      <w:r>
        <w:t xml:space="preserve">Confianza: Media</w:t>
      </w:r>
    </w:p>
    <w:p>
      <w:pPr>
        <w:spacing w:after="100"/>
      </w:pPr>
      <w:r>
        <w:t xml:space="preserve">Ocho cotizadas que cubren los tres negocios de Tomra con un único proveedor (MarketScreener) [61, 62, 63, 64, 65, 66, 67, 68]. Reverse vending: Envipco, único rival cotizado en máquinas de retorno de envases. Food: JBT Marel (procesado y clasificación de alimentos) y Krones (maquinaria de envasado y bebidas, cliente y vecino de la cadena del envase). Sorting por visión e inspección: Cognex (visión artificial) y Mettler-Toledo (inspección de producto). Tecnología industrial de nicho con márgenes altos: Halma, Alfa Laval y Kardex. Fuera: Steinert, Pellenc ST, Sesotec o Key Technology no cotizan; Kongsberg y Electrolux no comparten negocio. Precios del 23-oct-2026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14,3x / 18,2x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18,1x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22,4x / 27,0x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2,7x / 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16,4 + -0,13 × crecimiento; R² = 0,21. El crecimiento explica poco los múltiplos de estos comparables (R² &lt; 0,3): la regresión no se usa en la valoración.</w:t>
      </w:r>
    </w:p>
    <w:p>
      <w:pPr>
        <w:spacing w:after="100"/>
      </w:pPr>
      <w:r>
        <w:t xml:space="preserve">Tomra cotiza a 9,5 veces el EBITDA de los próximos 12 meses y a 17,8 veces el beneficio, frente a una mediana de la muestra de 14,3 y 22,4 veces [61, 62, 63, 64, 65, 66, 67, 68, 80]. La mediana de EV/EBITDA da 14,75 EUR por acción y la de PER, 11,34 EUR (13,05 EUR de media); la regresión múltiplo-crecimiento no explica nada (R² de 0,21). Las cifras exageran el descuento por dos motivos. Primero, la muestra mezcla empresas de calidad con ROIC muy superiores y poca deuda (Mettler-Toledo a 25,3x, Cognex a 22,8x, Halma a 16,6x) con fabricantes de equipo que cotizan a 4-10 veces (Krones 4,7x, Envipco 4,5x, JBT Marel 9,8x). Segundo, el EBITDA del consenso para 2027 (368 M) [57] es un 13,1 % mayor que el de nuestro caso base. El comparable más directo, Envipco, cotiza a 4,5 veces con un margen EBITDA del 1,4 % y cae un 19,6 % desde el 7-oct [61, 80]. Con un ROIC del 9,8 % y deuda de 2,1 veces, Tomra se parece más al grupo barato que al caro: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(procesado de alimentos)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 Marel)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2-ene-2025: 97,5 % de Marel por 4.272,3 MUSD (acciones de JBT 2.436,3, caja 959,3, deuda de Marel liquidada 867,8, swaps 3,3, opciones 5,6) [69]. Valor empresa al 100 % = (2.436,3+959,3+5,6)/0,975 + 867,8 + 3,3 − 90,0 de caja adquirida = 4269.5 MUSD = 4137 MEUR al tipo del BCE del 2-ene-2025 (1,0321) [54] (sin arrendamientos de Marel, no publicados). Múltiplos sobre las ventas de Marel de 2024 (1.643 MEUR) y su EBITDA ajustado NIIF (200 MEUR) [70]: EBITDA de un año flojo (ventas −5 %), por eso el múltiplo es alto. Prima sobre la cotización no recalculada.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Technology (clasificación óptica de alimentos,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Duravant (capital privado: Warburg Pincus)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26,75 USD por acción en efectivo, cerrada el 20-mar-2018 [71]. Valor empresa = 26,75 × 6,465 M acciones (31-ene-2018) + deuda 4,5 − caja 9,3 (30-sep-2017) = 168.1 MUSD = 137 MEUR al tipo del BCE del 20-mar-2018 (1,2276) [54, 72]. Múltiplos sobre el ejercicio a sep-2017: ventas 139,9 MUSD, EBIT 7,05 + amortizaciones 4,07 = EBITDA 11,1 MUSD [72]. Es el comparable más directo de Tomra Food.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CLYNK (C&amp;C Consolidated Holdings, bag-drop de envases,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el 30-sep-2025: 39,6 MEUR en caja + earn-out de 9,6 MEUR a valor razonable (hitos hasta 2027) = 49,2 MEUR; fondo de comercio 27,5 [1]. Ventas pro forma de 2025 de 24,4 MEUR y EBITA de −0,5 MEUR: el EBITDA no es significativo y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(software y hardware para gestión de residuos,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el 24-oct-2024 por 58,9 MEUR en caja más una opción de venta/compra sobre el 20 % restante valorada en 21,5 MEUR = 80,4 MEUR por el 100 % (precio de las acciones; caja adquirida 3,8 y arrendamientos 4,3) [1]. Ventas pro forma de 2024 de 21,5 MEUR y EBITA de 3,8 MEUR: EV/EBITA ≈ 21x; el EBITDA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de Tomra Collection Australia y Tomra Collection France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de opciones de venta/compra por 53,9 MEUR en 2025, junto con el 40 % restante de Bottlecycler Australia (1,0 MEUR) [1]. No se publica el porcentaje comprado de cada filial ni su EBITDA: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 11,97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del sector publican un múltiplo de EBITDA: JBT pagó 20,7 veces el EBITDA de un mal año de Marel (2,52 veces las ventas) y Duravant, 15,1 veces por Key Technology, el rival más directo de Tomra Food [69, 70, 71, 72]. Las compras de Tomra se hicieron a 2,02 veces las ventas (CLYNK) y 3,74 veces (c-trace) [1]. Con la mediana de EV/ventas (2,27 veces), salen 9,18 EUR por acción. No pesan en el valor objetivo: Tomra es compradora, no objetivo, e Investment AB Latour (21,08 %) preside el consejo y controla el comité de nombramientos [1], así que una opa necesita su acuerdo. La única operación con fecha posible es la venta de TOMRA Mining, que la dirección volvió a confirmar el 23-oct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Se proyecta por división. 2026e queda fijado por enero-septiembre real y la guía del 3T26 [11, 12]: Collection 874 M (671 M hasta septiembre y el centro de los 193-213 M del 4T), Recycling 210 M (205-215 M), Food 352 M (347-357 M) y Horizon 45 M; en total 1.480 M (+12,3 %), en línea con el consenso (1.481 M) [57]. En 2027e, +10,8 %: Collection +13 % con el Reino Unido, que arranca el 1-oct-2027 con unas 25.000 máquinas en la primera fase; Tomra tiene adjudicadas ~3.900 de dos cadenas y una carta de intenciones por ~2.000 más [12, 30]. Recycling +10 % (pedidos de 73 M en el 3T26 y cartera de 124 M) [11]; Food solo +3 %, porque su cartera cae a 110 M, un 20 % menos que un año antes [11]. En 2029e el crecimiento se frena al 4,6 % (Collection +3 %): es el hueco tras el pico, como en 2025 [18]. En 2030e vuelve al 6,2 % con los países de la UE que el PPWR obliga a implantar el depósito [18]. Después baja al 3 % en 2035e. Quedamos un 4,3 % y un 4,1 % por debajo del consenso de ingresos de 2027-2028 [57].</w:t>
      </w:r>
    </w:p>
    <w:p>
      <w:pPr>
        <w:keepNext/>
        <w:spacing w:after="100"/>
      </w:pPr>
      <w:r>
        <w:rPr>
          <w:b/>
          <w:bCs/>
        </w:rPr>
        <w:t xml:space="preserve">Márgenes.</w:t>
      </w:r>
    </w:p>
    <w:p>
      <w:pPr>
        <w:spacing w:after="100"/>
      </w:pPr>
      <w:r>
        <w:t xml:space="preserve">El margen se construye por división con el EBITA, que es la cifra que publica Tomra, y después se limita con la prueba de sostenibilidad. 2026e sale de enero-septiembre y de la guía del 4T: Collection en el 16,4 % (margen bruto del 40,8 % en el 3T26 y en torno al 40 % en el año), Recycling en el 10,4 % antes de 13 M de partidas especiales y Food en el 11,8 % [11, 12]; margen EBITDA del 18,2 %. En 2027e sube al 19,5 %: no se repiten las partidas especiales de Recycling y los 16 M de ahorros tienen efecto pleno [12]. Después sube despacio hasta el 20,3 % en 2035e, entre el 19,7 % de 2025 y el 22,1 % de 2021. El reparto por división que lleva a las ambiciones de la dirección (EBITA del grupo del 16,5 %, EBITDA del 23 %) llevaría el ROIC de 2035e muy por encima del máximo de la serie con un incremental de 2021-2025 negativo: ese es el escenario alcista, no el base. El EBITDA queda a −1,4 %, −13,1 % y −12,9 % del consenso en 2026-2028 [57].</w:t>
      </w:r>
    </w:p>
    <w:p>
      <w:pPr>
        <w:keepNext/>
        <w:spacing w:after="100"/>
      </w:pPr>
      <w:r>
        <w:rPr>
          <w:b/>
          <w:bCs/>
        </w:rPr>
        <w:t xml:space="preserve">Inversión y circulante.</w:t>
      </w:r>
    </w:p>
    <w:p>
      <w:pPr>
        <w:spacing w:after="100"/>
      </w:pPr>
      <w:r>
        <w:t xml:space="preserve">Con NIIF 16 el capex incluye las altas de derechos de uso: 9,1 % de las ventas en 2026e (guía de 90-100 M más ~40 M de arrendamientos) [1, 11], frente al 10,0 % de 2025 y el 8,8 % de 2024, que llevaban la planta de Feedstock y máquinas de throughput. Baja al 7,8 % a largo plazo al terminar el capex de Horizon (la segunda planta se congeló en el 4T25) [36]. La amortización baja del 8,7 % al 7,2 % al agotarse la de intangibles de compras (~26 M en 2025). </w:t>
      </w:r>
      <w:r>
        <w:rPr>
          <w:b/>
        </w:rPr>
        <w:t xml:space="preserve">El circulante va a su nivel real, el 28 % de las ventas</w:t>
      </w:r>
      <w:r>
        <w:t xml:space="preserve">: fue del 30,4 % en 2025 y del 26,6-29,7 % antes, y ronda el 26 % a sep-26 tras cobrar Polonia (flujo operativo de 112 M en el 3T26) [1, 11]. No se baja más porque las existencias para el Reino Unido se acumularán en 2027. Impuestos del 25 % en 2026e y del 24 % después (24,2 % en 2025) [1].</w:t>
      </w:r>
    </w:p>
    <w:p>
      <w:pPr>
        <w:keepNext/>
        <w:spacing w:after="100"/>
      </w:pPr>
      <w:r>
        <w:rPr>
          <w:b/>
          <w:bCs/>
        </w:rPr>
        <w:t xml:space="preserve">Coste del capital.</w:t>
      </w:r>
    </w:p>
    <w:p>
      <w:pPr>
        <w:spacing w:after="100"/>
      </w:pPr>
      <w:r>
        <w:t xml:space="preserve">Tasa libre del 3,39 %: el Bund a 10 años del 23-oct-2026, porque los flujos están en euros [55]; el bono noruego (4,47 %) no se usa porque mediría la corona [56]. </w:t>
      </w:r>
      <w:r>
        <w:rPr>
          <w:b/>
        </w:rPr>
        <w:t xml:space="preserve">Beta de 1,20, reapalancada con la deuda de Tomra.</w:t>
      </w:r>
      <w:r>
        <w:t xml:space="preserve"> La observada es 0,96 frente al OSEBX (mensual, cinco años) y 1,31 frente al STOXX 600 con la acción en euros [53]; ajustadas, 0,97 y 1,21, y su punto medio (1,10) es la beta del accionista marginal, noruego e internacional a la vez (Latour, APG, Vanguard) [1]. Esa beta se midió con una deuda media de 2021-2025 del 12 % del capital: sin deuda equivale a 1,01. Reapalancada con la de hoy (656 M de deuda financiera y arrendamientos frente a 2.670 M de capitalización, el 24,6 %) sube a 1,20 [11]. Prima del 5,5 %, sin prima adicional (Noruega AAA, cuentas en euros). Deuda al 4,4 % antes de impuestos (Bund más un punto por el BBB+ de Scope) [8], con un 19,7 % de peso. Coste del capital propio del 9,99 % y WACC del 8,68 % (8,26 % en el informe del 8-oct, con beta de 1,10 sin reapalancar y Bund del 3,55 %).</w:t>
      </w:r>
    </w:p>
    <w:p>
      <w:pPr>
        <w:keepNext/>
        <w:spacing w:after="100"/>
      </w:pPr>
      <w:r>
        <w:rPr>
          <w:b/>
          <w:bCs/>
        </w:rPr>
        <w:t xml:space="preserve">Valor terminal.</w:t>
      </w:r>
    </w:p>
    <w:p>
      <w:pPr>
        <w:spacing w:after="100"/>
      </w:pPr>
      <w:r>
        <w:t xml:space="preserve">Gordon con un crecimiento del 2,5 %: inflación esperada del euro del 2 % y medio punto real por la regulación de envases, por debajo del techo de coherencia del Bund menos medio punto (2,89 %). El valor terminal pesa el 63 % y equivale a 7,0 veces el EBITDA de 2035e, por debajo de las 11,1 veces actuales y de la media de cinco años (15,7x): el caso base no cuenta con que el mercado vuelva a pagar el múltiplo del pasado. La reinversión del último año (capex 0,6 puntos por encima de la amortización y circulante del 28 %)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(ROIC 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frente al 6,0 %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 (histórico: -1,1 %)</w:t>
            </w:r>
          </w:p>
        </w:tc>
      </w:tr>
    </w:tbl>
    <w:p>
      <w:pPr>
        <w:spacing w:after="160" w:before="0"/>
      </w:pPr>
    </w:p>
    <w:p>
      <w:pPr>
        <w:spacing w:after="100"/>
      </w:pPr>
      <w:r>
        <w:t xml:space="preserve">La proyección reinvierte el 21 % del NOPAT. Con el ROIC del último ejercicio (9,8 %), eso financia un crecimiento del 2,1 % anual, frente al 6,0 % de ingresos proyectado. Supone que el capital nuevo rinde un 31,8 %, frente a un ROIC incremental histórico del -1,1 %.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Enero-septiembre real (+18 %) y el 4T de la guía del 3T26: Collection 874 M (Polonia, Portugal, Singapur, Rumanía y mercados existentes +19 % en el 3T), Recycling 210 M y Food 352 M [11, 12]. Divisa neutra en el año: restó 3 puntos en el 1T26 (Collection +12 %, +15 % a tipo constante) y sumó 2 en el 3T26 (+20 % publicado, +17 % a tipo constante) [7, 12]. CLYNK suma unos 8 M por trimestre desde el 4T25 dentro del volumen [11].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Reino Unido arranca el 1-oct-2027 (~25.000 máquinas en la primera fase; Tomra con ~3.900 adjudicadas y una carta de intenciones por ~2.000) y la renovación alemana hasta 2029; Polonia entra en la cola larga y Food crece solo un 3 % por la cartera (−20 %) [11, 12,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primera fase británica; servicio y throughput crecen con la base instalada (el servicio, +11 % en 2025) [1,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Hueco tras el pico, como el −4 % de Collection en 2025 tras las entregas de 2024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de la UE que el PPWR obliga a implantar el depósito desde 2029 [18].</w:t>
            </w:r>
          </w:p>
        </w:tc>
      </w:tr>
    </w:tbl>
    <w:p>
      <w:pPr>
        <w:spacing w:after="160" w:before="0"/>
      </w:pPr>
    </w:p>
    <w:p>
      <w:pPr>
        <w:spacing w:after="100"/>
      </w:pPr>
      <w:r>
        <w:t xml:space="preserve">En parte, y el caso base se queda en lo financiable. Collection tiene un foso amplio (91.900 máquinas, siete veces la base instalada de Envipco) [18, 19], pero los mercados nuevos se ganan en concurso con menos margen (bruto de Collection del 38,6 % en el 2T26 y del 40,8 % en el 3T26) [4, 11]. Las ventas crecieron un 5,3 % anual en 2021-2025 con el ROIC bajando del 15,0 % al 9,8 %. La proyección crece un 6,0 % anual y reinvierte el 21 % del NOPAT (393 M en diez años): al ROIC actual eso solo financia un 2,1 % anual, y el motor calcula que el capital nuevo tendría que rendir un 31,8 %. Por eso el margen del caso base se limita al que devuelve el ROIC de 2035e a su máximo de la serie (15,5 % frente al 15,0 % de 2021; el medio punto de diferencia viene de llevar el circulante al 28 %): a ese ROIC, la reinversión (21 % del NOPAT) financia un 3,3 % anual, que con 2 puntos de precio cubre el 5,3 % de 2027e-2035e. El 3T26 es la primera prueba de que el capital de 2024-2025 empieza a rendir (EBITA ajustado +55 %, flujo operativo +75 %) [11], pero un trimestre no basta para subir el veredicto. Sin cuota comparable, no hay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 (base: 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 (base: 20,3 %)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8,7 %)</w:t>
            </w:r>
          </w:p>
        </w:tc>
      </w:tr>
    </w:tbl>
    <w:p>
      <w:pPr>
        <w:spacing w:after="160" w:before="0"/>
      </w:pPr>
    </w:p>
    <w:p>
      <w:pPr>
        <w:spacing w:after="100"/>
      </w:pPr>
      <w:r>
        <w:t xml:space="preserve">El DCF da </w:t>
      </w:r>
      <w:r>
        <w:rPr>
          <w:b/>
        </w:rPr>
        <w:t xml:space="preserve">6,14 EUR por acción (64,3 NOK)</w:t>
      </w:r>
      <w:r>
        <w:t xml:space="preserve">, un 32,0 % por debajo del cierre de 9,03 EUR, con un valor terminal que pesa el 63 %. El DCF inverso explica la distancia: </w:t>
      </w:r>
      <w:r>
        <w:rPr>
          <w:b/>
        </w:rPr>
        <w:t xml:space="preserve">al precio actual, el mercado descuenta un crecimiento de los ingresos del 13,3 % anual en 2027e-2035e</w:t>
      </w:r>
      <w:r>
        <w:t xml:space="preserve">, frente al 5,3 % de nuestro caso base, </w:t>
      </w:r>
      <w:r>
        <w:rPr>
          <w:b/>
        </w:rPr>
        <w:t xml:space="preserve">o un margen EBITDA del 24 %</w:t>
      </w:r>
      <w:r>
        <w:t xml:space="preserve"> frente al 20,3 %, con una rentabilidad implícita del 7,2 %, por debajo de nuestro WACC del 8,68 % y cerca del 7,43 % que sale con la prima que hoy pide el mercado. Un margen del 24 % supone que Tomra llega a las ambiciones de la dirección (EBITA del 16,5-18 %) y que el capital de 2024-2025 rinde como en 2021. Con nuestra tasa no hay margen de seguridad: cada medio punto de WACC mueve el valor un 10,7 % y cada punto de margen EBITDA, un 12,9 %. Con la prima del mercado (4,20 %) el WACC baja al 7,43 % y el DCF sube a 8,40 EUR, todavía un 7 %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que ya pasó por separado: tras el pico de Polonia y el Reino Unido, Collection cae como en 2025 (−4 %) y Envipco gana cuota en los concursos con precios bajos; Recycling no sale del margen del 10 % de 2025 y Food vuelve hacia el 5 % de 2024. El margen EBITDA queda dos puntos por debajo del base y 2029 trae una caída de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el Reino Unido llega en 2027 con lo adjudicado y la carta de intenciones, Recycling recupera su margen con los ahorros y Food se queda en el 13-14 %. El margen EBITDA sube al 20,3 %, el que lleva el ROIC de vuelta a su máximo de 2021, por debajo de la ambición de la dirección.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cumple sus ambiciones de 2030 por división (Collection en la parte alta de la decena, Recycling 20-25 %, Food hacia el 15 %) y el PPWR abre depósito en varios países grandes de la UE desde 2029 (Francia, Italia, España), con un crecimiento 1,5 puntos mayor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9,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6,65 EUR (-26,3 %).</w:t>
      </w:r>
    </w:p>
    <w:p>
      <w:pPr>
        <w:spacing w:after="100"/>
      </w:pPr>
      <w:r>
        <w:t xml:space="preserve">El reparto no compensa con nuestro coste de capital: el alcista vale 10,59 EUR (+17,3 %) y el bajista 3,74 EUR (−58,6 %), una asimetría de 0,30 veces; el valor ponderado (25/50/25) es de 6,65 EUR. El bajista no es cosmético: suma tres cosas que Tomra ya ha vivido por separado, el hueco tras un pico de instalación (Collection −4 % en 2025), un Recycling hundido (margen del 22,7 % al 10,2 % entre 2024 y 2025) y un Food en el 5 % (2024) [1, 18]. El alcista solo exige las ambiciones que la propia dirección publica [12]. Con la prima que hoy pide el mercado el cuadro cambia: el bajista queda en 5,19 EUR (−42,5 %) y el alcista en 14,25 EUR (+57,8 %), una asimetría de 1,36 veces.</w:t>
      </w:r>
    </w:p>
    <w:p>
      <w:pPr>
        <w:pStyle w:val="Heading1"/>
      </w:pPr>
      <w:r>
        <w:t xml:space="preserve">22. Suma de partes</w:t>
      </w:r>
    </w:p>
    <w:p>
      <w:pPr>
        <w:pStyle w:val="Confianza"/>
        <w:spacing w:after="100"/>
      </w:pPr>
      <w:r>
        <w:t xml:space="preserve">Confianza: Media</w:t>
      </w:r>
    </w:p>
    <w:p>
      <w:pPr>
        <w:spacing w:after="100"/>
      </w:pPr>
      <w:r>
        <w:t xml:space="preserve">Tomra son tres negocios con perfiles distintos y la suma de partes lo hace visible. Collection aporta 2.282 M de los 2.941 M de valor empresa de la suma (78 %): es una empresa de máquinas de devolución con un 61 % de ingresos recurrentes [18]. Recycling vale 390 M en el fondo de su ciclo (ventas −18 % en 2025; pedidos de 73 M en el 3T26, 47 M sin los 26 M extraordinarios de Mining) [1, 11] y Food 440 M; Horizon, en pérdidas, se lleva a una vez sus ingresos. El EBITA de 2027e de cada división se escala al del caso base del DCF, que la prueba de sostenibilidad limita; en el informe del 8-oct la suma usaba el EBITA del modelo por división sin limitar y daba 8,86 EUR, una cifra que no era coherente con el propio DCF. La suma da ahora 7,72 EUR por acción, un 14,5 % por debajo del precio. La dirección confirmó en el 3T26 que estudia vender TOMRA Mining, dentro de Recycling [12]; una venta por encima de 13 veces su beneficio liberaría valor y reduciría deuda, pero no hay cifras de Mining por separado. No aplicamos descuento de holding: las tres divisiones comparten tecnología de sensores, pero no clientes, y se gestionan por separado.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Máquinas de devolución con el 61 % de los ingresos en servicio, throughput y material [18]. 14 veces el EBITA (≈10,5 veces el EBITDA), por debajo de Halma (16,6 veces el EBITDA de los próximos 12 meses) y Alfa Laval (14,3x) [66, 67, 80], porque 2027e lleva el pico del Reino Unido.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Bienes de equipo cíclicos cerca del fondo: margen EBITA del 14,5 % en 2027e frente al 22,7 % de 2024 [1]. 13 veces un beneficio deprimido equivale a unas 9 veces el de mitad de ciclo.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 Marel cotiza a 9,8 veces el EBITDA de los próximos 12 meses y Duravant pagó 15,1 veces por Key Technology [62, 71, 80]; 11 veces el EBITA por un historial irregular (5 % de margen en 2024)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negocios en pérdidas (Feedstock, Reuse y c-trace): una vez los ingresos de 2026e, frente a las 3,74 veces las ventas que se pagaron por c-trace, la única parte rentable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capitalizados al múltiplo medio de las divisiones.</w:t>
            </w:r>
          </w:p>
        </w:tc>
      </w:tr>
    </w:tbl>
    <w:p>
      <w:pPr>
        <w:spacing w:after="160" w:before="0"/>
      </w:pPr>
    </w:p>
    <w:p>
      <w:pPr>
        <w:spacing w:after="100"/>
      </w:pPr>
      <w:r>
        <w:rPr>
          <w:b/>
          <w:bCs/>
        </w:rPr>
        <w:t xml:space="preserve">Valor por acción por suma de partes:</w:t>
      </w:r>
      <w:r>
        <w:t xml:space="preserve"> 7,72 (-14,5 %); con ±1x en los múltiplos, 6,23 – 9,21.</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9,0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7,57 EUR (-16,2 % sobre 9,03).</w:t>
      </w:r>
    </w:p>
    <w:p>
      <w:pPr>
        <w:spacing w:after="100"/>
      </w:pPr>
      <w:r>
        <w:t xml:space="preserve">El valor objetivo (valor intrínseco) es de </w:t>
      </w:r>
      <w:r>
        <w:rPr>
          <w:b/>
        </w:rPr>
        <w:t xml:space="preserve">7,57 EUR</w:t>
      </w:r>
      <w:r>
        <w:t xml:space="preserve"> (79,23 NOK; −16,2 %): DCF 40 %, escenarios ponderados 30 %, suma de partes 15 % y comparables 15 %. El DCF y los escenarios mandan porque Tomra está a mitad de una ola de instalaciones que cambia sus ingresos año a año y ningún múltiplo actual la recoge. La suma de partes (7,72 EUR) sirve de control porque las tres divisiones tienen perfiles muy distintos. Los comparables pesan poco: dan 13,05 EUR, pero mezclan empresas de calidad a 14-25 veces el EBITDA con fabricantes de equipo a 4-10 veces. Las transacciones (9,18 EUR por EV/ventas) no pesan: Tomra es compradora y Latour controla de hecho la junta. DCF, escenarios y suma de partes quedan entre 6,14 y 7,72 EUR; solo los comparables quedan por encima del precio. El puente resta la deuda financiera (500 M), los arrendamientos (156 M), los minoritarios a valor contable (40 M), las pensiones netas (3,6 M) y 36 M de opciones sobre minoritarios y el earn-out de CLYNK, y suma la caja (67 M) y las asociadas (10,9 M), todo del 30-sep-2026 salvo las opciones [1, 11]: deuda neta ajustada de 629 M (680 M en jun-26). Con la prima del mercado (4,20 %) el objetivo sube a 9,19 EUR (96,19 NOK; +1,8 %). El objetivo medio de nueve analistas está en 11,77 EUR (123,19 NOK) [74].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(23.2x) × 1.1 (tope: la mediana de 5 años, 39.5x,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+148,3 %</w:t>
            </w:r>
          </w:p>
        </w:tc>
      </w:tr>
    </w:tbl>
    <w:p>
      <w:pPr>
        <w:spacing w:after="160" w:before="0"/>
      </w:pPr>
    </w:p>
    <w:p>
      <w:pPr>
        <w:spacing w:after="100"/>
      </w:pPr>
      <w:r>
        <w:rPr>
          <w:b/>
          <w:bCs/>
        </w:rPr>
        <w:t xml:space="preserve">Objetivo a 12 meses (ponderado):</w:t>
      </w:r>
      <w:r>
        <w:t xml:space="preserve"> 13,01 EUR (136,17 NOK) · rentabilidad +46,3 % (base +27,9 %) · señal Mantener.</w:t>
      </w:r>
    </w:p>
    <w:p>
      <w:pPr>
        <w:spacing w:after="100"/>
      </w:pPr>
      <w:r>
        <w:t xml:space="preserve">Para comparar, con la regla v2 (historia al cierre, mismo precio): 19,7x / 23,2x / 30,2x, 32,2 % Mantener; con el tope anterior del base (×1,3, 14-oct mediodía): 72,4 %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(0,445 EUR) queda un 30,9 % por debajo del consenso (0,644) y nuestro precio base a 12 meses (11,35 EUR) un 3,6 % por debajo del objetivo medio de los analistas (11,77) [57, 74]. La diferencia de BPA viene de tres cosas: un 4,1 % menos de ingresos (Reino Unido limitado a lo adjudicado más la carta de intenciones, Food con la cartera un 20 % más baja), un margen EBITDA del 19,8 % frente al 21,8 % del consenso (el que limita la prueba de sostenibilidad) y una amortización mayor (EBIT de 207 M frente a 260 M). El consenso es del 15-oct, anterior al 3T26: el trimestre batió en EBITA (+14,6 %), pero la guía del 4T de Collection apunta a menos, así que no esperamos que las estimaciones de 2028 suban mucho. El precio queda cerca del consenso porque nuestro múltiplo base (25,5x, el actual por 1,1) es mayor que el que implica el objetivo de los analistas sobre su BPA (≈18x).</w:t>
      </w:r>
    </w:p>
    <w:p>
      <w:pPr>
        <w:keepNext/>
        <w:spacing w:after="100"/>
      </w:pPr>
      <w:r>
        <w:rPr>
          <w:b/>
          <w:bCs/>
        </w:rPr>
        <w:t xml:space="preserve">Del valor intrínseco al objetivo a 12 meses.</w:t>
      </w:r>
    </w:p>
    <w:p>
      <w:pPr>
        <w:spacing w:after="100"/>
      </w:pPr>
      <w:r>
        <w:t xml:space="preserve">Valor intrínseco de 7,57 EUR (79,23 NOK; −16,2 %) frente a un objetivo a 12 meses ponderado de 13,01 EUR (136,17 NOK; +46,3 % con dividendo; base 11,35 EUR, +27,9 %). La distancia pasa del 25 %: el objetivo a 12 meses supone que el mercado mantiene un PER de 23-26 veces sobre un BPA que casi se duplica entre 2026e y 2028e por el Reino Unido, mientras que el valor intrínseco, con nuestro WACC del 8,68 %, no paga ese crecimiento. Como el valor intrínseco queda por debajo del precio, la regla a 12 meses da Mantener aunque la rentabilidad ponderada supere el 15 %. Historia del PER y BPA de los casos en la misma base (sin partidas especiales): con ella la mediana adelantada (39,5x) es 1,70 veces el PER de hoy y decide la v3; con el BPA publicado, 2022 saldría a 78,8x y el selector habría elegido la v2 (32,2 %, también Mantener).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2030. Los de 2024 (crecer un 15 % anual, EBITA del 18 %, ROCE de más del 18 %) quedaron lejos: ingresos de 2025 un 2,2 % más bajos y EBITA del 13,2 % [40, 50, 86]. Puede traer la decisión sobre Mining y el tamaño real del Reino Unido. Unos objetivos creíbles por división podrían cerrar parte del descuento; otros inalcanzables, ampliarlo.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las cadenas del Reino Unido y primeras instalaciones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25.000 máquinas en la primera fase y 5.000-10.000 en la segunda. Tomra tiene ~3.900 de dos cadenas y una carta de intenciones por ~2.000 (21-oct) [12, 30]. Cada cadena adicional mueve los ingresos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TOMRA Mining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confirmó el 23-oct que estudia venderla [12]. Reduciría la deuda (2,1 veces el EBITDA) y la exposición a minería, pero no hay cifras separadas para valorarla.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contrato de Nueva Gales del Sur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ha presentado oferta en el concurso de renovación de la red de devolución del estado [16]. Oceanía pesa el 9,5 % de los ingresos del grupo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sistema de depósito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está obligada a implantarlo tras recoger el 41 % de las botellas en 2023; la designación del operador está en fase de aprobación estatal [4,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la guía del 4T de Collection (193-213 M) y primera guía de 2027 con el Reino Unido. Dividendo dentro de la política del 40-60 % del BPA (2,15 NOK en los dos últimos años) [12, 46, 86].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Hueco tras el pico de instalación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−5,2 % por cada punto menos de crecimiento anual; el bajista suma una caída de un año en 2029 (−58,6 %)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 de servicio, reposición y throughput (61 % de Collection), renovación alemana hasta 2029 y nuevos mercados por el PPWR desde 2029 [12,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nuevos mercados por trimestre (24 M en el 3T26, 69 M en el 2T26) y cadenas adjudicadas en el Reino Unido [11,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producto en los mercados nuevos y competencia de Envipco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−12,7 %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recoge el 58 % de los envases en Polonia y su margen bruto supera en 8 puntos al de Envipco [16,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por debajo del 40 % (40,8 % en el 3T26, 38,6 % en el 2T26)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vuelve a márgenes de un dígito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−25 % si el margen EBITA de Food vuelve al 5 % de 2024 (−2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2024 cumplido: 14,4 % de margen en 2025 [1,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Food por debajo de 80 M por trimestre (75 M en el 3T26) y cartera por debajo de 110 M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se queda en el fondo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−16 % si su margen se queda en el 10 % (−1,3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73 M en el 3T26 (47 M sin Mining), margen bruto del 47,7 % y 16 M de ahorros con efecto pleno en 2027 [11,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sin extraordinarios por debajo de 50 M y cartera por debajo de 100 M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rating y covenant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−10,7 % por cada 0,5 puntos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bajando (2,1 veces el EBITDA en sep-26), 135 M de líneas sin disponer y vida media de 3,8 años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 o patrimonio por debajo del 32 % del activo (covenant del 30 %; 36 % en sep-26) [1, 8,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alineación de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una prima adicional de 0,5 puntos restaría un 10,7 %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Latour es un accionista estable desde hace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voto en contra de la remuneración por encima del 35 % o cambios en el incentivo a largo plazo (hoy solo BPA) [31,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contrato de Nueva Gales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(estimación propia: la mitad de los ingresos de Oceanía, 9,5 % del grupo, con margen medio)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es el operador histórico de la red y ya ha presentado oferta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concurso de renovación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aranceles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del EBITA por cada 10 % de apreciación del euro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en Europa y precios en divisa local; solo el 15 % de los ingresos son ventas en EE. UU. [4,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por encima de 1,25 dólares o aranceles a la maquinaria europea; en el 3T26 la divisa sumó 7 M a los ingresos (2 puntos) y restó en los gastos por la corona [12].</w:t>
            </w:r>
          </w:p>
        </w:tc>
      </w:tr>
    </w:tbl>
    <w:p>
      <w:pPr>
        <w:spacing w:after="160" w:before="0"/>
      </w:pPr>
    </w:p>
    <w:p>
      <w:pPr>
        <w:pStyle w:val="Heading2"/>
      </w:pPr>
      <w:r>
        <w:t xml:space="preserve">Pre-mortem</w:t>
      </w:r>
    </w:p>
    <w:p>
      <w:pPr>
        <w:spacing w:after="100"/>
      </w:pPr>
      <w:r>
        <w:t xml:space="preserve">Octubre de 2029: la acción vale unos 5,0 EUR (52 NOK), un 45 % menos. La historia empezó en el Reino Unido. Las dos cadenas que eligieron a Tomra en 2026 y la de la carta de intenciones se quedaron en eso: el resto de los concursos lo ganó Envipco, que pujó con precios de entrada como en Rumanía, y Tomra tuvo que igualar en los siguientes [19]. El margen bruto de Collection, que bajó al 38,6 % con Polonia y apenas volvió al 40,8 % en el 3T26, no recuperó el 41,7 % de 2025. Después de las instalaciones de 2027, 2028 trajo el hueco: como en 2025, los ingresos de nuevos mercados cayeron a la mitad y la cola de servicio no llenó el vacío [18]. El 4T26 ya avisó: la guía de Collection pedía que los mercados existentes se «normalizaran» tras un 3T con conversiones puntuales en Canadá [12]. Mientras, Recycling no se recuperó porque los 26 M de pedidos de Mining fueron un hecho aislado, y Food, con la cartera un 20 % más baja, volvió a perder margen. Con el EBITA en el 12 % y la deuda de nuevo en 2,5 veces el EBITDA, Scope bajó otro escalón y Tomra tuvo que recortar el dividendo. El Capital Markets Day de 2026 había prometido de nuevo un 18 % de EBITA en 2030; nadie lo creyó. Las señales estaban en 2026-2027: un margen bruto de Collection por debajo del 40 %, pocas cadenas británicas adjudicadas y unos pedidos de Recycling sin extraordinarios por debajo de 50 M por trimestre.</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Ratings (opinión de segunda parte sobre el Green Financing Framework)</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Dark Green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negocio de TOMRA es el propio motor ESG: la regulación de envases (SUP, PPWR) le da la demanda de Collection y de Recycling [18, 20]. El 98 % de sus emisiones es de alcance 3, sobre todo la electricidad que consumen las máquinas vendidas (categoría 11). Con base en 2022, le falta un 30 % para sus objetivos de 2033 y un 19 % para los de 2050 [18]. Sus objetivos los validó la SBTi (cero neto en 2050) [18]. El modelo de </w:t>
      </w:r>
      <w:r>
        <w:rPr>
          <w:i/>
        </w:rPr>
        <w:t xml:space="preserve">throughput</w:t>
      </w:r>
      <w:r>
        <w:t xml:space="preserve">, en que TOMRA conserva la máquina, es también su vía de reducción de emisiones y de financiación verde: los bonos verdes financian la flota arrendada en Australia, Letonia, Estonia, Canadá y EE. UU. [18].</w:t>
      </w:r>
    </w:p>
    <w:p>
      <w:pPr>
        <w:pStyle w:val="Heading2"/>
      </w:pPr>
      <w:r>
        <w:t xml:space="preserve">Controversias</w:t>
      </w:r>
    </w:p>
    <w:p>
      <w:pPr>
        <w:spacing w:after="100"/>
      </w:pPr>
      <w:r>
        <w:t xml:space="preserve">En el informe anual de 2025 no figuran sanciones, litigios relevantes ni incidentes graves [18]. No se ha hecho una búsqueda exhaustiva en prensa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~25.000 máquinas de la primera fase espera ganar Tomra además de las ~3.900 de dos cadenas y las ~2.000 de la carta de intenciones, con qué mezcla de venta y arrendamiento y con qué margen de producto frente a Polonia?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caso base y el consenso de 2027 (EBITDA un 13,1 % menor); el margen bruto de Collection cayó al 38,6 % con Polonia [12, 30, 57].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existentes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193 M de mercados existentes del 3T26 (+19 %) son conversiones puntuales (quioscos de Canadá, renovación alemana) y qué crecimiento recurrente queda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del 4T de Collection (193-213 M frente a 207 M en el 4T25) habla de «normalización» y fue lo que deshizo la subida del 23-oct [12, 82].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Después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servicio y reposición deja cada máquina instalada en un mercado nuevo en los cinco años siguientes, y cuánto cayeron los ingresos de Austria, Hungría e Irlanda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al 13 % de Collection en 2025 y la división cayó un 4 % [18]; es el riesgo de 2029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Throughput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164,9 M de «arrendamiento y throughput» de Collection es throughput puro, con qué rentabilidad sobre el capital y con qué duración de contratos (Nueva Gales del Sur, Quebec, Bálticos)?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recurrente y el que más capital consume; Tomra no lo separa del arrendamiento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Mining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EBITA y capital empleado tiene Mining, y la venta se haría para reducir deuda o para reinvertir en Collection?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confirmó el 23-oct [12]; Mining aportó 26 M de pedidos extraordinarios en el 3T26 y no hay cifras separadas.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máximo de deuda neta sobre EBITDA que acepta el consejo tras la rebaja de Scope a BBB+, y qué prioridad tiene el dividendo frente al capex del Reino Unido?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1,6 a 2,5 veces el EBITDA en 18 meses y solo ha vuelto a 2,1 veces con el cobro de Polonia [1, 8,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incentivo a largo plazo depende solo del BPA y no del ROCE, después de tres juntas con un 36-42 % de votos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ROCE cayó del 22,9 % al 15,4 % entre 2021 y 2025 sin que el incentivo lo recoja [1, 31, 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 cartera de Food cae a 110 M (137 M un año antes) y qué margen tienen los grandes proyectos de centrales hortofrutícolas con equipo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es un cuarto de las ventas; nuestra proyección solo le da un 3 % de crecimiento en 2027e por la cartera [11].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Substack «Norwegian Hidden Gems» (resumen de la conferencia del 3T26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el 3T26 como «otro paso para recuperar la confianza»: márgenes y caja mejores y el Reino Unido más visible; pide prudencia con los pedidos de Mining y la cartera de Food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comentarios, TMRAY/TMRAF)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últimos artículos de autores independientes son de compra («Bottom valuation opens for an entry», abril; «I'm ready to add shares after Q2», julio), con muy poco debate en los comentarios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TradeDesk (página de la acción con señales y comentarios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técnica de «venta fuerte» por la tendencia bajista (bajo las medias de 50 y 200 sesiones) y el modelo vendió la acción el 7-sep; destaca la diferencia con el objetivo medio de los analistas (+30 %)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y titulares de prensa económica nórdica tras el 3T26 (DN, Placera, E24)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«Heftig aksjebyks» y «väsentligt bättre än väntat» por la mañana; la subida se deshizo durante el día, y los lectores discuten si el 4T de Collection vuelve a decepcionar [78,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 como siguiente ola de instalaciones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por los datos: ~25.000 máquinas en la primera fase, Tomra con ~3.900 adjudicadas y una carta de intenciones por ~2.000 más; el margen de esas máquinas es la incógnita (Polonia bajó el margen bruto de Collection al 38,6 %) [83].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márgenes y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EBITA ajustado sube al 12,9 % y el flujo operativo a 112 MEUR; pero el EBITA de 9M26 (11,8 %) sigue lejos del 18 % prometido para 2030 [83].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los pedidos de Recycling y cartera de Food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Recycling sin Mining extraordinario fueron 47 MEUR; la cartera de Food baja un 20 % interanual: la gente acierta al pedir prudencia [83].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Tendencia del precio y cortos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está un 10 % bajo su media de 200 sesiones y los cortos rondan el 3,5 %; es momento, no fundamento [75].</w:t>
            </w:r>
          </w:p>
        </w:tc>
      </w:tr>
    </w:tbl>
    <w:p>
      <w:pPr>
        <w:spacing w:after="160" w:before="0"/>
      </w:pPr>
    </w:p>
    <w:p>
      <w:pPr>
        <w:spacing w:after="100"/>
      </w:pPr>
      <w:r>
        <w:t xml:space="preserve">El sentimiento de los particulares es dividido y algo mejor que hace tres meses: los que siguen la empresa de cerca ven en el 3T26 el principio de la recuperación y el Reino Unido como catalizador; los que miran el precio ven una tendencia bajista y una subida que se deshizo en el día. No es extremo en ningún sentido (ni euforia ni capitulación) y coincide con el consenso de analistas (compra mayoritaria con objetivos a la baja). No aporta ningún riesgo que el informe no recoja: el margen del Reino Unido, la cartera de Food y el carácter extraordinario de los pedidos de Mining ya están en los riesgos. Debate escaso: la acción tiene poca conversación pública en inglés.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4 explicados. Fuentes: 86 (47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capital nuevo tendría que rendir más de 1,25 veces el histórico):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31,8 % frente a un ROIC de 9,8 % y un incremental histórico de -1,1 %: crecimiento que la empresa no ha demostrado poder comprar. Explicación: El margen del caso base es el de la v3 del 8-oct: el que lleva el ROIC de 2035e al máximo de la serie 2021-2025. Con el circulante del 28 % (antes el 30 %) el capital de 2035e baja a 1.514 M y el ROIC queda en el 15,5 %, medio punto por encima del 15,0 % de 2021; con el circulante del 30 % volvería al 15,0 %. El 31,8 % de la prueba atribuye al capital nuevo toda la subida del NOPAT, de 110 M a 235 M, también la del capital ya invertido: si los 1.121 M de 2025 vuelven al 15 % de 2021, ya dan 58 M más. No es optimismo del caso base, sino la vuelta del capital de 2024-2025 (Feedstock, flota de throughput, existencias y cobros de Polonia) al rendimiento que ya tuvo. El 3T26 apunta en esa dirección: EBITA ajustado un 55 % mayor con ingresos un 20 % mayores y deuda neta que baja de 2,5 a 2,1 veces el EBITDA [11]. El veredicto sigue siendo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30,4 % real: genera una variación de circulante de 14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95 M de flujo libre medio en sus tres primeros años, frente a 13 M de media real en los tres últimos: justifica el salto (circulante, inversión, márgenes) o ajusta los supuestos. Explicación: El flujo libre de 2023-2025 (13 M de media) lo deprimieron el capex de Horizon (Feedstock, 25 M en 2025, congelado en el 4T25), las máquinas de throughput y la acumulación de existencias y cobros de los mercados nuevos. El 3T26 ya muestra el cambio: flujo operativo de 112 M en el trimestre (64 M un año antes) al cobrar Polonia [11]. La guía de capex de 2026 baja a 90-100 M [11] y la proyección pone el circulante en el 28 % de las ventas, entre el 26 % de sep-26 y el 30,4 %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0,21: el crecimiento no explica los múltiplos de estos comparables; no uses el valor de la regresión. Explicación: No se usa: el R² es de 0,21 y la muestra mezcla empresas de calidad con múltiplos de 14-25 veces el EBITDA y fabricantes de equipo a 4-10 veces.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(32,1x → 22,8x): el salto implica un crecimiento del EBITDA que no cuadra con el de las ventas. ¿EBITDA de proveedores distintos, o un cambio de perímetro? Explicación: Cognex pasa de 32,1x a 22,8x porque su EBITDA de MarketScreener se recupera tras un ejercicio deprimido; mismo proveedor para los dos múltiplos [65]. No mueve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13, 45, 52, 58, 60,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en EUR y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en NOK [9]; 2) cifras clave en EUR del informe anual 2025 (solo partidas resumidas); 3) conversión propia con el tipo medio del BCE de 2021 (10,1633) para cuenta y flujos y el de cierre (9,9888) para balance [9,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cuadra con la empresa: ingresos 1.073 frente a 1.074, EBIT 153 frente a 153, activo 1.160 frente a 1.160); 2016-2020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2024 (solo reexpresa 2023); 2) cifras clave del informe anual 2025 (solo partidas resumidas); 3) conversión propia de las cuentas en NOK del informe anual 2023 con el tipo medio del BCE (10,1026 NOK/EUR) para la cuenta y los flujos y el de cierre (10,5138) para el balance [3,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(cuadra con las cifras clave en EUR de la empresa: ingresos 1.206 frente a 1.205, activo 1.325 frente a 1.325, flujo operativo 114 frente a 114)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del 2T26 y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Webcast de qcnl.tv (vídeo, sin transcripción); 2) Seeking Alpha (transcripción del 3T26 del 23-oct, bloqueada a la lectura automática); 3) FinancialFilings (solo 4T25 y 1T26) y roic.ai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resume el mensaje de la dirección en los informes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(2025-2024); 2) informe anual 2024 (2023, con Horizon reexpresado); 3) informe anual 2023 en NOK con otra segmentación (sin Horizon)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2023-2025; el EBIT de 2023 por segmento no se publica (solo el EBITA, citado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throughput separados del arrendamiento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(los junta en «Lease of equipment»); 2) nota 9 de arrendamientos; 3) informes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agregado de arrendamiento y throughput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frente al consenso previo de 4T24 a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(no lo publican); 2) archivos de consenso de la web de Tomra: solo se conservan los de 2026, y el del 1T26 no da el real; 3) prensa (EFN, Placera): solo encontrados el 2T26 y el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esos trimestres; 2T26 y 3T26 «Superior»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mundial de Tomra en máquinas de devolución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TOMRA: solo dice «alta cuota de mercado» y líder mundial desde hace más de 50 años, sin porcentaje; 2) búsqueda de presentaciones del día del inversor: la de 2013 hablaría del 55-65 %, pero solo lo da el resumen del buscador, sin abrir el documento, y está desfasada; 3) derivación: no hay base instalada mundial publicada (solo TOMRA 91.900 y Envipco 13.000); en Polonia, ~54 % (7.000 de ~13.000); repetido el 26-oct con la presentación del 3T26: da el tamaño británico (~25.000 + 5.000-10.000 máquinas), no una cuota mundial [12]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Pellenc ST (ventas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Pappers (registro mercantil francés): 403; 2) prensa regional (echodumardi): 503; 3) solo el resumen del buscador (75,7 M EUR en 2024),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Sielaff, RVM Systems, Kansmacker, Diebold Nixdorf (RVM), Redwave, Key Technology, Satake, Machinex, AMP Robotics, Unitec, Aweta, MAF Roda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de tiempo y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 mercado de clasificación por sensores (reciclaje/minería) y de clasificación de alimentos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P&amp;S Intelligence: clasificadoras ópticas 3.121,9 M USD en 2024, alimentos el 40 % (leído); 2) GM Insights y Market Research Future para minería: 121,1 M USD frente a 1.400 M USD, cifras incompatibles y solo del resumen del buscador; 3) otros informes de clasificadoras ópticas (2.830 M y 3.410 M USD) solo del resumen del buscador,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RVM (Credence, MRFR): sin cuotas por empresa; 2) informe anual de TOMRA: sin cuota; 3) no derivable sin la base instalada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TOMRA en nuevos mercados en 2021-2023 (serie completa de la curva posterior al pico)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2022-2024 de TOMRA: la URL con el mismo patrón que la de 2025 devuelve HTML, no el PDF; 2) notas del 4T24 en Inderes: dan Collection (203 M EUR) sin desglose de nuevos mercados; 3) financialfilings.com: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2024 (20 %) y 2025 (13 %) del informe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ley de depósito en Nueva York (Bigger Better Bottle Bill), Massachusetts e Illinois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Reloop 2024 da solo los sistemas vigentes;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 e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solo cita la opinión «Dark Green» de S&amp;P sobre el marco verde; 2) página de Sustainalytics (WebFetch y curl): se renderiza con JavaScript, sin la puntuación; MSCI: igual; 3) el resumen del buscador da 27,4 (riesgo medio) en Sustainalytics,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de los últimos tres años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sin sanciones ni litigios relevantes; 2) no se buscó en prensa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responsable en Food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Tomra en NewsWeb y Cision de oct-2024 a oct-2026: solo hay cambios en Recycling; 2) informes 4T25, 1T26 y 2T26 y avisos de operaciones de mayo de 2026: Harald Henriksen sigue como EVP de Food; 3) informe de remuneraciones 2025: sin altas ni bajas en Food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cambio que registrar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Kathleen Wantz-O'Rourke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asigna comisiones; 2) informe del 2T26 y comunicados posteriores: no lo mencionan; 3) el informe anual 2025 es anterior a su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dan el recuento total, no por accionista; 2) acta de 2026: los 62.400.000 votos de Latour fueron como delegación con instrucciones al presidente; 3) cálculo propio suponiendo que Latour votó a favor de todos los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legibles; 2) archivos de consenso de la web de inversores de Tomra: solo se conservan los de 2026 (los de 2025 dan 404 con tres nombres distintos); 3) Wayback Machine de MarketScreener: no accesible desde la herramienta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las revisiones de abr-jul 2026 con el consenso de Tomra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no se consultó Stock Analysis por límite de llamadas; 3) cálculo propio: requiere balances de 8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Compac (2016) y BBC Technologies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Tomra sobre Compac (reproducido en PotatoPro): sin precio; 2) blog de Tomra: 404; 3) búsqueda de BBC Technologies cortada; la cifra de NZD 70 M de un resumen de buscador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opciones de minoritarios y earn-out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no desglosa otros pasivos; 2) informe anual 2025, nota 19: 36,0 MEUR a 31-dic-2025; 3) derivarlo de la caída de otros pasivos no corrientes (64 a 35): no separable de pensiones y reclasificaciones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cifra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publicada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la capitalización de Tomra en texto; 2) Euronext: sin capitalización en la descarga; 3) Investing: no la da en la página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posteriores al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Archivo de consenso posterior al 3T26 de la web de Tomra (404 el 26-oct); 2) MarketScreener (datos del 15-oct, sin actualizar); 3) Yahoo y TradeDesk (solo objetivo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las previas al 3T26 y se dice; el 3T26 batió al consenso (EBITA +14,6 %)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noruegos (Hegnar Online, Shareville)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(TMRAY: 404); 2) foro de Finansavisen (requiere cuenta); 3) Affärsvärlden (fallo de descarga)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sentimiento con confianza baja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https://mb.cision.com/Main/4659/4324262/3994762.pdf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2024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https://mb.cision.com/Main/4659/4122280/3335937.pdf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2023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https://mb.cision.com/Main/4659/3950358/2688750.pdf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2nd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https://mb.cision.com/Public/4659/4375609/90ae85da3cc47035.pdf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4th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https://mb.cision.com/Public/4659/4307254/b2ddd275a5c7fc81.pdf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First Quarter 2026 Results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https://mb.cision.com/Public/4659/4339633/82950f699ce17ff8.pdf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1st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https://mb.cision.com/Public/4659/4339633/bf755228e9c6400d.pdf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Scope downgrades credit rating from A- to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https://news.cision.com/tomra-systems-asa/r/tomra--scope-downgrades-credit-rating-from-a--to-bbb-,c4357020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2022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https://mb.cision.com/Main/4659/3737269/1927965.pdf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3rd quarter 2026 (informe trimestral, cuentas intermedias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https://mb.cision.com/Public/4659/4414197/b4b00b5c4776540f.pdf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3rd quarter 2026 results announcement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https://mb.cision.com/Public/4659/4414197/a754dee9f1f58a0b.pdf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2026 Results Announcement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https://mb.cision.com/Public/4659/4414197/886e50a1b684ffdb.pdf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Q3 TOMRA consensus - pre results (xlsx, 10 casas)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https://www.tomra.com/-/media/project/tomra/tomra/investor-relations/consensus/2026-q3-tomra-consensus---pre-results.xlsx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slår förväntningarna (2T26 frente al consenso de Infront)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https://efn.se/tomra-slar-forvantningarna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https://mb.cision.com/Public/4659/4375609/b475f54895650140.pdf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https://mb.cision.com/Public/4659/4375609/b26433a62f6ca5ba.pdf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2025 «Circular Foundations»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https://www.tomra.com/-/media/project/tomra/tomra/investor-relations/annual-reports/2025/tomra-annual-report-2025.pdf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Annual Report 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https://filings.xbrl.org/7245009QH646WM76PR25/2025-12-31/ESEF/NL/0/envipcoholdingnv-2025-12-31-1-en/reports/envipcoholdingnv-2025-12-31-1-en.xhtml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Deposit Book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https://www.reloopplatform.org/wp-content/uploads/2024/12/Reloop-Global-Deposit-Book-2024.pdf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Credence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https://www.credenceresearch.com/report/reverse-vending-machine-market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https://www.marketresearchfuture.com/reports/reverse-vending-machine-market-12194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Optical Sorter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https://psmarketresearch.com/market-analysis/optical-sorter-market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Bühler loses sales in 2025, but increases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(bluewin.ch)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https://www.bluewin.ch/en/news/buehler-loses-sales-in-2025-but-increases-profitability-3098492.html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https://storage.mfn.se/4a7ee7d4-8955-4450-8c77-0b89d4cab2f2/2025-q4-and-fy-2025-press-release-final.pdf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2024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https://uploads4.craft.co/uploads/unified_record/source/document/2172316/4d4b4894ebc60475.pdf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2023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https://uploads3.craft.co/uploads/unified_record/source/document/2172305/866e80aabb2015aa.pdf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(TOMRA 50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https://www.tomra.com/about-tomra/our-history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Appointed preferred supplier to leading retail chain in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https://news.cision.com/tomra-systems-asa/r/tomra--appointed-preferred-supplier-to-leading-retail-chain-in-uk,c4413419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https://mb.cision.com/Public/4659/4327824/a1c2de5dfdb642c0.pdf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2026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https://mb.cision.com/Public/4659/4339571/afbd45e3ed0436a6.pdf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2025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https://api3.oslo.oslobors.no/v1/newsreader/attachment?messageId=645441&amp;attachmentId=303757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2024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https://api3.oslo.oslobors.no/v1/newsreader/attachment?messageId=616917&amp;attachmentId=281433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2026 Information Pack (convocatoria y recomendación del comité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https://mb.cision.com/Public/4659/4327824/b9e9d767de90cd03.pdf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https://api3.oslo.oslobors.no/v1/newsreader/attachment?messageId=665757&amp;attachmentId=318991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segundo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https://api3.oslo.oslobors.no/v1/newsreader/attachment?messageId=651394&amp;attachmentId=308486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https://api3.oslo.oslobors.no/v1/newsreader/attachment?messageId=638722&amp;attachmentId=297922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https://api3.oslo.oslobors.no/v1/newsreader/attachment?messageId=671383&amp;attachmentId=324013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Capital Markets Day 2024 (ambiciones 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https://newsweb.oslobors.no/message/627042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Recycling announces cost reduction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https://news.cision.com/tomra-systems-asa/r/tomra--tomra-recycling-announces-cost-reduction-program,c4305681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Lars Enge appointed as EVP of TOMRA Recycling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https://newsweb.oslobors.no/message/654600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EVP TOMRA Recycling announces retirement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https://newsweb.oslobors.no/message/636443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adjusts practice for pre-close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https://newsweb.oslobors.no/message/650681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Share buyback program completed (programas de enero y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Key information relating to proposed cash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https://news.cision.com/tomra-systems-asa/r/tomra--key-information-relating-to-proposed-cash-dividend,c4307248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operaciones de directivos (Managers' transactions) de Tomra Systems, oct-2025 a oct-2026 (mensajes 658614, 659004, 659246, 662249, 663199, 667277, 674958, 674963, 676098, 676255 y 678853)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https://newsweb.oslobors.no/search?category=1102&amp;issuer=2392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participaciones significativas (flagging) de Tomra Systems, abr-2025 a sep-2026 (mensajes 643113, 651013, 665805, 665956, 667938 y 683297)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https://newsweb.oslobors.no/search?category=1005&amp;issuer=2392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(Short Sale Register), Tomra Systems NO0012470089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Invitation to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https://news.cision.com/tomra-systems-asa/r/tomra--invitation-to-capital-markets-day-2026,c4387027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NewsWeb (Oslo Børs): avisos de Tomra Systems del 15-jul al 26-oct-2026 (resultados, directivos, participaciones, tipos de interés)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https://api3.oslo.oslobors.no/v1/newsreader/list?issuer=TOM&amp;fromDate=2026-07-15&amp;toDate=2026-10-26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(NO0012470089, XOSL): precios históricos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https://live.euronext.com/en/ajax/AwlHistoricalPrice/getFullDownloadAjax/NO0012470089-XOSL?format=csv&amp;decimal_separator=.&amp;date_form=d/m/Y&amp;op=&amp;adjusted=Y&amp;base100=&amp;startdate=2025-10-01&amp;enddate=2026-10-08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TOM.OL, OSEBX.OL, ^STOXX, EXSA.DE y EXH4.DE (bolsa.mjs, hasta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https://finance.yahoo.com/quote/TOM.OL/history/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serie histórica (eurofxref-hist)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https://data-api.ecb.europa.eu/service/data/EXR/D.NOK.EUR.SP00.A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bond generic rates, 10 años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https://data.norges-bank.no/api/data/GOVT_GENERIC_RATES/B.10Y.GBON?format=csv&amp;startPeriod=2026-10-15&amp;endPeriod=2026-10-26&amp;locale=en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previsiones financieras (finances), datos del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(TOM): consensus estimates,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https://www.investing.com/equities/tomra-systems-consensus-estimates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TOMRA consensus - post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https://www.tomra.com/-/media/project/tomra/tomra/investor-relations/consensus/2026-q2-tomra-consensus---post-results.xlsx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Q1 TOMRA consensus - pre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https://www.tomra.com/-/media/project/tomra/tomra/investor-relations/consensus/2026-q1-tomra-consensus---pre-results.xlsx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https://www.marketscreener.com/quote/stock/ENVIPCO-HOLDING-N-V-46512764/finances/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Kardex Holding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https://www.marketscreener.com/quote/stock/KARDEX-HOLDING-AG-5252517/finances/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 Form 10-Q del primer trimestre de 2025 (nota de la adquisición de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https://www.sec.gov/Archives/edgar/data/1433660/000143366025000026/jbt-20250331.htm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JBT standalone fourth quarter and full year 2024 results; highlights on Marel 2024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https://www.sec.gov/Archives/edgar/data/1433660/000143366025000002/a2024q4earningsexhibit9918k.htm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completes acquisition of Key Technology (SC TO-T/A, exhibit (a)(1)(P))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https://www.sec.gov/Archives/edgar/data/0000906193/000119312518089214/d554357dex99a1p.htm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Technology Inc., datos XBRL (10-K del ejercicio a sep-2017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https://data.sec.gov/api/xbrl/companyfacts/CIK0000906193.json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acquires New Zealand sorting machine manufacturer Compac (comunicado de TOMRA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PotatoPro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https://www.potatopro.com/nl/news/2016/tomra-acquires-new-zealand-sorting-machine-manufacturer-compac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(TOM.OL): ficha de análisis (objetivo medio y número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https://finance.yahoo.com/quote/TOM.OL/analysis/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kursmål 2026/2027 (objetivo medio de los analistas y cortos)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https://tradedesk.dk/no/aksjer/tom.ol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Tomra-Aktie: Tomra meldet Umsatzplus. Jefferies senkt Ziel auf 90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https://www.ad-hoc-news.de/boerse/news/nebenwerte/tomra-aktie-tomra-meldet-umsatzplus-jefferies-senkt-ziel-auf-90-nok/70401894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Systems-Aktie legt nach starken Quartalszahlen und Prognoseanhebung kräftig zu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(alemán)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https://de.investing.com/news/stock-market-news/tomra-systemsaktie-legt-nach-starken-quartalszahlen-und-prognoseanhebung-kraftig-zu-93CH-3719458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Tomras justerade ebita väsentligt bättre än väntat (Finwire)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https://www.placera.se/nyheter/tomras-justerade-ebita-vasentligt-battre-an-vantat-2026-10-23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consenso y cambios de precio objetivo por casa (datos del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los comparables (ENVIP.OL, JBTM, KRN.DE, MTD, CGNX, HLMA.L, ALFA.ST, KARN.SW), cierres del 7 y el 23-oct-2026, y tipos del BCE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y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Heftig aksjebyks for Tomra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Dagens Næringsliv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https://www.dn.no/bors/tomra/heftig-aksjebyks-for-tomra/2-1-2062800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TOM.OL, cotización intradía del 23-oct-2026 (barras de 30 minutos)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https://query1.finance.yahoo.com/v8/finance/chart/TOM.OL?interval=30m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Q3 2026: Key Takeaways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Hidden Gems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https://norwaystocks.substack.com/p/tomra-q3-2026-key-takeaways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noticias y análisis (feed y artículos de autores,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https://seekingalpha.com/api/sa/combined/TMRAF.xml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(Capital Markets Day el 24-nov-2026, 4T26 el 12-feb-2027)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https://www.tomra.com/investor-relations/financial-calendar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92,7 %</w:t>
      </w:r>
      <w:r>
        <w:t xml:space="preserve"> · Secciones con menos del 60 % de campos cubiertos: </w:t>
      </w:r>
      <w:r>
        <w:rPr>
          <w:b/>
          <w:bCs/>
        </w:rPr>
        <w:t xml:space="preserve">riesgos</w:t>
      </w:r>
      <w:r>
        <w:t xml:space="preserve"> · Generado el 26 oct 2026.</w:t>
      </w:r>
    </w:p>
    <w:p>
      <w:pPr>
        <w:pStyle w:val="Nota"/>
        <w:spacing w:after="100"/>
      </w:pPr>
      <w:r>
        <w:t xml:space="preserve">Una sola línea cotizada (Euronext Oslo Børs, TOM), en coronas noruegas; las cuentas se presentan en euros desde 2024, con 2023 reexpresado [1, 2]. Todo el informe va en euros; el precio, el valor objetivo y los niveles de compra y venta también se dan en NOK con el tipo del BCE del 23-oct-2026 (10,4665 NOK por euro) [54]. El precio es el cierre oficial del viernes 23-oct-2026 (94,50 NOK), el día de los resultados del 3T26: la sesión del lunes 26 no había cerrado a la hora del análisis [53]. Rentabilidades, beta y volatilidad llegan al 23-oct [53]. </w:t>
      </w:r>
      <w:r>
        <w:rPr>
          <w:b/>
        </w:rPr>
        <w:t xml:space="preserve">2021 y 2022 son conversiones propias</w:t>
      </w:r>
      <w:r>
        <w:t xml:space="preserve"> de las cuentas en NOK con los tipos del BCE (medio del año para cuenta y flujos, cierre para balance); cuadran con las cifras clave en euros que publica la empresa [1, 3, 9]. Los segmentos actuales (Collection, Recycling, Food, Horizon) solo están publicados desde 2023 [2]. Los precios y el BPA anteriores a 2023 van ajustados por el desdoblamiento 2:1 de ese año [53]. El puente y las acciones (295,7 M sin autocartera) son del 30-sep-2026 [11]; las opciones sobre minoritarios y el earn-out de CLYNK son de diciembre de 2025, porque el 3T26 no los desglosa [1]. No hemos podido leer la transcripción de la conferencia del 3T26 (Seeking Alpha bloquea la lectura automática): el texto de resultados resume el informe y la presentación. El consenso con EBITDA (MarketScreener, 15-oct) es anterior al 3T26 y el de después de resultados aún no está publicado; el objetivo medio (9 analistas) es del 26-oct [57, 74]. Los comparables llevan las estimaciones del 8-oct con el precio del 23-oct [80]. La cuota mundial de Tomra en máquinas de devolución no se publica.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TOMRA Systems ASA (TOM)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9,03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(8,48 – 13,33)</c:v>
                </c:pt>
                <c:pt idx="1">
                  <c:v>Precio objetivo de los analistas (7,17 – 13,38)</c:v>
                </c:pt>
                <c:pt idx="2">
                  <c:v>Comparables: EV/EBITDA NTM (7,89 – 19,32)</c:v>
                </c:pt>
                <c:pt idx="3">
                  <c:v>Comparables: PER NTM (8,09 – 13,66)</c:v>
                </c:pt>
                <c:pt idx="4">
                  <c:v>Transacciones precedentes (EV/ventas) (6,90 – 11,97)</c:v>
                </c:pt>
                <c:pt idx="5">
                  <c:v>DCF (WACC y g ± 0,5) (5,13 – 7,53)</c:v>
                </c:pt>
                <c:pt idx="6">
                  <c:v>Escenarios (bajista – alcista) (3,74 – 10,59)</c:v>
                </c:pt>
                <c:pt idx="7">
                  <c:v>Suma de partes (6,23 – 9,21)</c:v>
                </c:pt>
                <c:pt idx="8">
                  <c:v>DCF con la prima implícita del mercado (4,2 %)</c:v>
                </c:pt>
                <c:pt idx="9">
                  <c:v>Precio actual (9,03)</c:v>
                </c:pt>
              </c:strCache>
            </c:strRef>
          </c:cat>
          <c:val>
            <c:numRef>
              <c:f>Hoja1!$B$2:$B$11</c:f>
              <c:numCache>
                <c:formatCode>#,##0.0</c:formatCode>
                <c:ptCount val="10"/>
                <c:pt idx="0">
                  <c:v>8.48</c:v>
                </c:pt>
                <c:pt idx="1">
                  <c:v>7.17</c:v>
                </c:pt>
                <c:pt idx="2">
                  <c:v>7.89</c:v>
                </c:pt>
                <c:pt idx="3">
                  <c:v>8.09</c:v>
                </c:pt>
                <c:pt idx="4">
                  <c:v>6.9</c:v>
                </c:pt>
                <c:pt idx="5">
                  <c:v>5.13</c:v>
                </c:pt>
                <c:pt idx="6">
                  <c:v>3.74</c:v>
                </c:pt>
                <c:pt idx="7">
                  <c:v>6.23</c:v>
                </c:pt>
                <c:pt idx="8">
                  <c:v>7.37</c:v>
                </c:pt>
                <c:pt idx="9">
                  <c:v>8.98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(8,48 – 13,33)</c:v>
                </c:pt>
                <c:pt idx="1">
                  <c:v>Precio objetivo de los analistas (7,17 – 13,38)</c:v>
                </c:pt>
                <c:pt idx="2">
                  <c:v>Comparables: EV/EBITDA NTM (7,89 – 19,32)</c:v>
                </c:pt>
                <c:pt idx="3">
                  <c:v>Comparables: PER NTM (8,09 – 13,66)</c:v>
                </c:pt>
                <c:pt idx="4">
                  <c:v>Transacciones precedentes (EV/ventas) (6,90 – 11,97)</c:v>
                </c:pt>
                <c:pt idx="5">
                  <c:v>DCF (WACC y g ± 0,5) (5,13 – 7,53)</c:v>
                </c:pt>
                <c:pt idx="6">
                  <c:v>Escenarios (bajista – alcista) (3,74 – 10,59)</c:v>
                </c:pt>
                <c:pt idx="7">
                  <c:v>Suma de partes (6,23 – 9,21)</c:v>
                </c:pt>
                <c:pt idx="8">
                  <c:v>DCF con la prima implícita del mercado (4,2 %)</c:v>
                </c:pt>
                <c:pt idx="9">
                  <c:v>Precio actual (9,03)</c:v>
                </c:pt>
              </c:strCache>
            </c:strRef>
          </c:cat>
          <c:val>
            <c:numRef>
              <c:f>Hoja1!$C$2:$C$11</c:f>
              <c:numCache>
                <c:formatCode>#,##0.0</c:formatCode>
                <c:ptCount val="10"/>
                <c:pt idx="0">
                  <c:v>4.85</c:v>
                </c:pt>
                <c:pt idx="1">
                  <c:v>6.210000000000001</c:v>
                </c:pt>
                <c:pt idx="2">
                  <c:v>11.43</c:v>
                </c:pt>
                <c:pt idx="3">
                  <c:v>5.57</c:v>
                </c:pt>
                <c:pt idx="4">
                  <c:v>5.07</c:v>
                </c:pt>
                <c:pt idx="5">
                  <c:v>2.4000000000000004</c:v>
                </c:pt>
                <c:pt idx="6">
                  <c:v>6.85</c:v>
                </c:pt>
                <c:pt idx="7">
                  <c:v>2.9800000000000004</c:v>
                </c:pt>
                <c:pt idx="8">
                  <c:v>2.29</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Collection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697.4</c:v>
                </c:pt>
                <c:pt idx="1">
                  <c:v>773.1</c:v>
                </c:pt>
                <c:pt idx="2">
                  <c:v>740.5</c:v>
                </c:pt>
              </c:numCache>
            </c:numRef>
          </c:val>
        </c:ser>
        <c:ser>
          <c:idx val="1"/>
          <c:order val="1"/>
          <c:tx>
            <c:strRef>
              <c:f>Hoja1!$C$1</c:f>
              <c:strCache>
                <c:ptCount val="1"/>
                <c:pt idx="0">
                  <c:v>Recycling</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270.1</c:v>
                </c:pt>
                <c:pt idx="1">
                  <c:v>265.8</c:v>
                </c:pt>
                <c:pt idx="2">
                  <c:v>218.2</c:v>
                </c:pt>
              </c:numCache>
            </c:numRef>
          </c:val>
        </c:ser>
        <c:ser>
          <c:idx val="2"/>
          <c:order val="2"/>
          <c:tx>
            <c:strRef>
              <c:f>Hoja1!$D$1</c:f>
              <c:strCache>
                <c:ptCount val="1"/>
                <c:pt idx="0">
                  <c:v>Food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319.6</c:v>
                </c:pt>
                <c:pt idx="1">
                  <c:v>310.9</c:v>
                </c:pt>
                <c:pt idx="2">
                  <c:v>328</c:v>
                </c:pt>
              </c:numCache>
            </c:numRef>
          </c:val>
        </c:ser>
        <c:ser>
          <c:idx val="3"/>
          <c:order val="3"/>
          <c:tx>
            <c:strRef>
              <c:f>Hoja1!$E$1</c:f>
              <c:strCache>
                <c:ptCount val="1"/>
                <c:pt idx="0">
                  <c:v>Horizon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0.8</c:v>
                </c:pt>
                <c:pt idx="1">
                  <c:v>7.4</c:v>
                </c:pt>
                <c:pt idx="2">
                  <c:v>32.2</c:v>
                </c:pt>
              </c:numCache>
            </c:numRef>
          </c:val>
        </c:ser>
        <c:ser>
          <c:idx val="4"/>
          <c:order val="4"/>
          <c:tx>
            <c:strRef>
              <c:f>Hoja1!$F$1</c:f>
              <c:strCache>
                <c:ptCount val="1"/>
                <c:pt idx="0">
                  <c:v>Funciones de grupo y 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Collection</c:v>
                </c:pt>
                <c:pt idx="1">
                  <c:v>Recycling</c:v>
                </c:pt>
                <c:pt idx="2">
                  <c:v>Food</c:v>
                </c:pt>
                <c:pt idx="3">
                  <c:v>Horizon</c:v>
                </c:pt>
                <c:pt idx="4">
                  <c:v>Funciones de grupo y eliminaciones</c:v>
                </c:pt>
              </c:strCache>
            </c:strRef>
          </c:cat>
          <c:val>
            <c:numRef>
              <c:f>Hoja1!$B$2:$B$6</c:f>
              <c:numCache>
                <c:formatCode>General</c:formatCode>
                <c:ptCount val="5"/>
                <c:pt idx="0">
                  <c:v>56.1</c:v>
                </c:pt>
                <c:pt idx="1">
                  <c:v>16.5</c:v>
                </c:pt>
                <c:pt idx="2">
                  <c:v>24.9</c:v>
                </c:pt>
                <c:pt idx="3">
                  <c:v>2.4</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Resto de Europa</c:v>
                </c:pt>
                <c:pt idx="1">
                  <c:v>Norteamérica</c:v>
                </c:pt>
                <c:pt idx="2">
                  <c:v>Oceanía</c:v>
                </c:pt>
                <c:pt idx="3">
                  <c:v>Norte de Europa</c:v>
                </c:pt>
                <c:pt idx="4">
                  <c:v>Asia</c:v>
                </c:pt>
                <c:pt idx="5">
                  <c:v>Sudamérica</c:v>
                </c:pt>
                <c:pt idx="6">
                  <c:v>África</c:v>
                </c:pt>
              </c:strCache>
            </c:strRef>
          </c:cat>
          <c:val>
            <c:numRef>
              <c:f>Hoja1!$B$2:$B$8</c:f>
              <c:numCache>
                <c:formatCode>0"%"</c:formatCode>
                <c:ptCount val="7"/>
                <c:pt idx="0">
                  <c:v>43.4</c:v>
                </c:pt>
                <c:pt idx="1">
                  <c:v>25.6</c:v>
                </c:pt>
                <c:pt idx="2">
                  <c:v>9.5</c:v>
                </c:pt>
                <c:pt idx="3">
                  <c:v>9.3</c:v>
                </c:pt>
                <c:pt idx="4">
                  <c:v>6.8</c:v>
                </c:pt>
                <c:pt idx="5">
                  <c:v>3.6</c:v>
                </c:pt>
                <c:pt idx="6">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 de RVM según Market Research Future; 2030e interpolado con su TCAC del 5,52 %))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2030e</c:v>
                </c:pt>
                <c:pt idx="3">
                  <c:v>2035e</c:v>
                </c:pt>
              </c:strCache>
            </c:strRef>
          </c:cat>
          <c:val>
            <c:numRef>
              <c:f>Hoja1!$B$2:$B$5</c:f>
              <c:numCache>
                <c:formatCode>#,##0</c:formatCode>
                <c:ptCount val="4"/>
                <c:pt idx="0">
                  <c:v>446.5</c:v>
                </c:pt>
                <c:pt idx="1">
                  <c:v>471.1</c:v>
                </c:pt>
                <c:pt idx="2">
                  <c:v>616</c:v>
                </c:pt>
                <c:pt idx="3">
                  <c:v>806.3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Tomra</c:v>
                </c:pt>
                <c:pt idx="1">
                  <c:v>Envipco Holding</c:v>
                </c:pt>
                <c:pt idx="2">
                  <c:v>Bühler Group</c:v>
                </c:pt>
                <c:pt idx="3">
                  <c:v>JBT Marel</c:v>
                </c:pt>
                <c:pt idx="4">
                  <c:v>STEINERT GmbH</c:v>
                </c:pt>
              </c:strCache>
            </c:strRef>
          </c:cat>
          <c:val>
            <c:numRef>
              <c:f>Hoja1!$B$2:$B$6</c:f>
              <c:numCache>
                <c:formatCode>0.0"%"</c:formatCode>
                <c:ptCount val="5"/>
                <c:pt idx="0">
                  <c:v>11</c:v>
                </c:pt>
                <c:pt idx="1">
                  <c:v>-8.4</c:v>
                </c:pt>
                <c:pt idx="2">
                  <c:v>8</c:v>
                </c:pt>
                <c:pt idx="3">
                  <c:v>5</c:v>
                </c:pt>
                <c:pt idx="4">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1073.3</c:v>
                </c:pt>
                <c:pt idx="1">
                  <c:v>1206.4</c:v>
                </c:pt>
                <c:pt idx="2">
                  <c:v>1287.9</c:v>
                </c:pt>
                <c:pt idx="3">
                  <c:v>1347.6</c:v>
                </c:pt>
                <c:pt idx="4">
                  <c:v>1318.3</c:v>
                </c:pt>
                <c:pt idx="5">
                  <c:v>1480</c:v>
                </c:pt>
                <c:pt idx="6">
                  <c:v>1641</c:v>
                </c:pt>
                <c:pt idx="7">
                  <c:v>1741</c:v>
                </c:pt>
                <c:pt idx="8">
                  <c:v>1821</c:v>
                </c:pt>
                <c:pt idx="9">
                  <c:v>1934</c:v>
                </c:pt>
                <c:pt idx="10">
                  <c:v>2035</c:v>
                </c:pt>
                <c:pt idx="11">
                  <c:v>2129</c:v>
                </c:pt>
                <c:pt idx="12">
                  <c:v>2214</c:v>
                </c:pt>
                <c:pt idx="13">
                  <c:v>2292</c:v>
                </c:pt>
                <c:pt idx="14">
                  <c:v>2361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236.9</c:v>
                </c:pt>
                <c:pt idx="1">
                  <c:v>233.7</c:v>
                </c:pt>
                <c:pt idx="2">
                  <c:v>240.9</c:v>
                </c:pt>
                <c:pt idx="3">
                  <c:v>261.40000000000003</c:v>
                </c:pt>
                <c:pt idx="4">
                  <c:v>259.9</c:v>
                </c:pt>
                <c:pt idx="5">
                  <c:v>269</c:v>
                </c:pt>
                <c:pt idx="6">
                  <c:v>320</c:v>
                </c:pt>
                <c:pt idx="7">
                  <c:v>345</c:v>
                </c:pt>
                <c:pt idx="8">
                  <c:v>364</c:v>
                </c:pt>
                <c:pt idx="9">
                  <c:v>389</c:v>
                </c:pt>
                <c:pt idx="10">
                  <c:v>410</c:v>
                </c:pt>
                <c:pt idx="11">
                  <c:v>430</c:v>
                </c:pt>
                <c:pt idx="12">
                  <c:v>448</c:v>
                </c:pt>
                <c:pt idx="13">
                  <c:v>465</c:v>
                </c:pt>
                <c:pt idx="14">
                  <c:v>479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60.2</c:v>
                </c:pt>
                <c:pt idx="1">
                  <c:v>58.5</c:v>
                </c:pt>
                <c:pt idx="2">
                  <c:v>59.4</c:v>
                </c:pt>
                <c:pt idx="3">
                  <c:v>59.7</c:v>
                </c:pt>
                <c:pt idx="4">
                  <c:v>63.2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19.4</c:v>
                </c:pt>
                <c:pt idx="2">
                  <c:v>18.7</c:v>
                </c:pt>
                <c:pt idx="3">
                  <c:v>19.4</c:v>
                </c:pt>
                <c:pt idx="4">
                  <c:v>19.7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14.2</c:v>
                </c:pt>
                <c:pt idx="1">
                  <c:v>11.9</c:v>
                </c:pt>
                <c:pt idx="2">
                  <c:v>11.2</c:v>
                </c:pt>
                <c:pt idx="3">
                  <c:v>12</c:v>
                </c:pt>
                <c:pt idx="4">
                  <c:v>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c:v>
                </c:pt>
                <c:pt idx="1">
                  <c:v>8.4</c:v>
                </c:pt>
                <c:pt idx="2">
                  <c:v>4.6</c:v>
                </c:pt>
                <c:pt idx="3">
                  <c:v>7</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12</c:v>
                </c:pt>
                <c:pt idx="1">
                  <c:v>5</c:v>
                </c:pt>
                <c:pt idx="2">
                  <c:v>-2</c:v>
                </c:pt>
                <c:pt idx="3">
                  <c:v>-6</c:v>
                </c:pt>
                <c:pt idx="4">
                  <c:v>-4</c:v>
                </c:pt>
                <c:pt idx="5">
                  <c:v>9</c:v>
                </c:pt>
                <c:pt idx="6">
                  <c:v>25</c:v>
                </c:pt>
                <c:pt idx="7">
                  <c:v>19.6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5">
                  <c:v>12</c:v>
                </c:pt>
                <c:pt idx="7">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79</c:v>
                </c:pt>
                <c:pt idx="2">
                  <c:v>78</c:v>
                </c:pt>
                <c:pt idx="3">
                  <c:v>78</c:v>
                </c:pt>
                <c:pt idx="4">
                  <c:v>80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161</c:v>
                </c:pt>
                <c:pt idx="1">
                  <c:v>164</c:v>
                </c:pt>
                <c:pt idx="2">
                  <c:v>166</c:v>
                </c:pt>
                <c:pt idx="3">
                  <c:v>151</c:v>
                </c:pt>
                <c:pt idx="4">
                  <c:v>192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c:v>
                </c:pt>
                <c:pt idx="1">
                  <c:v>46</c:v>
                </c:pt>
                <c:pt idx="2">
                  <c:v>51</c:v>
                </c:pt>
                <c:pt idx="3">
                  <c:v>41</c:v>
                </c:pt>
                <c:pt idx="4">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85.39999999999999</c:v>
                </c:pt>
                <c:pt idx="1">
                  <c:v>-4.8</c:v>
                </c:pt>
                <c:pt idx="2">
                  <c:v>-3.1999999999999957</c:v>
                </c:pt>
                <c:pt idx="3">
                  <c:v>60.599999999999994</c:v>
                </c:pt>
                <c:pt idx="4">
                  <c:v>-19.099999999999994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107.4</c:v>
                </c:pt>
                <c:pt idx="1">
                  <c:v>101.8</c:v>
                </c:pt>
                <c:pt idx="2">
                  <c:v>59.5</c:v>
                </c:pt>
                <c:pt idx="3">
                  <c:v>93.8</c:v>
                </c:pt>
                <c:pt idx="4">
                  <c:v>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13.3</c:v>
                </c:pt>
                <c:pt idx="2">
                  <c:v>12</c:v>
                </c:pt>
                <c:pt idx="3">
                  <c:v>12.5</c:v>
                </c:pt>
                <c:pt idx="4">
                  <c:v>9.8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8.7</c:v>
                </c:pt>
                <c:pt idx="2">
                  <c:v>8.7</c:v>
                </c:pt>
                <c:pt idx="3">
                  <c:v>8.7</c:v>
                </c:pt>
                <c:pt idx="4">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9.9</c:v>
                </c:pt>
                <c:pt idx="3">
                  <c:v>15.7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0.59</c:v>
                </c:pt>
                <c:pt idx="1">
                  <c:v>1.11</c:v>
                </c:pt>
                <c:pt idx="2">
                  <c:v>1.32</c:v>
                </c:pt>
                <c:pt idx="3">
                  <c:v>1.52</c:v>
                </c:pt>
                <c:pt idx="4">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7.3</c:v>
                </c:pt>
                <c:pt idx="1">
                  <c:v>49.4</c:v>
                </c:pt>
                <c:pt idx="2">
                  <c:v>162.4</c:v>
                </c:pt>
                <c:pt idx="3">
                  <c:v>72.5</c:v>
                </c:pt>
                <c:pt idx="4">
                  <c:v>225.7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c:v>
                </c:pt>
                <c:pt idx="1">
                  <c:v>0.3</c:v>
                </c:pt>
                <c:pt idx="2">
                  <c:v>12.4</c:v>
                </c:pt>
                <c:pt idx="3">
                  <c:v>81.6</c:v>
                </c:pt>
                <c:pt idx="4">
                  <c:v>104.1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43.6</c:v>
                </c:pt>
                <c:pt idx="1">
                  <c:v>87.7</c:v>
                </c:pt>
                <c:pt idx="2">
                  <c:v>45.4</c:v>
                </c:pt>
                <c:pt idx="3">
                  <c:v>49.8</c:v>
                </c:pt>
                <c:pt idx="4">
                  <c:v>54.8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12.7</c:v>
                </c:pt>
                <c:pt idx="2">
                  <c:v>0</c:v>
                </c:pt>
                <c:pt idx="3">
                  <c:v>0</c:v>
                </c:pt>
                <c:pt idx="4">
                  <c:v>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1</c:v>
                </c:pt>
                <c:pt idx="1">
                  <c:v>4</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Investment AB Latour</c:v>
                </c:pt>
                <c:pt idx="1">
                  <c:v>Folketrygdfondet</c:v>
                </c:pt>
                <c:pt idx="2">
                  <c:v>APG Asset Management</c:v>
                </c:pt>
                <c:pt idx="3">
                  <c:v>Inter Long Term Capital S.A.</c:v>
                </c:pt>
                <c:pt idx="4">
                  <c:v>DNB Asset Management</c:v>
                </c:pt>
                <c:pt idx="5">
                  <c:v>Nordea Funds</c:v>
                </c:pt>
                <c:pt idx="6">
                  <c:v>KIRKBI Invest A/S</c:v>
                </c:pt>
                <c:pt idx="7">
                  <c:v>PGGM Vermogensbeheer</c:v>
                </c:pt>
                <c:pt idx="8">
                  <c:v>The Vanguard Group</c:v>
                </c:pt>
                <c:pt idx="9">
                  <c:v>Autocartera</c:v>
                </c:pt>
              </c:strCache>
            </c:strRef>
          </c:cat>
          <c:val>
            <c:numRef>
              <c:f>Hoja1!$B$2:$B$11</c:f>
              <c:numCache>
                <c:formatCode>0.0"%"</c:formatCode>
                <c:ptCount val="10"/>
                <c:pt idx="0">
                  <c:v>21.08</c:v>
                </c:pt>
                <c:pt idx="1">
                  <c:v>4.94</c:v>
                </c:pt>
                <c:pt idx="2">
                  <c:v>4.98</c:v>
                </c:pt>
                <c:pt idx="3">
                  <c:v>5.21</c:v>
                </c:pt>
                <c:pt idx="4">
                  <c:v>4.96</c:v>
                </c:pt>
                <c:pt idx="5">
                  <c:v>3.9</c:v>
                </c:pt>
                <c:pt idx="6">
                  <c:v>3.82</c:v>
                </c:pt>
                <c:pt idx="7">
                  <c:v>3.44</c:v>
                </c:pt>
                <c:pt idx="8">
                  <c:v>3.38</c:v>
                </c:pt>
                <c:pt idx="9">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48.4</c:v>
                </c:pt>
                <c:pt idx="2">
                  <c:v>50.4</c:v>
                </c:pt>
                <c:pt idx="3">
                  <c:v>45.5</c:v>
                </c:pt>
                <c:pt idx="4">
                  <c:v>52.9</c:v>
                </c:pt>
                <c:pt idx="5">
                  <c:v>50.4</c:v>
                </c:pt>
                <c:pt idx="6">
                  <c:v>-46.7</c:v>
                </c:pt>
                <c:pt idx="7">
                  <c:v>-24.6</c:v>
                </c:pt>
                <c:pt idx="8">
                  <c:v>20.4</c:v>
                </c:pt>
                <c:pt idx="9">
                  <c:v>-6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40</c:v>
                </c:pt>
                <c:pt idx="6">
                  <c:v>21.1</c:v>
                </c:pt>
                <c:pt idx="7">
                  <c:v>14.9</c:v>
                </c:pt>
                <c:pt idx="8">
                  <c:v>15.7</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15.7</c:v>
                </c:pt>
                <c:pt idx="1">
                  <c:v>15.7</c:v>
                </c:pt>
                <c:pt idx="2">
                  <c:v>15.7</c:v>
                </c:pt>
                <c:pt idx="3">
                  <c:v>15.7</c:v>
                </c:pt>
                <c:pt idx="4">
                  <c:v>15.7</c:v>
                </c:pt>
                <c:pt idx="5">
                  <c:v>15.7</c:v>
                </c:pt>
                <c:pt idx="6">
                  <c:v>15.7</c:v>
                </c:pt>
                <c:pt idx="7">
                  <c:v>15.7</c:v>
                </c:pt>
                <c:pt idx="8">
                  <c:v>15.7</c:v>
                </c:pt>
                <c:pt idx="9">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Tomra</c:v>
                </c:pt>
                <c:pt idx="1">
                  <c:v>Envipco Holding</c:v>
                </c:pt>
                <c:pt idx="2">
                  <c:v>JBT Marel</c:v>
                </c:pt>
                <c:pt idx="3">
                  <c:v>Krones</c:v>
                </c:pt>
                <c:pt idx="4">
                  <c:v>Mettler-Toledo</c:v>
                </c:pt>
                <c:pt idx="5">
                  <c:v>Cognex</c:v>
                </c:pt>
                <c:pt idx="6">
                  <c:v>Halma</c:v>
                </c:pt>
                <c:pt idx="7">
                  <c:v>Alfa Laval</c:v>
                </c:pt>
                <c:pt idx="8">
                  <c:v>Kardex</c:v>
                </c:pt>
              </c:strCache>
            </c:strRef>
          </c:cat>
          <c:val>
            <c:numRef>
              <c:f>Hoja1!$B$2:$B$10</c:f>
              <c:numCache>
                <c:formatCode>0.0"x"</c:formatCode>
                <c:ptCount val="9"/>
                <c:pt idx="0">
                  <c:v>9.5</c:v>
                </c:pt>
                <c:pt idx="1">
                  <c:v>4.5</c:v>
                </c:pt>
                <c:pt idx="2">
                  <c:v>9.8</c:v>
                </c:pt>
                <c:pt idx="3">
                  <c:v>4.7</c:v>
                </c:pt>
                <c:pt idx="4">
                  <c:v>25.3</c:v>
                </c:pt>
                <c:pt idx="5">
                  <c:v>22.8</c:v>
                </c:pt>
                <c:pt idx="6">
                  <c:v>16.6</c:v>
                </c:pt>
                <c:pt idx="7">
                  <c:v>14.3</c:v>
                </c:pt>
                <c:pt idx="8">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Tomra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9.5</c:v>
                </c:pt>
              </c:numCache>
            </c:numRef>
          </c:yVal>
          <c:smooth val="0"/>
        </c:ser>
        <c:ser>
          <c:idx val="1"/>
          <c:order val="1"/>
          <c:tx>
            <c:strRef>
              <c:f>Hoja1!$A$3</c:f>
              <c:strCache>
                <c:ptCount val="1"/>
                <c:pt idx="0">
                  <c:v>Envipco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84.9</c:v>
                </c:pt>
              </c:numCache>
            </c:numRef>
          </c:xVal>
          <c:yVal>
            <c:numRef>
              <c:f>Hoja1!$C$3</c:f>
              <c:numCache>
                <c:formatCode>0.0"x"</c:formatCode>
                <c:ptCount val="1"/>
                <c:pt idx="0">
                  <c:v>4.5</c:v>
                </c:pt>
              </c:numCache>
            </c:numRef>
          </c:yVal>
          <c:smooth val="0"/>
        </c:ser>
        <c:ser>
          <c:idx val="2"/>
          <c:order val="2"/>
          <c:tx>
            <c:strRef>
              <c:f>Hoja1!$A$4</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5.4</c:v>
                </c:pt>
              </c:numCache>
            </c:numRef>
          </c:xVal>
          <c:yVal>
            <c:numRef>
              <c:f>Hoja1!$C$4</c:f>
              <c:numCache>
                <c:formatCode>0.0"x"</c:formatCode>
                <c:ptCount val="1"/>
                <c:pt idx="0">
                  <c:v>9.8</c:v>
                </c:pt>
              </c:numCache>
            </c:numRef>
          </c:yVal>
          <c:smooth val="0"/>
        </c:ser>
        <c:ser>
          <c:idx val="3"/>
          <c:order val="3"/>
          <c:tx>
            <c:strRef>
              <c:f>Hoja1!$A$5</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4.7</c:v>
                </c:pt>
              </c:numCache>
            </c:numRef>
          </c:yVal>
          <c:smooth val="0"/>
        </c:ser>
        <c:ser>
          <c:idx val="4"/>
          <c:order val="4"/>
          <c:tx>
            <c:strRef>
              <c:f>Hoja1!$A$6</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25.3</c:v>
                </c:pt>
              </c:numCache>
            </c:numRef>
          </c:yVal>
          <c:smooth val="0"/>
        </c:ser>
        <c:ser>
          <c:idx val="5"/>
          <c:order val="5"/>
          <c:tx>
            <c:strRef>
              <c:f>Hoja1!$A$7</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12.7</c:v>
                </c:pt>
              </c:numCache>
            </c:numRef>
          </c:xVal>
          <c:yVal>
            <c:numRef>
              <c:f>Hoja1!$C$7</c:f>
              <c:numCache>
                <c:formatCode>0.0"x"</c:formatCode>
                <c:ptCount val="1"/>
                <c:pt idx="0">
                  <c:v>22.8</c:v>
                </c:pt>
              </c:numCache>
            </c:numRef>
          </c:yVal>
          <c:smooth val="0"/>
        </c:ser>
        <c:ser>
          <c:idx val="6"/>
          <c:order val="6"/>
          <c:tx>
            <c:strRef>
              <c:f>Hoja1!$A$8</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12.8</c:v>
                </c:pt>
              </c:numCache>
            </c:numRef>
          </c:xVal>
          <c:yVal>
            <c:numRef>
              <c:f>Hoja1!$C$8</c:f>
              <c:numCache>
                <c:formatCode>0.0"x"</c:formatCode>
                <c:ptCount val="1"/>
                <c:pt idx="0">
                  <c:v>16.6</c:v>
                </c:pt>
              </c:numCache>
            </c:numRef>
          </c:yVal>
          <c:smooth val="0"/>
        </c:ser>
        <c:ser>
          <c:idx val="7"/>
          <c:order val="7"/>
          <c:tx>
            <c:strRef>
              <c:f>Hoja1!$A$9</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9.2</c:v>
                </c:pt>
              </c:numCache>
            </c:numRef>
          </c:xVal>
          <c:yVal>
            <c:numRef>
              <c:f>Hoja1!$C$9</c:f>
              <c:numCache>
                <c:formatCode>0.0"x"</c:formatCode>
                <c:ptCount val="1"/>
                <c:pt idx="0">
                  <c:v>14.3</c:v>
                </c:pt>
              </c:numCache>
            </c:numRef>
          </c:yVal>
          <c:smooth val="0"/>
        </c:ser>
        <c:ser>
          <c:idx val="8"/>
          <c:order val="8"/>
          <c:tx>
            <c:strRef>
              <c:f>Hoja1!$A$10</c:f>
              <c:strCache>
                <c:ptCount val="1"/>
                <c:pt idx="0">
                  <c:v>Kardex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c:v>
                </c:pt>
              </c:numCache>
            </c:numRef>
          </c:xVal>
          <c:yVal>
            <c:numRef>
              <c:f>Hoja1!$C$10</c:f>
              <c:numCache>
                <c:formatCode>0.0"x"</c:formatCode>
                <c:ptCount val="1"/>
                <c:pt idx="0">
                  <c:v>14.3</c:v>
                </c:pt>
              </c:numCache>
            </c:numRef>
          </c:yVal>
          <c:smooth val="0"/>
        </c:ser>
        <c:axId val="10"/>
        <c:axId val="20"/>
      </c:scatterChart>
      <c:valAx>
        <c:axId val="10"/>
        <c:scaling>
          <c:orientation val="minMax"/>
          <c:max val="1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Marel hf. (procesado de alimentos)</c:v>
                </c:pt>
                <c:pt idx="1">
                  <c:v>Key Technology (clasificación óptica de alimentos, EE. UU.)</c:v>
                </c:pt>
                <c:pt idx="2">
                  <c:v>CLYNK (C&amp;C Consolidated Holdings, bag-drop de envases, EE. UU.)</c:v>
                </c:pt>
                <c:pt idx="3">
                  <c:v>c-trace GmbH (software y hardware para gestión de residuos, Alemania)</c:v>
                </c:pt>
                <c:pt idx="4">
                  <c:v>Minoritarios de Tomra Collection Australia y Tomra Collection France</c:v>
                </c:pt>
              </c:strCache>
            </c:strRef>
          </c:cat>
          <c:val>
            <c:numRef>
              <c:f>Hoja1!$B$2:$B$6</c:f>
              <c:numCache>
                <c:formatCode>0.0"x"</c:formatCode>
                <c:ptCount val="5"/>
                <c:pt idx="0">
                  <c:v>20.7</c:v>
                </c:pt>
                <c:pt idx="1">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85</c:v>
                </c:pt>
                <c:pt idx="1">
                  <c:v>83</c:v>
                </c:pt>
                <c:pt idx="2">
                  <c:v>117</c:v>
                </c:pt>
                <c:pt idx="3">
                  <c:v>135</c:v>
                </c:pt>
                <c:pt idx="4">
                  <c:v>138</c:v>
                </c:pt>
                <c:pt idx="5">
                  <c:v>153</c:v>
                </c:pt>
                <c:pt idx="6">
                  <c:v>168</c:v>
                </c:pt>
                <c:pt idx="7">
                  <c:v>181</c:v>
                </c:pt>
                <c:pt idx="8">
                  <c:v>193</c:v>
                </c:pt>
                <c:pt idx="9">
                  <c:v>202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916</c:v>
                </c:pt>
                <c:pt idx="1">
                  <c:v>1558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9,03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3.74</c:v>
                </c:pt>
                <c:pt idx="1">
                  <c:v>6.14</c:v>
                </c:pt>
                <c:pt idx="2">
                  <c:v>10.59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9,03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(8,48 – 13,33)</c:v>
                </c:pt>
                <c:pt idx="1">
                  <c:v>Precio objetivo de los analistas (7,17 – 13,38)</c:v>
                </c:pt>
                <c:pt idx="2">
                  <c:v>Comparables: EV/EBITDA NTM (7,89 – 19,32)</c:v>
                </c:pt>
                <c:pt idx="3">
                  <c:v>Comparables: PER NTM (8,09 – 13,66)</c:v>
                </c:pt>
                <c:pt idx="4">
                  <c:v>Transacciones precedentes (EV/ventas) (6,90 – 11,97)</c:v>
                </c:pt>
                <c:pt idx="5">
                  <c:v>DCF (WACC y g ± 0,5) (5,13 – 7,53)</c:v>
                </c:pt>
                <c:pt idx="6">
                  <c:v>Escenarios (bajista – alcista) (3,74 – 10,59)</c:v>
                </c:pt>
                <c:pt idx="7">
                  <c:v>Suma de partes (6,23 – 9,21)</c:v>
                </c:pt>
                <c:pt idx="8">
                  <c:v>DCF con la prima implícita del mercado (4,2 %)</c:v>
                </c:pt>
                <c:pt idx="9">
                  <c:v>Precio actual (9,03)</c:v>
                </c:pt>
              </c:strCache>
            </c:strRef>
          </c:cat>
          <c:val>
            <c:numRef>
              <c:f>Hoja1!$B$2:$B$11</c:f>
              <c:numCache>
                <c:formatCode>#,##0.0</c:formatCode>
                <c:ptCount val="10"/>
                <c:pt idx="0">
                  <c:v>8.48</c:v>
                </c:pt>
                <c:pt idx="1">
                  <c:v>7.17</c:v>
                </c:pt>
                <c:pt idx="2">
                  <c:v>7.89</c:v>
                </c:pt>
                <c:pt idx="3">
                  <c:v>8.09</c:v>
                </c:pt>
                <c:pt idx="4">
                  <c:v>6.9</c:v>
                </c:pt>
                <c:pt idx="5">
                  <c:v>5.13</c:v>
                </c:pt>
                <c:pt idx="6">
                  <c:v>3.74</c:v>
                </c:pt>
                <c:pt idx="7">
                  <c:v>6.23</c:v>
                </c:pt>
                <c:pt idx="8">
                  <c:v>7.37</c:v>
                </c:pt>
                <c:pt idx="9">
                  <c:v>8.98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(8,48 – 13,33)</c:v>
                </c:pt>
                <c:pt idx="1">
                  <c:v>Precio objetivo de los analistas (7,17 – 13,38)</c:v>
                </c:pt>
                <c:pt idx="2">
                  <c:v>Comparables: EV/EBITDA NTM (7,89 – 19,32)</c:v>
                </c:pt>
                <c:pt idx="3">
                  <c:v>Comparables: PER NTM (8,09 – 13,66)</c:v>
                </c:pt>
                <c:pt idx="4">
                  <c:v>Transacciones precedentes (EV/ventas) (6,90 – 11,97)</c:v>
                </c:pt>
                <c:pt idx="5">
                  <c:v>DCF (WACC y g ± 0,5) (5,13 – 7,53)</c:v>
                </c:pt>
                <c:pt idx="6">
                  <c:v>Escenarios (bajista – alcista) (3,74 – 10,59)</c:v>
                </c:pt>
                <c:pt idx="7">
                  <c:v>Suma de partes (6,23 – 9,21)</c:v>
                </c:pt>
                <c:pt idx="8">
                  <c:v>DCF con la prima implícita del mercado (4,2 %)</c:v>
                </c:pt>
                <c:pt idx="9">
                  <c:v>Precio actual (9,03)</c:v>
                </c:pt>
              </c:strCache>
            </c:strRef>
          </c:cat>
          <c:val>
            <c:numRef>
              <c:f>Hoja1!$C$2:$C$11</c:f>
              <c:numCache>
                <c:formatCode>#,##0.0</c:formatCode>
                <c:ptCount val="10"/>
                <c:pt idx="0">
                  <c:v>4.85</c:v>
                </c:pt>
                <c:pt idx="1">
                  <c:v>6.210000000000001</c:v>
                </c:pt>
                <c:pt idx="2">
                  <c:v>11.43</c:v>
                </c:pt>
                <c:pt idx="3">
                  <c:v>5.57</c:v>
                </c:pt>
                <c:pt idx="4">
                  <c:v>5.07</c:v>
                </c:pt>
                <c:pt idx="5">
                  <c:v>2.4000000000000004</c:v>
                </c:pt>
                <c:pt idx="6">
                  <c:v>6.85</c:v>
                </c:pt>
                <c:pt idx="7">
                  <c:v>2.9800000000000004</c:v>
                </c:pt>
                <c:pt idx="8">
                  <c:v>2.29</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