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Texas Instruments Incorporated</w:t>
      </w:r>
    </w:p>
    <w:p>
      <w:pPr>
        <w:spacing w:after="60"/>
        <w:rPr>
          <w:color w:val="52514E"/>
          <w:sz w:val="22"/>
          <w:szCs w:val="22"/>
        </w:rPr>
      </w:pPr>
      <w:r>
        <w:rPr>
          <w:color w:val="52514E"/>
          <w:sz w:val="22"/>
          <w:szCs w:val="22"/>
        </w:rPr>
        <w:t xml:space="preserve">TXN · Nasdaq Global Select Market · ISIN US8825081040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284,65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261,10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-6,3 % (base +2,6 %)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148,79 USD · mercado 171,54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262.163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Texas Instruments Incorporated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TXN / US8825081040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Semiconductores (analógico y procesadores integrados)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Dallas, Texas (EE. UU.) · 1930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284,65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152,73 – 334,03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262.163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267.576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1.750 M USD/día (6,4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261,10 USD</w:t>
      </w:r>
      <w:r>
        <w:t xml:space="preserve"> frente a 284,65 · Rentabilidad a 12 meses </w:t>
      </w:r>
      <w:r>
        <w:rPr>
          <w:b/>
          <w:bCs/>
        </w:rPr>
        <w:t xml:space="preserve">-6,3 % (base +2,6 %)</w:t>
      </w:r>
      <w:r>
        <w:t xml:space="preserve"> · Valor intrínseco 148,79 USD · con la prima implícita del mercado: 171,54 (-39,7 %) · Alcista / bajista -41,8 % / -69,7 %</w:t>
      </w:r>
    </w:p>
    <w:p>
      <w:pPr>
        <w:spacing w:after="100"/>
      </w:pPr>
      <w:r>
        <w:rPr>
          <w:b/>
        </w:rPr>
        <w:t xml:space="preserve">La recomendación y por qué.</w:t>
      </w:r>
      <w:r>
        <w:t xml:space="preserve"> Mantener, con convicción baja, y no comprar. A 12 meses, con nuestro PER y nuestro BPA de 2028e, TI vale 261,10 USD ponderado (−6,3 % con el dividendo sobre 284,65 USD) y 286,37 USD en el caso base (+2,6 %): no llega para comprar (+15 % y +12 %) ni cae lo bastante para vender (−10 %). El valor intrínseco es mucho menor, 148,79 USD (−47,7 %): el precio pide un crecimiento del 18,3 % anual durante nueve años, frente al 5,5 % de nuestro caso base. La convicción es baja porque la venta empieza a solo un 4 % por encima del precio (296,43 USD) y el BPA depende de un ciclo que ya va por su segundo año.</w:t>
      </w:r>
    </w:p>
    <w:p>
      <w:pPr>
        <w:spacing w:after="100"/>
      </w:pPr>
      <w:r>
        <w:rPr>
          <w:b/>
        </w:rPr>
        <w:t xml:space="preserve">El negocio.</w:t>
      </w:r>
      <w:r>
        <w:t xml:space="preserve"> TI es la mayor empresa de semiconductores analógicos del mundo (16,2 % del mercado [19, 23]), con fábricas propias de 300 mm recién terminadas y un catálogo de decenas de miles de productos para industria y automoción. El 3T26 fue fuerte: ventas de 6.055 M USD (+28 %), margen bruto del 64,2 % y BPA de 2,62 USD, por encima de la guía; la guía del 4T es plana sobre el 3T [2]. El capex baja de unos 5.000 M al año a 2.000-3.000 M y la caja libre de 12 meses ya es de 8.422 M [2, 14].</w:t>
      </w:r>
    </w:p>
    <w:p>
      <w:pPr>
        <w:spacing w:after="100"/>
      </w:pPr>
      <w:r>
        <w:rPr>
          <w:b/>
        </w:rPr>
        <w:t xml:space="preserve">Equipo y gobierno.</w:t>
      </w:r>
      <w:r>
        <w:t xml:space="preserve"> Consejo con 11 independientes de 12, pero presidente y primer ejecutivo en la misma persona desde enero, director financiero nuevo desde agosto y un bonus discrecional, sin fórmulas [18, 31, 33]. Los directivos han vendido 117 M USD en 12 meses sin compras [37].</w:t>
      </w:r>
    </w:p>
    <w:p>
      <w:pPr>
        <w:spacing w:after="100"/>
      </w:pPr>
      <w:r>
        <w:rPr>
          <w:b/>
        </w:rPr>
        <w:t xml:space="preserve">Valoración.</w:t>
      </w:r>
      <w:r>
        <w:t xml:space="preserve"> DCF de 134,29 USD; comparables entre 192 y 196 USD; transacciones 162,66 USD. TI cotiza a 28,7 veces el BPA de los próximos 12 meses frente a 19,8 de sus comparables y a 23,4 de su mediana adelantada de cinco años [43, 50]. Los analistas, con 19 compras de 36 y un objetivo medio de 324,71 USD, pagan el ciclo; nosotros lo proyectamos también (BPA de 10,28 USD en 2027e, igual que el consenso), pero no el múltiplo.</w:t>
      </w:r>
    </w:p>
    <w:p>
      <w:pPr>
        <w:spacing w:after="100"/>
      </w:pPr>
      <w:r>
        <w:rPr>
          <w:b/>
        </w:rPr>
        <w:t xml:space="preserve">Riesgos y catalizadores.</w:t>
      </w:r>
      <w:r>
        <w:t xml:space="preserve"> El riesgo principal es que el rebote de 2026 sea reposición de inventario (bajista a 12 meses de 158,78 USD). La compra de Silicon Labs (≈7.500 M USD en efectivo) sube la deuda en 2027 y la investigación antidumping china amenaza su mayor mercado [10, 25]. Fuera de hora la acción no se movió tras los resultados [48].</w:t>
      </w:r>
    </w:p>
    <w:p>
      <w:pPr>
        <w:spacing w:after="100"/>
      </w:pPr>
      <w:r>
        <w:rPr>
          <w:b/>
        </w:rPr>
        <w:t xml:space="preserve">Qué cambiaría la decisión.</w:t>
      </w:r>
      <w:r>
        <w:t xml:space="preserve"> Compraríamos por debajo de 148,79 USD y venderíamos por encima de 296,43 USD. Una guía del 1T27 sin la caída estacional y un margen bruto por encima del 65 % subirían el BPA de 2028e hacia el consenso.</w:t>
      </w:r>
    </w:p>
    <w:p>
      <w:r>
        <w:br w:type="page"/>
      </w:r>
    </w:p>
    <w:p>
      <w:pPr>
        <w:pStyle w:val="Heading1"/>
      </w:pPr>
      <w:r>
        <w:t xml:space="preserve">Resumen ejecutivo</w:t>
      </w:r>
    </w:p>
    <w:p>
      <w:pPr>
        <w:spacing w:after="100"/>
      </w:pPr>
      <w:r>
        <w:rPr>
          <w:b/>
          <w:bCs/>
        </w:rPr>
        <w:t xml:space="preserve">Recomendación: Mantener</w:t>
      </w:r>
      <w:r>
        <w:t xml:space="preserve"> · Convicción: Baja · Horizonte: 12 meses · Objetivo a 12 meses: </w:t>
      </w:r>
      <w:r>
        <w:rPr>
          <w:b/>
          <w:bCs/>
        </w:rPr>
        <w:t xml:space="preserve">261,10 USD</w:t>
      </w:r>
      <w:r>
        <w:t xml:space="preserve"> (rentabilidad -6,3 % (base +2,6 %)) · Valor intrínseco: 148,79 USD (-47,7 % sobre 284,65) · con la prima implícita del mercado: 171,54 (-39,7 %)</w:t>
      </w:r>
    </w:p>
    <w:p>
      <w:pPr>
        <w:spacing w:after="100"/>
      </w:pPr>
      <w:r>
        <w:t xml:space="preserve">Texas Instruments es la mayor empresa de semiconductores analógicos del mundo y la de menor coste de fabricación, con fábricas propias de 300 mm recién terminadas [1, 19]. Tras un ciclo de inversión de más de 20.000 M USD, el capex baja y la caja libre sube: 8.422 M en los últimos 12 meses [2].</w:t>
      </w:r>
    </w:p>
    <w:p>
      <w:pPr>
        <w:spacing w:after="100"/>
      </w:pPr>
      <w:r>
        <w:t xml:space="preserve">El precio, 284,65 USD, ya paga ese giro y más: 27,7 veces nuestro BPA de 2027e, frente a una mediana adelantada de 23,4 veces, y un DCF inverso que pide crecer un 18,3 % anual durante nueve años.</w:t>
      </w:r>
    </w:p>
    <w:p>
      <w:pPr>
        <w:spacing w:after="100"/>
      </w:pPr>
      <w:r>
        <w:t xml:space="preserve">El mercado acierta en el ciclo de 2026-2027, que también proyectamos. Discrepamos en el múltiplo: TI es cíclica y sus ventas solo crecieron un 3,2 % anual en 2016-2025. A 12 meses, el precio está en su sitio; a varios años, está caro.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 × 8,27 = 158,78 · 25,5x × 11,23 = 286,37 · 25,5x × 12,27 = 312,89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 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324,71 (nuestro base -11,8 %)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148,79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 / -69,7 %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11,7 %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 frente a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148,79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148,79 y 296,43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296,43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148,79 USD, pasaríamos a Comprar.</w:t>
      </w:r>
    </w:p>
    <w:p>
      <w:pPr>
        <w:pStyle w:val="ListParagraph"/>
        <w:numPr>
          <w:ilvl w:val="0"/>
          <w:numId w:val="2"/>
        </w:numPr>
        <w:spacing w:after="60"/>
      </w:pPr>
      <w:r>
        <w:t xml:space="preserve">Si el precio sube por encima de 296,43 USD, la ponderada cae por debajo del −10 % y pasaríamos a Vender.</w:t>
      </w:r>
    </w:p>
    <w:p>
      <w:pPr>
        <w:pStyle w:val="ListParagraph"/>
        <w:numPr>
          <w:ilvl w:val="0"/>
          <w:numId w:val="2"/>
        </w:numPr>
        <w:spacing w:after="60"/>
      </w:pPr>
      <w:r>
        <w:t xml:space="preserve">Si la guía del 1T27 crece sobre el 4T26, subiríamos el crecimiento de 2027e hacia el consenso.</w:t>
      </w:r>
    </w:p>
    <w:p>
      <w:pPr>
        <w:pStyle w:val="ListParagraph"/>
        <w:numPr>
          <w:ilvl w:val="0"/>
          <w:numId w:val="2"/>
        </w:numPr>
        <w:spacing w:after="60"/>
      </w:pPr>
      <w:r>
        <w:t xml:space="preserve">Si China impone aranceles al analógico de EE. UU., recortaríamos las ventas de 2027e-2028e un 5 %.</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largo con las fábricas llenas, márgenes de récord y una caja libre que vuelve a recompras: un crecimiento del 18,3 % anual en nueve años con nuestros márgenes, o una rentabilidad del 7,2 % anual para el accionista.</w:t>
      </w:r>
    </w:p>
    <w:p>
      <w:pPr>
        <w:keepNext/>
        <w:spacing w:after="100"/>
      </w:pPr>
      <w:r>
        <w:rPr>
          <w:b/>
          <w:bCs/>
        </w:rPr>
        <w:t xml:space="preserve">Lo que creemos nosotros.</w:t>
      </w:r>
    </w:p>
    <w:p>
      <w:pPr>
        <w:spacing w:after="100"/>
      </w:pPr>
      <w:r>
        <w:t xml:space="preserve">Compartimos el ciclo cercano (BPA de 10,28 USD en 2027e, como el consenso), pero no su duración: después crecemos como el mercado analógico, un 5-6 %, y el bajista de reposición de inventario es verosímil.</w:t>
      </w:r>
    </w:p>
    <w:p>
      <w:pPr>
        <w:keepNext/>
        <w:spacing w:after="100"/>
      </w:pPr>
      <w:r>
        <w:rPr>
          <w:b/>
          <w:bCs/>
        </w:rPr>
        <w:t xml:space="preserve">Por qué podemos tener razón.</w:t>
      </w:r>
    </w:p>
    <w:p>
      <w:pPr>
        <w:spacing w:after="100"/>
      </w:pPr>
      <w:r>
        <w:t xml:space="preserve">TI ha tenido dos caídas de ventas en cinco años (2019 y 2023-2024, −22 % en dos años) y el rebote de 2026 lleva subidas de precio y reposición de canal de fase alta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84,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Líder del analógico</w:t>
      </w:r>
      <w:r>
        <w:t xml:space="preserve">: 16,2 % del mercado mundial y el coste de fabricación más bajo con 300 mm [19, 23].</w:t>
      </w:r>
    </w:p>
    <w:p>
      <w:pPr>
        <w:pStyle w:val="ListParagraph"/>
        <w:numPr>
          <w:ilvl w:val="0"/>
          <w:numId w:val="2"/>
        </w:numPr>
        <w:spacing w:after="60"/>
      </w:pPr>
      <w:r>
        <w:rPr>
          <w:b/>
        </w:rPr>
        <w:t xml:space="preserve">Ciclo al alza</w:t>
      </w:r>
      <w:r>
        <w:t xml:space="preserve">: ventas del 3T26 +28 % y margen bruto del 64,2 % [2].</w:t>
      </w:r>
    </w:p>
    <w:p>
      <w:pPr>
        <w:pStyle w:val="ListParagraph"/>
        <w:numPr>
          <w:ilvl w:val="0"/>
          <w:numId w:val="2"/>
        </w:numPr>
        <w:spacing w:after="60"/>
      </w:pPr>
      <w:r>
        <w:rPr>
          <w:b/>
        </w:rPr>
        <w:t xml:space="preserve">Caja libre al alza</w:t>
      </w:r>
      <w:r>
        <w:t xml:space="preserve">: 8.422 M USD en 12 meses al bajar el capex [2].</w:t>
      </w:r>
    </w:p>
    <w:p>
      <w:pPr>
        <w:pStyle w:val="ListParagraph"/>
        <w:numPr>
          <w:ilvl w:val="0"/>
          <w:numId w:val="2"/>
        </w:numPr>
        <w:spacing w:after="60"/>
      </w:pPr>
      <w:r>
        <w:rPr>
          <w:b/>
        </w:rPr>
        <w:t xml:space="preserve">Dividendo creciente</w:t>
      </w:r>
      <w:r>
        <w:t xml:space="preserve">: +7 %, hasta 1,52 USD por trimestre [41].</w:t>
      </w:r>
    </w:p>
    <w:p>
      <w:pPr>
        <w:pStyle w:val="ListParagraph"/>
        <w:numPr>
          <w:ilvl w:val="0"/>
          <w:numId w:val="2"/>
        </w:numPr>
        <w:spacing w:after="60"/>
      </w:pPr>
      <w:r>
        <w:rPr>
          <w:b/>
        </w:rPr>
        <w:t xml:space="preserve">Guía cumplida</w:t>
      </w:r>
      <w:r>
        <w:t xml:space="preserve">: 11 trimestres sin quedar por debajo de su horquilla [2, 3, 4, 5, 6, 7, 8, 9, 15, 34, 35].</w:t>
      </w:r>
    </w:p>
    <w:p>
      <w:pPr>
        <w:pStyle w:val="Heading2"/>
      </w:pPr>
      <w:r>
        <w:t xml:space="preserve">En contra</w:t>
      </w:r>
    </w:p>
    <w:p>
      <w:pPr>
        <w:pStyle w:val="ListParagraph"/>
        <w:numPr>
          <w:ilvl w:val="0"/>
          <w:numId w:val="2"/>
        </w:numPr>
        <w:spacing w:after="60"/>
      </w:pPr>
      <w:r>
        <w:rPr>
          <w:b/>
        </w:rPr>
        <w:t xml:space="preserve">Precio exigente</w:t>
      </w:r>
      <w:r>
        <w:t xml:space="preserve">: el DCF da 134,29 USD; el precio pide un 18,3 % de crecimiento anual en nueve años.</w:t>
      </w:r>
    </w:p>
    <w:p>
      <w:pPr>
        <w:pStyle w:val="ListParagraph"/>
        <w:numPr>
          <w:ilvl w:val="0"/>
          <w:numId w:val="2"/>
        </w:numPr>
        <w:spacing w:after="60"/>
      </w:pPr>
      <w:r>
        <w:rPr>
          <w:b/>
        </w:rPr>
        <w:t xml:space="preserve">Múltiplo alto</w:t>
      </w:r>
      <w:r>
        <w:t xml:space="preserve">: 28,7 veces el BPA de los próximos 12 meses frente a 19,8 de sus comparables [49, 50].</w:t>
      </w:r>
    </w:p>
    <w:p>
      <w:pPr>
        <w:pStyle w:val="ListParagraph"/>
        <w:numPr>
          <w:ilvl w:val="0"/>
          <w:numId w:val="2"/>
        </w:numPr>
        <w:spacing w:after="60"/>
      </w:pPr>
      <w:r>
        <w:rPr>
          <w:b/>
        </w:rPr>
        <w:t xml:space="preserve">Silicon Labs</w:t>
      </w:r>
      <w:r>
        <w:t xml:space="preserve">: ≈7.500 M USD en efectivo por un negocio sin beneficio operativo [10].</w:t>
      </w:r>
    </w:p>
    <w:p>
      <w:pPr>
        <w:pStyle w:val="ListParagraph"/>
        <w:numPr>
          <w:ilvl w:val="0"/>
          <w:numId w:val="2"/>
        </w:numPr>
        <w:spacing w:after="60"/>
      </w:pPr>
      <w:r>
        <w:rPr>
          <w:b/>
        </w:rPr>
        <w:t xml:space="preserve">China</w:t>
      </w:r>
      <w:r>
        <w:t xml:space="preserve">: investigación antidumping sobre el analógico de EE. UU. [25].</w:t>
      </w:r>
    </w:p>
    <w:p>
      <w:pPr>
        <w:pStyle w:val="ListParagraph"/>
        <w:numPr>
          <w:ilvl w:val="0"/>
          <w:numId w:val="2"/>
        </w:numPr>
        <w:spacing w:after="60"/>
      </w:pPr>
      <w:r>
        <w:rPr>
          <w:b/>
        </w:rPr>
        <w:t xml:space="preserve">Gobierno</w:t>
      </w:r>
      <w:r>
        <w:t xml:space="preserve">: presidente y primer ejecutivo en la misma persona y bonus discrecional [18, 31].</w:t>
      </w:r>
    </w:p>
    <w:p>
      <w:pPr>
        <w:pStyle w:val="Heading2"/>
      </w:pPr>
      <w:r>
        <w:t xml:space="preserve">Qué tiene que pasar para que la tesis funcione</w:t>
      </w:r>
    </w:p>
    <w:p>
      <w:pPr>
        <w:spacing w:after="100"/>
      </w:pPr>
      <w:r>
        <w:t xml:space="preserve">La tesis depende de que el ciclo se modere en 2027 y de que el múltiplo vuelva hacia su historia. Lo que la rompería: guías trimestrales que sigan sin la caída estacional, con el margen bruto por encima del 65 %, y la vuelta de las recompras. Lo que la confirmaría: una guía del 1T27 con caída y existencias del canal altas.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ventas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5.800-6.300 M USD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trimestre anterior más allá de lo estacional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el giro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Carga de las fábricas.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de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 M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dividendo 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(días)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Altas a propósito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Subida con ventas planas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corrección.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25,0x / 19,7x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36,9x / 28,7x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Texas Instruments nace en 1930 como Geophysical Service Inc., una pequeña empresa de prospección de petróleo y gas; la guerra la lleva a la detección de submarinos y al radar, y en 1946 monta su laboratorio y fábrica de electrónica. En los años cincuenta adopta su nombre actual, inventa el transistor de silicio (1954) y en 1958 Jack Kilby crea en sus laboratorios el circuito integrado [17]. Después de décadas como conglomerado, hoy solo vende chips analógicos y de procesado embebido (más DLP, calculadoras y ASIC en «Otros») [1]. La compra de National Semiconductor (2011) amplió su catálogo analógico, y la apuesta por fabricar en obleas de 300 mm (Richardson, Lehi comprada a Micron en 2021, Sherman desde 2022) define el negocio y el ciclo de inversión de 2020-2026 [1, 16]. Haviv Ilan sucedió a Rich Templeton como consejero delegado en 2023 y como presidente en 2026 [18]. En febrero de 2026 anunció su mayor compra, Silicon Labs, por unos 7.500 M USD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Geophysical Service Inc. (prospección sísmica de petróleo) en Dallas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como Texas Instruments, entra en los semiconductores inventando el transistor de silicio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Kilby, ingeniero de TI, inventa el circuito integrado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calculadora electrónica de bolsillo; las calculadoras aún son ≈1 % de las ventas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microcontrolador de un solo chip, origen del segmento de procesado embebido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microcontroladores MSP430 de bajo consumo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National Semiconductor, que amplía el catálogo analógico; el fondo de comercio de Analógico (4.158 M USD a cierre de 2025) es el grueso del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fábrica de 300 mm de Lehi (Utah) a Micron; empieza a producir en diciembre de 2022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Arranca RFAB2 (Richardson) y empieza a construir SM1 y SM2 en Sherman (Texas), un emplazamiento para cuatro fábricas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Haviv Ilan, consejero delegado (presidente del consejo desde 2026) tras Rich Templeton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ciclo de capex elevado de seis años (4.550 M USD en 2025; 2.000-3.000 M previstos en 2026) y cierre anunciado de las dos últimas fábricas de 150 mm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comprar Silicon Labs a 231 USD por acción en efectivo (valor empresa ≈7.500 M USD), con cierre previsto en el 1S27; crédito puente de 5.000 M USD [1,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TI diseña y fabrica chips analógicos y de procesado embebido: más de 80.000 productos de catálogo que entran en casi cualquier equipo electrónico [1]. Analógico (14.006 M USD en 2025, el 79 % de las ventas) agrupa Power (reguladores, cargadores de baterías, aislamiento, etapas de potencia) y Signal Chain (amplificadores, convertidores de datos, interfaces, controladores de motor, relojes, sensores) [1]. Procesado embebido (2.697 M USD, 15 %) vende microcontroladores, procesadores, conectividad inalámbrica y radar; Otros (979 M USD) recoge DLP, calculadoras y ASIC a medida [1]. Por mercados, en 2025: industrial 33 %, automoción 33 %, electrónica personal 21 %, centros de datos 9 % y equipos de comunicaciones 3 % [1]. Vende a más de 100.000 clientes, más del 80 % de forma directa (con TI.com) y menos del 20 % por distribuidores [1]. Fabrica casi todo en casa, en fábricas propias de Norteamérica, Asia, Japón y Europa, con las nuevas de 300 mm en Richardson, Sherman (Texas) y Lehi (Utah) [1].</w:t>
      </w:r>
    </w:p>
    <w:p>
      <w:pPr>
        <w:pStyle w:val="Heading2"/>
      </w:pPr>
      <w:r>
        <w:t xml:space="preserve">Cómo gana dinero</w:t>
      </w:r>
    </w:p>
    <w:p>
      <w:pPr>
        <w:spacing w:after="100"/>
      </w:pPr>
      <w:r>
        <w:t xml:space="preserve">Vende muchos chips baratos y de vida muy larga: un diseño ganado factura durante años y el cliente que escribe software para un microcontrolador de TI tiende a repetir en la siguiente generación [1]. No hay ingresos contractuales recurrentes; la cifra sigue el ciclo de semiconductores (llenado y vaciado de inventarios), con 1T y 4T estacionalmente más flojos [1]. El margen depende sobre todo de la carga de las fábricas: el coste de la capacidad ociosa va directo a resultados, y un chip sin encapsular en oblea de 300 mm cuesta ≈40 % menos que en 200 mm [1]. Con fábricas nuevas a medio llenar, el margen bruto bajó al 57,0 % en 2025 (58,1 % en 2024); con ventas un 28 % mayores, el 3T26 dio un 64,2 % bruto y un 47,5 % operativo, frente a 57,4 % y 35,1 % un año antes: el apalancamiento operativo es muy alto [1, 2]. El capex cae de 4.550 M USD en 2025 a 2.000-3.000 M en 2026, y el flujo libre de 12 meses sube a 8.422 M USD (40,6 % de las ventas) [1,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Analógico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Procesado embebido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Analógico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Procesado embebido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dispersa: más de 100.000 clientes y la mitad de las ventas sale de clientes fuera de los 50 mayores [1]. La excepción es un cliente final, no identificado en el 10-K, que pesó el 12 % de las ventas en 2025 y en 2024 (sobre todo en Analógico); en 2022 era el 8 % [1, 16]. La geografía es por sede del cliente: los clientes con sede en China suponen ≈20 % de las ventas de 2025 (22 % en el 1S26), pero lo enviado a China es ≈50 %, porque allí se monta mucha electrónica de clientes de otros países [1, 10]. Alemania (automoción e industria) pesa el 10 % [1]. La venta directa pasó del ≈70 % en 2022 a más del 80 % en 2025, lo que da a TI más datos de demanda y le quita margen al distribuidor [1, 16]. Poder de precios: en 2022 las ventas subieron también por precio y mezcla, y en 2024-25 el margen cayó por costes de capacidad, no por precio [1, 16]; la recuperación del margen bruto al 64,2 % en el 3T26 muestra que la caída fue de carga de fábrica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directas (incluye TI.com)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(2022)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&gt;80 %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distribuidores: ≈30 % en 2022 y &lt;20 % en 2025 [1,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clientes con sede en China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(2025); 22 %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enviado a China es ≈50 % de las ventas [1, 10,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industrial + automoción + centros de datos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c. (nueva clasificación en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tres mercados en los que la empresa pone el foco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57,0 % en 2025 y 58,1 % en 2024: la carga de fábrica manda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(capex) de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4.817 M USD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 M USD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2.000-3.000 M USD; fin del ciclo de capex elevado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de 12 meses (con ayudas CHIPS)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 M USD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 M USD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1.104 M USD de ayudas directas CHIPS cobradas en 12 meses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Analógico del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3.729 M USD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4.911 M USD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Procesado embebido +21 % y Otros −6 %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circuitos integrados analógicos</w:t>
      </w:r>
      <w:r>
        <w:t xml:space="preserve"> (gestión de energía y cadena de señal) que mide WSTS, la estadística de envíos de los propios fabricantes; TI vende además microcontroladores y procesadores (categoría «Micro» de WSTS, 84.867 M USD en 2025), pero el 79 % de sus ventas y el grueso del beneficio son analógicos [1, 19]. Ámbito mundial. Uso WSTS porque es la única serie de envíos reales; Infineon, con datos de WSTS y Omdia, da para su ejercicio 2025 un crecimiento del analógico del 5 % frente al 8,7 % de WSTS en el año natural, una diferencia de calendario y perímetro [19, 22]. No he encontrado una segunda estimación independiente del tamaño en dólares con fuente verificable (ver huecos). Los años 2021 y 2023 se derivan de las tasas de WSTS (estimación propia: 2022 ÷ 1,201 y 2024 ÷ 0,980) [20,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≈86.500 M USD en 2025 (WSTS, circuitos analógicos) y 95.358 M USD previstos para 2026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WSTS, CI analógico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contenido electrónico en industria y automóvil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y automoción son el 66 % de las ventas de TI en 2025 (33 % cada uno); la empresa espera que el contenido de semiconductores siga creciendo en ellos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Alimentación y redes de centros de datos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ya son el 9 % de las ventas de TI (mercado separado desde 2025); WSTS prevé +37 % en lógica en 2026, que arrastra potencia y señal [1,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inventarios de clientes y distribuidores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analógico de WSTS cayó de 88.983 M USD en 2022 a 79.588 M en 2024 y vuelve a 86.519 M en 2025 (+8,7 %) y 95.358 M en 2026e (+10,2 %) [19,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por proveedores chinos y medidas comerciales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con sede en China ≈20 % de las ventas de TI y ≈50 % de lo enviado; el MOFCOM investiga por dumping chips de interfaz y de control de puerta de EE. UU. (importaciones +37 % y precios −52 % en 2022-24, según la queja) [1,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propia y «geopolíticamente fiable» con ayudas públicas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Crédito fiscal a la inversión del 35 % para activos puestos en servicio desde 2026 y hasta 1.600 M USD de ayudas directas CHIPS a TI; 1.104 M cobrados en los 12 meses al 3T26 [1,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«muy fragmentado» con decenas de competidores grandes y de nicho, más los emergentes asiáticos [1]; pero TI gana un 34,1 % operativo en 2025 frente al 10-27 % de sus rivales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100.000 clientes y el chip es una fracción pequeña del coste del equipo; la excepción es un cliente final que pesa el 12 %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 fabrica la mayoría de sus obleas y del montaje y prueba en casa; los materiales «suelen estar disponibles» y tiene varios proveedores por insumo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Catálogo de 80.000 productos, cualificación en automoción e industria y fábricas de 300 mm son barreras altas; en gama básica (interfaz, control de puerta) entran fabricantes chinos con precios a la baja [1,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Toda señal real y toda alimentación pasan por un chip analógico; la digitalización aumenta, no reduce, la necesidad de convertir y gestionar energía [1].</w:t>
            </w:r>
          </w:p>
        </w:tc>
      </w:tr>
    </w:tbl>
    <w:p>
      <w:pPr>
        <w:spacing w:after="160" w:before="0"/>
      </w:pPr>
    </w:p>
    <w:p>
      <w:pPr>
        <w:pStyle w:val="Heading2"/>
      </w:pPr>
      <w:r>
        <w:t xml:space="preserve">Ciclo</w:t>
      </w:r>
    </w:p>
    <w:p>
      <w:pPr>
        <w:spacing w:after="100"/>
      </w:pPr>
      <w:r>
        <w:t xml:space="preserve">Lo indican las ventas y la estadística: el analógico mundial cayó un 11 % de 2022 a 2024 y crece un 8,7 % en 2025 y un 10,2 % previsto en 2026 [19, 21]; las ventas de TI de 12 meses (20.766 M USD al 3T26) ya superan las de 2022 (20.028 M) y crecen un 28 % interanual [2, 23]. En ciclos anteriores TI cayó un 17 % en 2009 y repuntó un 34 % en 2010; en 2019-20 pasó de −9 % a +1 % y en 2021 +27 %; en 2023-24 encadenó −13 % y −11 % [23]. La guía del 4T26 (5.800-6.300 M USD) no anticipa todavía el giro [2].</w:t>
      </w:r>
    </w:p>
    <w:p>
      <w:pPr>
        <w:pStyle w:val="Heading2"/>
      </w:pPr>
      <w:r>
        <w:t xml:space="preserve">Regulación</w:t>
      </w:r>
    </w:p>
    <w:p>
      <w:pPr>
        <w:spacing w:after="100"/>
      </w:pPr>
      <w:r>
        <w:t xml:space="preserve">Tres frentes con cifras. </w:t>
      </w:r>
      <w:r>
        <w:rPr>
          <w:b/>
        </w:rPr>
        <w:t xml:space="preserve">CHIPS Act</w:t>
      </w:r>
      <w:r>
        <w:t xml:space="preserve">: crédito fiscal a la inversión del 35 % para activos de fabricación puestos en servicio desde el 1-ene-2026 y hasta 1.600 M USD de ayudas directas por hitos para Sherman y Lehi, con cláusulas de devolución [1]; en 12 meses al 3T26 aportaron 1.104 M USD de cobros directos y 469 M USD de menor impuesto [2]. </w:t>
      </w:r>
      <w:r>
        <w:rPr>
          <w:b/>
        </w:rPr>
        <w:t xml:space="preserve">China</w:t>
      </w:r>
      <w:r>
        <w:t xml:space="preserve">: el 13-sep-2025 el MOFCOM abrió una investigación antidumping a chips de interfaz y de control de puerta de EE. UU. (40 nm o más) a petición de la asociación de Jiangsu; los cuestionarios se enviaron en octubre de 2025 [25, 26]; no he encontrado resolución publicada. </w:t>
      </w:r>
      <w:r>
        <w:rPr>
          <w:b/>
        </w:rPr>
        <w:t xml:space="preserve">Aranceles y controles de exportación</w:t>
      </w:r>
      <w:r>
        <w:t xml:space="preserve"> EE. UU.-China: el 10-K los cita como riesgo de acceso a mercado, sin cifrar el efecto [1].</w:t>
      </w:r>
    </w:p>
    <w:p>
      <w:pPr>
        <w:pStyle w:val="Heading2"/>
      </w:pPr>
      <w:r>
        <w:t xml:space="preserve">Tendencias y disrupción</w:t>
      </w:r>
    </w:p>
    <w:p>
      <w:pPr>
        <w:spacing w:after="100"/>
      </w:pPr>
      <w:r>
        <w:t xml:space="preserve">Tres tendencias, dos a favor. La IA desplaza inversión hacia centros de datos, donde TI ya factura el 9 % con alimentación de bastidor y redes [1]. La electrificación y la automatización elevan el contenido analógico por equipo en industria y automóvil, sus dos tercios de ventas [1]. En contra, China fomenta su industria analógica propia y el 10-K lo cita como riesgo competitivo explícito; las importaciones chinas de estos chips subieron un 37 % con precios un 52 % menores en 2022-24, según el MOFCOM [1, 25]. TI responde con coste: la oblea de 300 mm abarata el chip un 40 % y le permite competir en precio en la gama básica [1].</w:t>
      </w:r>
    </w:p>
    <w:p>
      <w:pPr>
        <w:pStyle w:val="Heading1"/>
      </w:pPr>
      <w:r>
        <w:t xml:space="preserve">4. Posición competitiva y foso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mundial de chips analógicos por ventas: sus 14.006 M USD de Analógico en 2025 son ≈16 % del mercado de WSTS (estimación propia: 14.006 / 86.519 M USD), más que las ventas totales de Analog Devices (11.020 M USD), que no son todas analógicas [1, 19, 23]. En microcontroladores y procesadores (2.697 M USD) es un actor mediano, ≈3 % de la categoría «Micro» de WSTS (estimación propia: 2.697 / 84.867 M USD) [1, 19]; ahí NXP, Infineon, STMicro y Microchip son rivales mayores.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Analog Devices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más directo en señal de alta gama (convertidores, amplificadores) e industria; ejercicio a 1-nov-2025; su margen operativo GAAP incluye la amortización de intangibles de compras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Infineon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IFX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potencia y microcontroladores de automoción; 14.662 M EUR en el ejercicio a sep-2025, convertidos a 1,1741 USD/EUR; 5,3 % de su mercado de referencia en 2024 (Omdia) [22,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NXP Semiconductors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NXPI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Procesadores y microcontroladores de automoción e industria más analógico asociado; compite sobre todo con Procesado embebido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STMicroelectronics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Suiza/Francia/Italia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Microcontroladores STM32, potencia y analógico; margen operativo GAAP casi nulo en 2025 (175 M USD)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Microchip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MCHP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Microcontroladores y analógico mixto vía distribución; ejercicio a mar-2026, saliendo de una corrección de inventarios que hundió sus ventas un 42 % en el ejercicio anterior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onsemi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Potencia (carburo de silicio) y sensores de imagen para automoción e industria; resultado operativo GAAP de solo 84 M USD en 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Monolithic Power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MPWR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Especialista en convertidores de potencia sin fábrica propia; crece +26 % en 2025 con alimentación de servidores de IA, el segmento donde TI busca crecer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indirectos: TI.com y la venta directa (&gt;80 % de las ventas) dan datos de demanda de más de 100.000 clientes, pero el cliente no gana nada porque otros usen TI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chip cualificado en un coche o una máquina se queda toda la vida del producto; en embebido el cliente reescribe software si cambia de proveedor [1]. El coste es por diseño nuevo, no por el instalado.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amplia de patentes, aunque la empresa dice no depender de ninguna [1]; el valor está en el catálogo de 80.000 productos y en procesos propios, no en la marca.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en 300 mm: el chip sin encapsular cuesta ≈40 % menos que en 200 mm [1]; margen operativo del 34,1 % en 2025 en mitad de la subida de amortizaciones, frente a 10-27 % de los rivales con datos [1, 11], y 47,5 % en el 3T26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catálogo y mayores ventas analógicas del sector (≈16 % del mercado) repartidas en más de 100.000 clientes: puede servir pedidos pequeños con márgenes que un rival menor no cubre [1, 7].</w:t>
            </w:r>
          </w:p>
        </w:tc>
      </w:tr>
    </w:tbl>
    <w:p>
      <w:pPr>
        <w:spacing w:after="160" w:before="0"/>
      </w:pPr>
    </w:p>
    <w:p>
      <w:pPr>
        <w:pStyle w:val="Heading2"/>
      </w:pPr>
      <w:r>
        <w:t xml:space="preserve">Amenazas</w:t>
      </w:r>
    </w:p>
    <w:p>
      <w:pPr>
        <w:spacing w:after="100"/>
      </w:pPr>
      <w:r>
        <w:t xml:space="preserve">Tres amenazas, de más a menos probable. </w:t>
      </w:r>
      <w:r>
        <w:rPr>
          <w:b/>
        </w:rPr>
        <w:t xml:space="preserve">China</w:t>
      </w:r>
      <w:r>
        <w:t xml:space="preserve"> (probabilidad alta, efecto medio): ≈20 % de las ventas son de clientes chinos y ≈50 % de lo enviado va allí; la promoción estatal de fabricantes locales y la investigación antidumping del MOFCOM apuntan justo a la gama básica de interfaz y potencia, donde el foso es más estrecho [1, 25]. </w:t>
      </w:r>
      <w:r>
        <w:rPr>
          <w:b/>
        </w:rPr>
        <w:t xml:space="preserve">Ciclo y exceso de capacidad</w:t>
      </w:r>
      <w:r>
        <w:t xml:space="preserve"> (media): TI construyó capacidad de 300 mm antes de la demanda; si el ciclo gira, la capacidad ociosa vuelve al coste, como en 2024-25 cuando el margen bruto cayó a 57-58 % [1]. </w:t>
      </w:r>
      <w:r>
        <w:rPr>
          <w:b/>
        </w:rPr>
        <w:t xml:space="preserve">Silicon Labs</w:t>
      </w:r>
      <w:r>
        <w:t xml:space="preserve"> (media-baja): una compra de 7.500 M USD financiada con caja y deuda es inusual en TI; mal integrada, diluiría el retorno del capital [1, 10]. Un cliente final pesa el 12 %: su pérdida restaría más de 2.000 M USD de ventas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spacing w:after="100"/>
      </w:pPr>
      <w:r>
        <w:t xml:space="preserve">Crecimiento anual compuesto 2016-2025: ingresos </w:t>
      </w:r>
      <w:r>
        <w:rPr>
          <w:b/>
          <w:bCs/>
        </w:rPr>
        <w:t xml:space="preserve">3,2 %</w:t>
      </w:r>
      <w:r>
        <w:t xml:space="preserve">, EBITDA </w:t>
      </w:r>
      <w:r>
        <w:rPr>
          <w:b/>
          <w:bCs/>
        </w:rPr>
        <w:t xml:space="preserve">3,7 %</w:t>
      </w:r>
      <w:r>
        <w:t xml:space="preserve">, BPA </w:t>
      </w:r>
      <w:r>
        <w:rPr>
          <w:b/>
          <w:bCs/>
        </w:rPr>
        <w:t xml:space="preserve">5,1 %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Crecimiento solo orgánico: ninguna compra relevante desde National Semiconductor (2011). Los ingresos pasaron de 13.370 M en 2016 al máximo de 20.028 M en 2022, cayeron a 15.641 M en 2024 (ajuste de inventarios en industria y automoción) y vuelven a 17.682 M en 2025 y 20.766 M en los doce meses a septiembre de 2026 [1, 2]. El margen de explotación fue del 50,6 % en 2022, bajó al 34,1 % en 2025 y llegó al 47,5 % en el 3T26 [1, 2]. La caída no fue de precios: fue la depreciación de la capacidad de 300 mm (de 925 M a 1.918 M) y la poca carga de las fábricas; la subida de 2026 es apalancamiento operativo puro, con gastos de I+D y comerciales casi planos (1.006 M en el 3T26 frente a 975 M un año antes) [2]. El tipo fiscal efectivo ronda el 12 % (deducciones FDII y crédito fiscal de la ley CHIPS) [1]. Guía del 4T26: ingresos de 5.800-6.300 M y BPA de 2,45-2,79 USD [2]; con el punto medio, 2026 cerraría con unos 22.400 M de ingresos (+27 %) y un BPA de unos 9,06 USD (estimación propia: suma de los tres trimestres publicados y el punto medio de la guía). 2017 no es comparable en beneficio neto: el impuesto incluye el efecto de la reforma fiscal de EE. UU.</w:t>
      </w:r>
    </w:p>
    <w:p>
      <w:pPr>
        <w:pStyle w:val="Heading2"/>
      </w:pPr>
      <w:r>
        <w:t xml:space="preserve">Ajustes y partidas no recurrentes</w:t>
      </w:r>
    </w:p>
    <w:p>
      <w:pPr>
        <w:spacing w:after="100"/>
      </w:pPr>
      <w:r>
        <w:t xml:space="preserve">TI publica solo en US GAAP: no da BPA ajustado, y el BPA diluido publicado es la base de todo. Como no recurrentes del EBITDA va la línea «Restructuring charges/other», que la empresa deja fuera de los segmentos: 257 M en 2022 (costes previos a producción en Lehi), −124 M en 2024 (plusvalía de 132 M por venta de un inmueble), 117 M en 2025 (85 M de reestructuración por el cierre de las dos últimas fábricas de 150 mm y 32 M de deterioro del fondo de comercio de los ASIC a medida) y cantidades pequeñas en el resto de años [1, 11, 12]. En el LTM a septiembre de 2026 hay 73 M: el deterioro de 32 M del 4T25 y 41 M de gastos de la compra de Silicon Labs [2, 3, 4, 5]. La amortización de intangibles de National Semiconductor (142-319 M al año hasta 2021) está dentro de las amortizaciones. El FCF del LTM (7.318 M) es flujo operativo menos capex, sin los 1.104 M de subvenciones CHIPS que TI suma en su definición (8.422 M)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3T26 (21-oct-2026).</w:t>
      </w:r>
      <w:r>
        <w:t xml:space="preserve"> Ingresos de 6.055 M (+11 % trimestral y +28 % interanual) y BPA de 2,62 USD, por encima del rango de la guía (5.650-6.150 M y 2,23-2,57) [2, 3]. La guía del 4T (5.800-6.300 M; BPA 2,45-2,79) es plana en el punto medio frente a un 4T que suele ser estacionalmente flojo [2]. El comunicado dice que el BPA lleva un céntimo de reducción no incluido en la guía, sin explicar la causa. La transcripción de la conferencia del 3T26 aún no estaba publicada al cierre de esta nota. </w:t>
      </w:r>
      <w:r>
        <w:rPr>
          <w:b/>
        </w:rPr>
        <w:t xml:space="preserve">2T26 (22-jul-2026).</w:t>
      </w:r>
      <w:r>
        <w:t xml:space="preserve"> Industrial creció un 30 % interanual, automoción a ritmo de «mid-teens», centros de datos se duplicó y electrónica personal quedó plana [13]. El margen bruto subió 340 pb en el trimestre hasta el 61 %; la dirección confirmó subidas de precio que se notarán en el 3T y el 4T, un capex de 2.000-3.000 M en 2026 y que la compra de Silicon Labs sigue en plazo para el 1S27 [13]. Fue la última conferencia de Rafael Lizardi como director financiero; Julie Knecht le sustituye desde el 1 de agosto [13]. Los analistas preguntaron sobre todo por la duración del ciclo industrial, el peso de los precios, los centros de datos (arquitectura de 800 V) y el capex de 2027. La dirección no dio el ritmo de crecimiento de centros de datos ni la guía por mercado, y dejó la capacidad y el capex de 2027 para la presentación de gestión de capital de febrero [13]. La columna «vs consenso» compara el BPA con la guía de la empresa del trimestre anterior: «Superior» por encima del punto medio, «En línea» en ±0,02 USD [2, 3, 4, 5, 6, 7, 8, 9,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pasó de 3.609 M en 2016 a 14.048 M en 2025 para pagar el ciclo de capex de 300 mm (19.700 M entre 2021 y 2025) sin tocar el dividendo [1]. La caja con inversiones a corto bajó de 7.580 M en 2024 a 4.881 M en 2025 y se recupera a 8.142 M en septiembre de 2026 con el flujo de caja de la subida de ventas y 1.104 M de subvenciones CHIPS [1, 2]. Deuda neta a 30-sep-2026: 5.413 M, unas 0,5 veces el EBITDA de los últimos doce meses. El inventario se ha subido a propósito (estrategia de fabricar por adelantado productos de bajo riesgo de obsolescencia): de 1.910 M en 2021 a 4.804 M en 2025; en 2026 se mantiene plano (4.672 M) con ventas un 28 % más altas, así que los días bajan [1, 2, 13]. El patrimonio sube a 19.185 M por el beneficio y la recompra parada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44.103</w:t>
      </w:r>
      <w:r>
        <w:t xml:space="preserve">, conversión </w:t>
      </w:r>
      <w:r>
        <w:rPr>
          <w:b/>
          <w:bCs/>
        </w:rPr>
        <w:t xml:space="preserve">78 %</w:t>
      </w:r>
      <w:r>
        <w:t xml:space="preserve"> del beneficio neto; adquisiciones 0, dividendos 35.273, recompras 22.142.</w:t>
      </w:r>
    </w:p>
    <w:p>
      <w:pPr>
        <w:spacing w:after="100"/>
      </w:pPr>
      <w:r>
        <w:t xml:space="preserve">La conversión de beneficio en caja es alta: el flujo operativo supera al beneficio neto todos los años porque la depreciación es grande (1.918 M en 2025) y los pagos en acciones moderados [1]. Lo que se comió el FCF en 2022-2025 fue el capex: de 531-1.131 M al año en 2016-2020 (5,2 % de las ventas de media) a 5.071 M en 2023, 4.820 M en 2024 y 4.550 M en 2025 [1]. En 2026 baja a 1.653 M en nueve meses, dentro de la guía de 2.000-3.000 M [2, 3, 4, 14]. Tomando el 5 % de las ventas de 2016-2020 como capex de mantenimiento, unos 1.000 M de 2026 serían mantenimiento y el resto crecimiento (estimación propia). El flujo operativo de los últimos doce meses (9.896 M) incluye 469 M de crédito fiscal CHIPS, y la inversión neta resta además 1.104 M de subvenciones cobradas [2]; en la tabla anual, el capex de 2025 va neto de los 335 M de subvenciones cobradas ese año [5]. Usos de la caja en 2025: dividendos 4.999 M y recompras 1.477 M, más que el FCF de 2.603 M, con 1.199 M de deuda nueva [5]. En 2026 las recompras están casi paradas (233 M en nueve meses) a la espera de pagar Silicon Labs [2, 3,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y muy limpias: un solo perímetro desde 2011, sin ajustes propios ni BPA ajustado, intangibles de adquisiciones ya amortizados en 2021 y fondo de comercio de 4.330 M (un 12 % del activo) [1, 2]. Ernst &amp; Young audita desde 1952, una permanencia muy larga [1]. Pagos en acciones: 419 M en 2025, el 8,4 % del beneficio neto, poco para el sector [1]. Puntos de atención. Primero, la ley CHIPS: TI cobra subvenciones directas (1.104 M en los últimos doce meses, en inversión) y un crédito fiscal del 35 % sobre el capex de fabricación en EE. UU. (469 M en el flujo operativo), y su «flujo de caja libre» suma las subvenciones, así que el FCF publicado está inflado frente a la definición clásica [2, 13]. Segundo, el inventario: 4.672 M, unos 196 días, alto aunque deliberado y con riesgo de obsolescencia bajo, según la empresa [2, 13]. Tercero, la depreciación crece más rápido que las ventas (2.180 M en los últimos doce meses frente a 925 M en 2022) y seguirá subiendo con las fábricas nuevas [1, 2, 3, 4, 5]. Los intereses capitalizados son pequeños (12 M en 2025) [1]. Altman, Piotroski y Beneish: los calcula el motor; con márgenes en subida, deuda estable y conversión de caja alta no se espera ninguna alerta.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FCF publicado con subvenciones CHIPS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8.422 M de FCF de la empresa en los últimos doce meses incluyen 1.104 M de subvenciones; el flujo operativo incluye además 469 M de crédito fiscal. Son cobros reales pero no recurrentes una vez acabado el ciclo de inversión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alto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196 días en el 2T26 frente a menos de 130 antes de 2022; es una estrategia declarada y baja con la subida de ventas [1,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Depreciación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925 M (2022) a 2.180 M en los últimos doce meses: frena el margen si las ventas no acompañan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desde 1952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Permanencia de más de 70 años; sin salvedades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Céntimo de BPA no explicado en el 3T26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comunicado dice que el BPA de 2,62 incluye una reducción de 0,01 USD no prevista en la guía, sin dar la causa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4.330 M en 2025 (el 18 % del capital invertido medio); ha subido más de un 5 % en 0 de 9 años: sin compras. ROIC publicado 22,2 %; sin fondo de comercio, 27,1 %. Sin compras relevantes: el publicado ya es el ROIC del negocio.</w:t>
      </w:r>
    </w:p>
    <w:p>
      <w:pPr>
        <w:spacing w:after="100"/>
      </w:pPr>
      <w:r>
        <w:rPr>
          <w:b/>
          <w:bCs/>
        </w:rPr>
        <w:t xml:space="preserve">ROIC incremental</w:t>
      </w:r>
      <w:r>
        <w:t xml:space="preserve"> (variación del NOPAT sobre variación del capital invertido en el periodo): 13,4 % · </w:t>
      </w:r>
      <w:r>
        <w:rPr>
          <w:b/>
          <w:bCs/>
        </w:rPr>
        <w:t xml:space="preserve">WACC</w:t>
      </w:r>
      <w:r>
        <w:t xml:space="preserve">: 11,7 %.</w:t>
      </w:r>
    </w:p>
    <w:p>
      <w:pPr>
        <w:spacing w:after="100"/>
      </w:pPr>
      <w:r>
        <w:t xml:space="preserve">Crea valor incluso en el fondo del ciclo: ROIC del 22,2 % en 2025 (27,1 % sin fondo de comercio) frente a un WACC del 11,7 %, con unas fábricas nuevas que todavía iban a medio llenar y una amortización del 10,8 % de las ventas [1]. En 2021-2022, con las fábricas llenas, el ROIC pasaba del 40 %. El ROIC incremental de la década es del 13,4 %, bajo, porque el capex de 2021-2025 (más de 20.000 M) aún no ha dado su fruto: es la apuesta que el mercado ya paga.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8.142 M a 30-sep-2026 (4.211 M de caja y 3.931 M de inversiones a corto), línea de crédito revolvente de 1.000 M sin disponer hasta marzo de 2027 y un préstamo de disposición diferida de hasta 5.000 M, a 364 días, condicionado a cerrar la compra de Silicon Labs [2, 10].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solo en bonos a tipo fijo sin garantía, de 2027 a 2063, con cupón medio del 4,1 % (13.650 M nominales a 30-sep-2026, tras amortizar 500 M en el 3T26) [2, 10]. El 10-K no describe covenants financieros [1]. Los planes de pensiones tienen superávit neto (320 M sobrefinanciados frente a 118 M infrafinanciados a 30-sep-2026) [2]. Arrendamientos operativos: 731 M a fin de 2025, ya en el EBITDA (US GAAP), fuera de la deuda [1]. Compromisos de compra de 1.442 M entre 2026 y 2030 [1]. Los litigios no son materiales según la empresa [1]. El gran compromiso fuera de balance es la compra de Silicon Labs: unos 7.500 M de valor empresa en efectivo, con cierre previsto en el 1S27; con la deuda neta de septiembre (5.413 M) la deuda neta proforma rondaría los 12.900 M, unas 1,2 veces el EBITDA de los últimos doce meses (estimación propia, sin el EBITDA de Silicon Labs) [2, 10].</w:t>
      </w:r>
    </w:p>
    <w:p>
      <w:pPr>
        <w:pStyle w:val="Heading1"/>
      </w:pPr>
      <w:r>
        <w:t xml:space="preserve">12. Asignación de capital</w:t>
      </w:r>
    </w:p>
    <w:p>
      <w:pPr>
        <w:pStyle w:val="Confianza"/>
        <w:spacing w:after="100"/>
      </w:pPr>
      <w:r>
        <w:t xml:space="preserve">Confianza: Alta</w:t>
      </w:r>
    </w:p>
    <w:p>
      <w:pPr>
        <w:spacing w:after="100"/>
      </w:pPr>
      <w:r>
        <w:t xml:space="preserve">El objetivo declarado es el crecimiento a largo plazo del flujo de caja libre por acción, y devolver todo ese flujo con el tiempo [1, 10]. Dividendo: 1,42 USD por trimestre desde el 4T25, tras una subida del 4 %, con 22 años seguidos de aumentos [5, 14]. Recompras: quedaban unos 20.000 M autorizados a fin de 2025, sin fecha de caducidad (autorizaciones de 2018 y 2022) [1, 14]; la empresa ha reducido sus acciones en circulación un 47 % desde 2004 [14]. En 2026 casi no recompra (233 M en nueve meses) porque reserva caja para Silicon Labs [2, 3, 4]. Capex de 2.000-3.000 M en 2026, ya en la parte final del ciclo de 300 mm; el de 2027 y siguientes dependerá de los ingresos [14]. En febrero la empresa dijo ir camino de más de 8 USD de FCF por acción en 2026, con su definición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Silicon Labs (chips inalámbricos de bajo consumo para IoT)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préstamo de disposición diferida de hasta 5.000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231 USD por acción en efectivo; cierre esperado en el 1S27, a falta de aprobaciones regulatorias; 41 M de gastos de la operación hasta el 3T26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 de obleas de 300 mm de Lehi (Utah), comprada a Micron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un activo, no de un negocio. Produce desde dic-2022 (257 M de costes previos a producción en 2022) y sigue en rampa para el procesado integrado, cuyo margen de explotación cayó del 38 % de 2022 al 11 % de 2025 [1, 10, 11].</w:t>
            </w:r>
          </w:p>
        </w:tc>
      </w:tr>
    </w:tbl>
    <w:p>
      <w:pPr>
        <w:spacing w:after="160" w:before="0"/>
      </w:pPr>
    </w:p>
    <w:p>
      <w:pPr>
        <w:spacing w:after="100"/>
      </w:pPr>
      <w:r>
        <w:t xml:space="preserve">Buen historial como asignadora de capital: dividendo creciente durante 22 años y un 47 % menos de acciones desde 2004 [14]. La gran apuesta de 2021-2025 (19.700 M de capex en fábricas de 300 mm, pagados en parte con 6.300 M más de deuda: de 7.741 M en 2021 a 14.048 M en 2025) hundió el FCF y el ROIC durante cuatro años [1]. Ahora empieza a pagar: margen de explotación del 47,5 % en el 3T26 y FCF de los últimos doce meses de 7.318 M sin subvenciones [2]. La dilución es nula: 913 M de acciones diluidas en 2025 frente a 936 M en 2021 [1]. La compra de Silicon Labs (7.500 M) rompe una regla de quince años sin compras grandes y sube la deuda neta hacia 1,2 veces el EBITDA. Se juzgará por el margen: Silicon Labs entra en un segmento, el procesado integrado, donde TI gana hoy poco dinero (11 % en 2025) [1,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Haviv Ilan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sénior de TI desde 2014 y director general de operaciones (COO) de 2020 a 2023; CEO desde 2023, consejero desde 2021 y presidente del consejo desde el 1-ene-2026 [18, 31]. Con él las ventas trimestrales pasaron de 3.660 M USD en el 1T24 a 6.055 M USD en el 3T26 (+28 % interanual), aunque el TSR de 2025 fue −4,5 % y las ventas crecieron un −4,1 % anual en 2023-2025 [2, 18, 35]. Su participación (0,08 %) incluye 561.511 opciones ejercitables y 153.125 RSU; en acciones directas tiene unas 46.000 [10,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Knecht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sénior y directora financiera (CFO y jefa de contabilidad)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25 años en TI; jefa de contabilidad (CAO) desde 2021 y CFO desde el 1-ago-2026, en sustitución de Rafael Lizardi, que se jubila tras 25 años sin desacuerdos contables según el 8-K [33]. Salario de 700.000 USD y 2 M USD en RSU al nombramiento [33]. Firma ya el 8-K de los resultados del 3T26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Amichai Ron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procesadores integrados (Embedded Processing)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del negocio de procesadores integrados, que la compra de Silicon Labs (7.500 M USD de valor empresa, cierre previsto en el 1S27) va a ampliar [18, 40]. Lleva más de cinco años en TI y su retribución de 2025 fue de 7,4 M USD [1,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Lizardi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 financiero (CFO hasta el 31-jul-2026)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hasta julio de 2026; se jubila tras 25 años y firmará el acuerdo de salida habitual de TI (12 meses de permiso retribuido a cambio de no competir) [18, 33]. Vendió 159.903 acciones por 41,7 M USD entre febrero y mayo de 2026, sobre todo tras ejercer opciones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Hagop Kozanian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vicepresidente sénior, cadena de señal analógica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Dirigía la línea de cadena de señal del negocio analógico; anunció en marzo su jubilación, efectiva el 31-ago-2026, con 43 años [1, 32]. Es la segunda salida de un alto directivo del proxy en cinco meses, después del CFO [32, 33].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1T24 dada con los resultados del 4T23 [36]: 3.450-3.750 M USD de ventas; BPA 0,96-1,16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3.660 M USD; BPA 1,20 USD (10 cent. de partidas fuera de la guía) [35].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2T24 dada con los resultados del 1T24 [35]: 3.650-3.950 M USD; BPA 1,05-1,25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3.820 M USD; BPA 1,22 USD [34].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3T24 dada con los resultados del 2T24 [34]: 3.940-4.260 M USD; BPA 1,24-1,48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4.150 M USD; BPA 1,47 USD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4T24 dada con los resultados del 3T24 [15]: 3.700-4.000 M USD; BPA 1,07-1,29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4.010 M USD (por encima del máximo); BPA 1,30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1T25 dada con los resultados del 4T24 [9]: 3.740-4.060 M USD; BPA 0,94-1,16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4.070 M USD (por encima del máximo); BPA 1,28 USD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2T25 dada con los resultados del 1T25 [8]: 4.170-4.530 M USD; BPA 1,21-1,47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4.450 M USD; BPA 1,41 USD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3T25 dada con los resultados del 2T25 [7]: 4.450-4.800 M USD; BPA 1,36-1,60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4.740 M USD; BPA 1,48 USD (10 cent. de cargos fuera de la guía)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4T25 dada con los resultados del 3T25 [6]: 4.220-4.580 M USD; BPA 1,13-1,39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4.420 M USD; BPA 1,27 USD (6 cent. de cargos fuera de la guía)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1T26 dada con los resultados del 4T25 [5]: 4.320-4.680 M USD; BPA 1,22-1,48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4.830 M USD (por encima del máximo); BPA 1,68 USD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2T26 dada con los resultados del 1T26 [4]: 5.000-5.400 M USD; BPA 1,77-2,05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5.460 M USD (por encima del máximo); BPA 2,14 USD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3T26 dada con los resultados del 2T26 [3]: 5.650-6.150 M USD; BPA 2,23-2,57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6.055 M USD; BPA 2,62 USD (por encima del máximo)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dada con los resultados del 3T26 [2]: 5.800-6.300 M USD de ventas; BPA 2,45-2,79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(se publica en enero de 2027).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TI no da objetivos anuales de ventas ni de beneficio: solo una horquilla trimestral de ventas y BPA. En los once trimestres del 1T24 al 3T26 las ventas cayeron siempre dentro de la horquilla o por encima (cuatro veces por encima del máximo: 4T24, 1T25, 1T26 y 2T26) y el BPA nunca quedó por debajo del mínimo; lo superó en seis, incluido el 3T26 [2, 3, 4, 5, 6, 7, 8, 9, 15, 34, 35, 36]; los cargos fuera de la guía se publican aparte (−10 céntimos en el 3T25). El equipo es estable y de la casa: los once altos directivos llevan más de cinco años en TI [1], y las sucesiones se cubren desde dentro (Ilan, COO antes de CEO; Knecht, jefa de contabilidad antes de CFO) [18, 33]. Lo nuevo en 2026 es la acumulación de cambios: Templeton deja la presidencia, Ilan la asume y se jubilan el CFO y un vicepresidente de producto [31, 32, 33], justo cuando hay que integrar Silicon Labs, una compra de 7.500 M USD [40].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Haviv Ilan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presidente ejecutivo y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Janet Clark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Blinn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Todd Bluedorn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Relación con Accionistas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 Cox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Craighead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Reginald DesRoches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Curtis Farmer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 Hobby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Relación con Accionistas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Kirk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Pamela Patsley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Relación con Accionistas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Sanchez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117,18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(grupo 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gestión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Vanguard Group declaraba el 10,04 % en 2024; en 2026 reparte la posición entre filiales: The Vanguard Group pasa a 0 % y Vanguard Capital Management declara 68,2 millones de acciones a 31-mar-2026 [18, 38,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gestión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13G/A con datos de 31-dic-2023; sin declaraciones posteriores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altos directivos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5,48 millones de acciones a 31-dic-2025, de ellas 3,34 millones en opciones ejercitables y 0,87 millones en RSU (incluye a Templeton, ya jubilado, con 2,68 millones)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Craighead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Ahmad Bahai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Rafael Lizardi (CFO hasta jul-26)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47.734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 Cox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Shanon Leonard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Haviv Ilan (presidente 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Julie Knecht (CAO; CFO desde ago-26)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 Gary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13.689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 Roberts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Mohammad Yunus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Katie Kane (SVP, secretaria general)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Ahmad Bahai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Shanon Leonard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18.189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Todd Bluedorn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Amichai Ron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 Blinn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Rafael Lizardi (CFO hasta jul-26)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Pamela Patsley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Christine Witzsche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Hagop Kozanian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Ahmad Bahai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 Gary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Rafael Lizardi (CFO hasta jul-26)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 Gary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Rafael Lizardi (CFO hasta jul-26)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64.532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 Roberts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 Blinn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Ahmad Bahai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Ronald Kirk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Christine Witzsche (SVP)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retribución de Ilan en 2025 fue de 22,7 M USD: 1,3 M de salario, 2,6 M de bonus, 0,25 M de reparto de beneficios y 18,0 M en opciones y RSU (15,0 M en 2024), 272 veces la mediana de la plantilla (83.617 USD) [18]. El bonus es </w:t>
      </w:r>
      <w:r>
        <w:rPr>
          <w:b/>
        </w:rPr>
        <w:t xml:space="preserve">discrecional</w:t>
      </w:r>
      <w:r>
        <w:t xml:space="preserve">: la comisión mira crecimiento de ventas, margen operativo y TSR frente a semiconductores comparables, pero «sin fórmulas ni objetivos» [18]; en 2025 subió un 10 % con un TSR de −4,5 %, por debajo de la mediana [18]. El variable a largo plazo es solo de permanencia (RSU a cuatro años y opciones), sin métricas de ROIC, FCF ni TSR, aunque el objetivo declarado sea el FCF por acción [18]. Hay </w:t>
      </w:r>
      <w:r>
        <w:rPr>
          <w:i/>
        </w:rPr>
        <w:t xml:space="preserve">clawback</w:t>
      </w:r>
      <w:r>
        <w:t xml:space="preserve"> de Dodd-Frank, sin contratos de alta dirección, cambio de control con doble condición y un 16,8 % de voto en contra en 2026, el más alto de tres juntas (14,5 % en 2024; 12,8 % en 2025) [18, 28, 29, 30].</w:t>
      </w:r>
    </w:p>
    <w:p>
      <w:pPr>
        <w:pStyle w:val="Heading2"/>
      </w:pPr>
      <w:r>
        <w:t xml:space="preserve">Operaciones vinculadas, estructura de control y defensas</w:t>
      </w:r>
    </w:p>
    <w:p>
      <w:pPr>
        <w:spacing w:after="100"/>
      </w:pPr>
      <w:r>
        <w:t xml:space="preserve">No hay accionista de control: los dos mayores son gestoras pasivas (Vanguard y BlackRock, en torno al 8 % cada una) [18, 38]. Una sola clase de acciones con un voto, consejo que se elige entero cada año por mayoría, acceso al proxy para el 3 % con tres años y junta extraordinaria a petición del 25 % del capital [18]. Lo que no tiene el accionista: actuar por consentimiento escrito, que la junta rechazó en 2026 con un 44,6 % a favor, ni convocar con el 10 % (42,7 % a favor en 2025) [28, 29]. El proxy no recoge operaciones vinculadas sujetas a declaración [18]. Desde el 1-ene-2026 la presidencia y el puesto de CEO vuelven a ir juntos, con Janet Clark como consejera coordinadora [18, 31].</w:t>
      </w:r>
    </w:p>
    <w:p>
      <w:pPr>
        <w:pStyle w:val="Heading2"/>
      </w:pPr>
      <w:r>
        <w:t xml:space="preserve">Señales de alerta</w:t>
      </w:r>
    </w:p>
    <w:p>
      <w:pPr>
        <w:pStyle w:val="ListParagraph"/>
        <w:numPr>
          <w:ilvl w:val="0"/>
          <w:numId w:val="2"/>
        </w:numPr>
        <w:spacing w:after="60"/>
      </w:pPr>
      <w:r>
        <w:t xml:space="preserve">Presidencia y consejo delegado vuelven a juntarse en Haviv Ilan desde el 1-ene-2026, tras la salida de Templeton como presidente ejecutivo [18, 31].</w:t>
      </w:r>
    </w:p>
    <w:p>
      <w:pPr>
        <w:pStyle w:val="ListParagraph"/>
        <w:numPr>
          <w:ilvl w:val="0"/>
          <w:numId w:val="2"/>
        </w:numPr>
        <w:spacing w:after="60"/>
      </w:pPr>
      <w:r>
        <w:t xml:space="preserve">Rotación en la cúpula en 2026: se jubilan el CFO (Lizardi, sustituido el 1-ago por Julie Knecht, que era la jefa de contabilidad) y el vicepresidente de cadena de señal (Kozanian, 31-ago), mientras se prepara la integración de Silicon Labs [32, 33, 40].</w:t>
      </w:r>
    </w:p>
    <w:p>
      <w:pPr>
        <w:pStyle w:val="ListParagraph"/>
        <w:numPr>
          <w:ilvl w:val="0"/>
          <w:numId w:val="2"/>
        </w:numPr>
        <w:spacing w:after="60"/>
      </w:pPr>
      <w:r>
        <w:t xml:space="preserve">Ventas de directivos sin ninguna compra en 12 meses: 117 M USD vendidos, incluidos 41,7 M de Lizardi y 5,6 M de Ilan, ninguna con plan 10b5-1 y casi todas tras ejercer opciones [37].</w:t>
      </w:r>
    </w:p>
    <w:p>
      <w:pPr>
        <w:pStyle w:val="ListParagraph"/>
        <w:numPr>
          <w:ilvl w:val="0"/>
          <w:numId w:val="2"/>
        </w:numPr>
        <w:spacing w:after="60"/>
      </w:pPr>
      <w:r>
        <w:t xml:space="preserve">Retribución del CEO sin métricas: bonus discrecional y variable a largo plazo solo de permanencia; el voto en contra sube hasta el 16,8 % en 2026 [18, 28].</w:t>
      </w:r>
    </w:p>
    <w:p>
      <w:pPr>
        <w:pStyle w:val="ListParagraph"/>
        <w:numPr>
          <w:ilvl w:val="0"/>
          <w:numId w:val="2"/>
        </w:numPr>
        <w:spacing w:after="60"/>
      </w:pPr>
      <w:r>
        <w:t xml:space="preserve">Ernst &amp; Young audita a TI (ella o su antecesora) desde 1952: 74 años sin rotar de firma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Alta</w:t>
      </w:r>
    </w:p>
    <w:p>
      <w:pPr>
        <w:spacing w:after="100"/>
      </w:pPr>
      <w:r>
        <w:t xml:space="preserve">TI solo da guía a un trimestre. El 21-oct-2026, con el 3T26 (ingresos de 6.055 M, +28 % interanual y +11 % trimestral; BPA de 2,62 USD), guió el 4T26 a ingresos de 5.800-6.300 M y BPA de 2,45-2,79 USD [2]. Con el punto medio, 2026 cerraría en ≈22.390 M de ingresos (+26,6 %) y ≈9,06 USD de BPA (6,44 en nueve meses más 2,62), frente a 21.972 M y 8,53 USD del consenso previo [44]. La guía del 4T es casi plana sobre el 3T, cuando lo estacional es una caída: la dirección no anticipa aún el giro del ciclo. Pendiente de cierre en el 1S27: compra de Silicon Labs por ≈7.500 M de valor empresa, en efectivo, con caja y deuda (préstamo puente de hasta 5.000 M) [10]. Dividendo trimestral subido un 7 %, a 1,52 USD, desde noviembre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34 analistas, antes del 3T26 [44]; S&amp;P Global vía Stock Analysis: 21.910 M y 8,49 USD (31 analistas) [45]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[44]; S&amp;P Global vía Stock Analysis: 24.930 M y 10,64 USD [45]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[44]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15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225,00 – 400,00</w:t>
            </w:r>
          </w:p>
        </w:tc>
      </w:tr>
    </w:tbl>
    <w:p>
      <w:pPr>
        <w:spacing w:after="160" w:before="0"/>
      </w:pPr>
    </w:p>
    <w:p>
      <w:pPr>
        <w:pStyle w:val="Heading2"/>
      </w:pPr>
      <w:r>
        <w:t xml:space="preserve">Revisiones de estimaciones</w:t>
      </w:r>
    </w:p>
    <w:p>
      <w:pPr>
        <w:spacing w:after="100"/>
      </w:pPr>
      <w:r>
        <w:t xml:space="preserve">Las estimaciones son del 20-21 de octubre, </w:t>
      </w:r>
      <w:r>
        <w:rPr>
          <w:b/>
        </w:rPr>
        <w:t xml:space="preserve">antes</w:t>
      </w:r>
      <w:r>
        <w:t xml:space="preserve"> de los resultados. El 3T26 batió al consenso en ingresos (6.055 M frente a 5.934 M de MarketScreener) y en BPA (2,62 frente a 2,40 USD), y la guía del 4T (punto medio 6.050 M y 2,62 USD) queda un 5 % y un 15 % por encima de lo esperado (5.751 M y 2,27 USD) [2, 44, 46]: cabe esperar subidas de BPA de 2026-27 del 5-8 % en los próximos días. En tres meses el objetivo medio de MarketScreener ha subido de ≈324 a 331 USD y los «compra fuerte» de S&amp;P Global pasaron de 16 a 17 sobre 36; en contra, Wells Fargo bajó su objetivo de 310 a 300 USD el 20-oct [44, 45, 46]. El BPA de 2026e se ha más que duplicado frente a hace un año (ciclo y fábricas de 300 mm llenándose). Los dos proveedores coinciden: 21.910-21.972 M de ingresos y 8,49-8,53 USD de BPA en 2026e; para 2027e, 10,26-10,64 USD.</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Índice: SPY (S&amp;P 500); sector: SOXX (semiconductores de EE. UU.); todo con dividendos [43]. De 2021 a 2025 TI se quedó muy por detrás del índice (cinco años al 10,3 % anual frente al 12,8 %): el ciclo analógico bajó tres años seguidos, el BPA cayó de 9,41 USD (2022) a 5,20 (2024) y la amortización de las fábricas de 300 mm, aún vacías, comprimía el margen. En 2026 el giro ha sido brusco: +66,8 % en el año frente al +14,3 % del S&amp;P 500, en línea con el SOXX (+69,8 %), con ingresos al +19 %, +23 % y +28 % interanual en los tres trimestres [2, 3, 4]. La caída máxima de cinco años (−33,4 %, nov-2024 a abr-2025) coincide con el fondo del ciclo y los aranceles. Beta mensual de 5 años 1,41 frente al SPY; la semanal de 5 años es 1,13, la de 2 años 1,26 y la mensual ajustada 1,27: la alta mensual está inflada por los saltos de 2026. Posición corta del 2,24 % del capital (FINRA vía Stock Analysis) [49].</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 -5,6 % / +19,1 % / +57,3 %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 / +81,2 %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23-abr la acción subió un 19,4 % en un día tras el 1T26 (ingresos +19 % interanual, primer crecimiento trimestral de un 1T en años) y una guía del 2T de 5.000-5.400 M, muy por encima de lo esperado [4,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 334 USD (22-jun) a 285 USD (26-jun): −8,4 % el 23-jun y −8,5 % el 26-jun en una venta general de semiconductores que empezó en las memorias coreanas, sin noticia propia de TI [43, 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Mes hasta el 22-jul: arrastre de la venta de junio y recogida de beneficios antes del 2T26; el 2T (5.463 M, +23 %) y la guía del 3T (5.650-6.150 M) cumplieron sin sorpresa y la acción cedió ≈2 % [3,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publicado tras el cierre: ingresos 6.055 M (+28 %), BPA 2,62 USD frente a 2,40 esperado; guía del 4T de 5.800-6.300 M y 2,45-2,79 USD, por encima del consenso (2,27). A las 16:48 de Nueva York la acción cotizaba fuera de hora a ≈283,9 USD (−0,3 %), tras oscilar entre 281 y 292 USD durante la conferencia [2, 46,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Wells Fargo baja su precio objetivo de 310 a 300 USD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trimestral +7 %, a 1,52 USD (6,08 USD anualizados), 23 años seguidos de subidas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Silicon Labs a 231 USD por acción en efectivo (≈7.500 M de valor empresa), con cierre previsto en el 1S27 si la aprueban los reguladores; préstamo puente de hasta 5.000 M firmado en junio [10]. No está en el balance del 30-sep: al cerrarse sube la deuda neta en ≈7.500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llega a los resultados en tendencia alcista (8,8 % sobre la media de 200 sesiones) pero un 16 % por debajo del máximo de junio, tras una corrección del sector que no tuvo causa propia. El hecho que podía moverla, el 3T26 y la guía del 4T, ya está publicado y es mejor de lo esperado; la primera reacción fuera de hora es plana (−0,3 % a las 16:48 ET), lo que sugiere que el mercado ya lo descontaba tras el +67 % del año. No hay colocaciones, ampliaciones ni demandas pendientes; la compra de Silicon Labs es en efectivo y está anunciada desde febrero. Fuentes revisadas: EDGAR (8-K, 10-Q, Form 4), Stock Analysis y prensa. Próximos resultados: finales de enero de 2027, sin fecha publicada.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(Yahoo Finance) [43]. Se excluye 2017: su BPA (3,61 USD) lleva el cargo extraordinario de la reforma fiscal de EE. UU. y da un PER de 29x que no es repetible. 2024 y 2025 se mantienen aunque su PER de los últimos 12 meses (≈36x y ≈32x) está inflado por un BPA de fondo de ciclo, porque el fondo del ciclo es parte de la historia de una cíclica y la mediana ya lo amortigua. Hoy TI cotiza a ≈29x el BPA adelantado del consenso [49] y por encima de 40x el de los últimos 12 meses: con el ciclo en plena subida, el PER de los últimos 12 meses exagera la prima, y el adelantado (≈27-31x según el BPA) también queda por encima de su mediana adelantada de 2018-2025 (≈21-23x). Lo estructural: amortización mayor por las fábricas nuevas y tipos al 5,1 %, más altos que en 2018-2021.</w:t>
      </w:r>
    </w:p>
    <w:p>
      <w:pPr>
        <w:pStyle w:val="Heading1"/>
      </w:pPr>
      <w:r>
        <w:t xml:space="preserve">18. Comparables cotizados</w:t>
      </w:r>
    </w:p>
    <w:p>
      <w:pPr>
        <w:pStyle w:val="Confianza"/>
        <w:spacing w:after="100"/>
      </w:pPr>
      <w:r>
        <w:t xml:space="preserve">Confianza: Media</w:t>
      </w:r>
    </w:p>
    <w:p>
      <w:pPr>
        <w:spacing w:after="100"/>
      </w:pPr>
      <w:r>
        <w:t xml:space="preserve">Fabricantes de semiconductores analógicos, de potencia y microcontroladores de gran capitalización con clientes industriales y de automóvil como los de TI: Analog Devices, Microchip, NXP, onsemi, STMicroelectronics, Infineon y Monolithic Power. No se incluyen Renesas (cotiza en yenes y su consenso no es gratuito en la misma fuente) ni Skyworks o Qorvo (dependen de teléfonos). Todos con datos de Stock Analysis al cierre del 21-oct-2026 [50, 51]: valor empresa con su último balance, EV/EBITDA y margen EBITDA de los últimos 12 meses (EBITDA publicado, misma base que TI), PER adelantado sobre BPA </w:t>
      </w:r>
      <w:r>
        <w:rPr>
          <w:b/>
        </w:rPr>
        <w:t xml:space="preserve">ajustado</w:t>
      </w:r>
      <w:r>
        <w:t xml:space="preserve"> (excluye amortización de intangibles y pagos en acciones; en TI, ajustado ≈ publicado). El EV/EBITDA de los próximos 12 meses se deja vacío porque el proveedor no lo da en la misma base. Infineon, en euros, convertida a 1,1234 USD/EUR (BCE, 21-oct)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Texas Instruments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Analog Devices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Microchip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NXP Semiconductors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onsemi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STMicroelectronics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Infineon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Monolithic Power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 / 17,0x / 30,1x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 / 19,8x / 23,9x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 / 5,2x / 11,8x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Con la misma fuente, TI cotiza a 28,1x el EBITDA de los últimos 12 meses y 29,4x el BPA adelantado [49], frente a una mediana de los siete comparables de 17,0x y 19,8x. Solo ADI (29,1x y 25,3x) y Monolithic Power (61,6x y 39,7x) están a su nivel, y los dos crecen más: ADI un 21 % y MPWR un 33 % en los próximos 12 meses. La prima de TI se apoya en el margen EBITDA (≈46 % en el LTM, segundo tras ADI), en el ROIC (≈25 % según el proveedor, solo superado por MPWR) y en la menor deuda neta. Pero su crecimiento del consenso para los próximos 12 meses (≈+18 %, estimación propia con los trimestres de MarketScreener) queda en mitad del grupo, así que la prima no la explica el crecimiento: el mercado paga calidad y la palanca operativa de las fábricas de 300 mm. Advertencia de base: los PER de los comparables son sobre BPA ajustado y el de TI sobre BPA publicado; en base publicada los comparables serían más caros (ADI pasa de 25x a 48x en el LTM), así que la mediana de 19,8x subestima el múltiplo comparable. Para el objetivo a 12 meses usaríamos el PER y no el EV/EBITDA.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Silicon Laboratories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Texas Instruments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 USD por acción en efectivo; ≈7.500 M de valor empresa según TI [10]. Ventas 2025 de 784,8 M y resultado de explotación negativo (−70,5 M), así que no hay EV/EBITDA [53]. Prima sobre el cierre del 3-feb-2026 (136,62 USD) [58]. Pendiente de aprobación; cierre previsto en el 1S27.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Maxim Integrated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Analog Devices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0,630 acciones de ADI por acción de Maxim; ≈20.900 M es el valor del capital (prensa), sin restar la caja neta de Maxim, así que el valor empresa real fue algo menor [57]. Ventas del ejercicio a junio de 2020: 2.191 M [54]. Prima sobre el cierre anterior al anuncio.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Cypress Semiconductor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Infineon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23,85 USD por acción; valor empresa totalmente diluido de 9.000 M EUR [55], ≈10.100 M USD al cambio de junio de 2019 (estimación propia, ≈1,12 USD/EUR). Ventas 2018 de 2.484 M y EBITDA publicado de 447 M (164 M de resultado de explotación más 283 M de amortización) [54]. Prima sobre la media ponderada de 30 días no afectada por los rumores.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Microsemi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Microchip Technology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68,78 USD por acción en efectivo; valor del capital ≈8.100 M y valor empresa ≈9.800 M [56]. Ventas del ejercicio a septiembre de 2017: 1.812 M [54]. Sin EBITDA comparable en el XBRL (la amortización de intangibles no está en el concepto de amortización).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108,55 – 209,34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analógico y microcontroladores se han pagado a 4-10 veces ventas, con primas del 22-69 %. La propia TI acaba de pagar 9,6 veces ventas por Silicon Labs, una empresa con pérdidas operativas: paga la cartera de conectividad inalámbrica y la escala que sus fábricas de 300 mm pueden absorber. TI cotiza hoy a ≈13 veces sus ventas de los últimos 12 meses, por encima de cualquier múltiplo pagado en estas operaciones, así que las transacciones no sostienen el precio actual. Con ≈268.000 M de valor empresa, TI no es objetivo realista de compra: no hay comprador con ese tamaño y su accionariado está repartido (99,8 % de capital flotante). Su peso en la valoración debe ser cero.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≈22.390 M USD (+26,6 %): 16.341 M en nueve meses más el punto medio de la guía del 4T (5.800-6.300 M) [2]. 2027e +10 %, por debajo del consenso (+14,6 %) porque parte del rebote es reposición de inventario y la guía del 4T ya es plana [44]; 2028e +6 % y después el ritmo del mercado analógico (≈6 % según WSTS [19]) bajando al 3,5 %. En diez años, ventas de ≈38.000 M frente al máximo anterior de 20.028 M en 2022 [1].</w:t>
      </w:r>
    </w:p>
    <w:p>
      <w:pPr>
        <w:keepNext/>
        <w:spacing w:after="100"/>
      </w:pPr>
      <w:r>
        <w:rPr>
          <w:b/>
          <w:bCs/>
        </w:rPr>
        <w:t xml:space="preserve">Márgenes.</w:t>
      </w:r>
    </w:p>
    <w:p>
      <w:pPr>
        <w:spacing w:after="100"/>
      </w:pPr>
      <w:r>
        <w:t xml:space="preserve">Margen EBITDA del 53,5 % en 2026e (51,3 % en los últimos 12 meses y 44,9 % en 2025) y del 55-56 % después, como el pico de 2022 (55,2 %), porque las fábricas de 300 mm se llenan: el margen bruto ya es del 64,2 % en el 3T26 frente al 57,4 % de hace un año [2]. La amortización pesa más que antes (10,8 % de las ventas en 2025) y baja con las ventas hasta el 7,5 %.</w:t>
      </w:r>
    </w:p>
    <w:p>
      <w:pPr>
        <w:keepNext/>
        <w:spacing w:after="100"/>
      </w:pPr>
      <w:r>
        <w:rPr>
          <w:b/>
          <w:bCs/>
        </w:rPr>
        <w:t xml:space="preserve">Inversión y circulante.</w:t>
      </w:r>
    </w:p>
    <w:p>
      <w:pPr>
        <w:spacing w:after="100"/>
      </w:pPr>
      <w:r>
        <w:t xml:space="preserve">Capex del 10 % de las ventas en 2026e (guía de 2.000-3.000 M; 1.653 M en nueve meses) [2, 14], del 8 % en 2027e y del 7,5 % de mantenimiento después, igual que la amortización final. Circulante del 33 % de las ventas en 2026e (34 % real) bajando al 30 %: las existencias son altas a propósito para servir desde fábricas propias [1].</w:t>
      </w:r>
    </w:p>
    <w:p>
      <w:pPr>
        <w:keepNext/>
        <w:spacing w:after="100"/>
      </w:pPr>
      <w:r>
        <w:rPr>
          <w:b/>
          <w:bCs/>
        </w:rPr>
        <w:t xml:space="preserve">Coste del capital.</w:t>
      </w:r>
    </w:p>
    <w:p>
      <w:pPr>
        <w:spacing w:after="100"/>
      </w:pPr>
      <w:r>
        <w:t xml:space="preserve">Tasa libre del 5,13 % (bono del Tesoro a 10 años, 21-oct-2026) [47]; beta de 1,27 (mensual ajustada a cinco años frente al SPY; la bruta es 1,41 y la semanal a dos años 1,26) [43]; prima de mercado del 5,5 %. Deuda del 5 % del valor al ≈4,2 % antes de impuestos: WACC del 11,7 %. Con la prima implícita del mercado (4,2 %) baja al 10,1 % y el DCF sube a 164,98 USD.</w:t>
      </w:r>
    </w:p>
    <w:p>
      <w:pPr>
        <w:keepNext/>
        <w:spacing w:after="100"/>
      </w:pPr>
      <w:r>
        <w:rPr>
          <w:b/>
          <w:bCs/>
        </w:rPr>
        <w:t xml:space="preserve">Valor terminal.</w:t>
      </w:r>
    </w:p>
    <w:p>
      <w:pPr>
        <w:spacing w:after="100"/>
      </w:pPr>
      <w:r>
        <w:t xml:space="preserve">Gordon con un 3 % de crecimiento a perpetuidad (inflación más el aumento del contenido de semiconductores), por debajo de la tasa libre. El valor terminal pesa un 48 %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3.937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(reinvierte el 23 %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 (histórico: 13,4 %)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frente al 7,6 %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crecimiento proyectado (7,6 %) supera con holgura el histórico de ingresos (3,2 %)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 (hoy: 16,2 %)</w:t>
            </w:r>
          </w:p>
        </w:tc>
      </w:tr>
    </w:tbl>
    <w:p>
      <w:pPr>
        <w:spacing w:after="160" w:before="0"/>
      </w:pPr>
    </w:p>
    <w:p>
      <w:pPr>
        <w:spacing w:after="100"/>
      </w:pPr>
      <w:r>
        <w:t xml:space="preserve">La proyección apenas necesita inversión neta de la amortización (reinversión acumulada de 3.937 M, el 3 % del NOPAT, con un capex bruto medio del 7,8 % de las ventas). En un negocio de activos ligeros, el crecimiento medio del 7,6 % tiene que salir de subir precios y de ganar volumen sin capital nuevo, y la prueba es el poder de precios y la cuota (23,4 % del mercado en 2035e, frente al 16,2 %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rebote del ciclo con industrial y centros de datos al frente y reposición de inventario de distribuidores; precio: subidas cliente a cliente citadas en la conferencia [2, 60].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sigue pero se modera: la guía del 4T ya es plana sobre el 3T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cercano al del mercado analógico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la cuota implícita sube algo porque las ventas incluyen el procesado embebido.</w:t>
            </w:r>
          </w:p>
        </w:tc>
      </w:tr>
    </w:tbl>
    <w:p>
      <w:pPr>
        <w:spacing w:after="160" w:before="0"/>
      </w:pPr>
    </w:p>
    <w:p>
      <w:pPr>
        <w:spacing w:after="100"/>
      </w:pPr>
      <w:r>
        <w:t xml:space="preserve">En parte. La calidad de TI sostiene un crecimiento como el del mercado analógico: es la mayor del sector (16,2 % del analógico mundial [19, 23]), fabrica en fábricas propias de 300 mm con el coste más bajo del sector y vende a más de 100.000 clientes, con un ROIC del 22 % frente a un WACC del 11,7 %. Pero el 7,6 % medio proyectado parte de un 2026 de rebote (+26,6 %) que incluye reposición de inventario y subidas de precio de fase alta del ciclo, y sus ventas de 2016-2025 solo crecieron un 3,2 % anual. Sin el rebote, el 5,5 % anual de 2027e-2035e es financiable sin capital nuevo: el capex ya está hecho.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85 % justifica el precio (base: 55,0 %)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11,7 %)</w:t>
            </w:r>
          </w:p>
        </w:tc>
      </w:tr>
    </w:tbl>
    <w:p>
      <w:pPr>
        <w:spacing w:after="160" w:before="0"/>
      </w:pPr>
    </w:p>
    <w:p>
      <w:pPr>
        <w:spacing w:after="100"/>
      </w:pPr>
      <w:r>
        <w:t xml:space="preserve">El DCF da 134,29 USD por acción, un 52,8 % por debajo del precio, con un WACC del 11,69 %; el valor terminal pesa un 48 % y el rango de sensibilidad va de 123,30 a 148,00 USD. Con la prima implícita del mercado (WACC del 10,1 %) sube a 164,98 USD. El DCF inverso es la clave: a 284,65 USD el mercado pide que las ventas crezcan un 18,3 % anual entre 2027e y 2035e con nuestros márgenes, frente al 5,5 % de nuestro caso base, o aceptar una rentabilidad del 7,2 % anual, por debajo del 11,7 % de su coste de capital. Ni siquiera el alcista (165,54 USD) se acerca: el precio paga el ciclo de 2026-2027 y además una década de crecimiento que TI nunca ha tenido.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rebote de 2026 era sobre todo reposición de inventario: las ventas caen un 4 % en 2027, las fábricas nuevas vuelven a ir a medio gas y el margen EBITDA baja 5-6 puntos; después crece un 3 % menos que el base. Es lo que pasó en 2023-2024 (ventas −22 % en dos años)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sigue en 2027 (+10 %) y se modera después; las fábricas de 300 mm se llenan y el margen EBITDA se queda en el 55-56 %, como en 2022.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alimentación de centros de datos y la automoción eléctrica alargan el ciclo: 3 puntos más de crecimiento y 1,5 de margen, con el BPA de 2028e en línea con el consenso.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284,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130,08 USD (-54,3 %).</w:t>
      </w:r>
    </w:p>
    <w:p>
      <w:pPr>
        <w:spacing w:after="100"/>
      </w:pPr>
      <w:r>
        <w:t xml:space="preserve">Los tres escenarios del valor intrínseco quedan muy por debajo del precio: el alcista (165,54 USD) un 41,8 % y el bajista (86,20) un 69,7 %. A 12 meses es distinto, porque el mercado paga el beneficio cercano: el base vale 286,37 USD (+2,6 % con el dividendo) y el bajista 158,78 (−42 %), con el PER mínimo de cinco años (19,2x) sobre un BPA un 26 % menor.</w:t>
      </w:r>
    </w:p>
    <w:p>
      <w:pPr>
        <w:pStyle w:val="Heading1"/>
      </w:pPr>
      <w:r>
        <w:t xml:space="preserve">22. Suma de partes</w:t>
      </w:r>
    </w:p>
    <w:p>
      <w:pPr>
        <w:pStyle w:val="Confianza"/>
        <w:spacing w:after="100"/>
      </w:pPr>
      <w:r>
        <w:t xml:space="preserve">Confianza: Media</w:t>
      </w:r>
    </w:p>
    <w:p>
      <w:pPr>
        <w:spacing w:after="100"/>
      </w:pPr>
      <w:r>
        <w:t xml:space="preserve">Analógico y procesado embebido comparten fábricas, canal de venta y clientes, y la empresa no reparte la deuda ni los costes comunes por segmento: la suma de partes añadiría supuestos sin mejorar la valoración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284,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286,07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148,79 USD (-47,7 % sobre 284,65).</w:t>
      </w:r>
    </w:p>
    <w:p>
      <w:pPr>
        <w:spacing w:after="100"/>
      </w:pPr>
      <w:r>
        <w:t xml:space="preserve">Pesos: DCF 50 %, comparables 25 % y escenarios 25 %; las transacciones no pesan (compras de 4-10 veces las ventas con prima de control). Todos los métodos de valor dan mucho menos que el precio: DCF 134,29 USD, comparables por PER 196,49 y por EV/EBITDA 191,96, transacciones 162,66. Los comparables cotizan a 19,8 veces el BPA ajustado de los próximos 12 meses y TI a 28,7 veces el publicado. El valor intrínseco es de 148,79 USD. La recomendación la decide la regla a 12 meses (PER propio por BPA propio de 2028e): −6,3 % ponderada y +2,6 % en el base, que es Mantener.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(27.7x) a mitad de camino hacia abajo, hacia la mediana de 5 años (23.4x)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312,89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spacing w:after="100"/>
      </w:pPr>
      <w:r>
        <w:rPr>
          <w:b/>
          <w:bCs/>
        </w:rPr>
        <w:t xml:space="preserve">Objetivo a 12 meses (ponderado):</w:t>
      </w:r>
      <w:r>
        <w:t xml:space="preserve"> 261,10 USD · rentabilidad -6,3 % (base +2,6 %) · señal Mantener.</w:t>
      </w:r>
    </w:p>
    <w:p>
      <w:pPr>
        <w:spacing w:after="100"/>
      </w:pPr>
      <w:r>
        <w:t xml:space="preserve">Para comparar, con la regla v2 (historia al cierre, mismo precio): 17,6x / 24,1x / 25,2x, -10,5 %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2027e (10,28 USD) coincide con el consenso (10,26) y el de 2028e (11,23) queda un 6,8 % por debajo (12,05) por la cautela de ciclo; el consenso es anterior a la guía del 4T, que lo hará subir un 5-8 % [44]. La distancia grande está en el múltiplo: el objetivo medio de los analistas (324,71 USD) supone unas 27 veces el BPA de 2028; la regla baja del PER actual (27,7x) hacia la mediana adelantada de cinco años (23,4x) con el tope del 10 % y deja el base en 25,5 veces y 286,37 USD, un 11,8 % por debajo.</w:t>
      </w:r>
    </w:p>
    <w:p>
      <w:pPr>
        <w:keepNext/>
        <w:spacing w:after="100"/>
      </w:pPr>
      <w:r>
        <w:rPr>
          <w:b/>
          <w:bCs/>
        </w:rPr>
        <w:t xml:space="preserve">Del valor intrínseco al objetivo a 12 meses.</w:t>
      </w:r>
    </w:p>
    <w:p>
      <w:pPr>
        <w:spacing w:after="100"/>
      </w:pPr>
      <w:r>
        <w:t xml:space="preserve">Objetivo ponderado de 261,10 USD: −6,3 % con el dividendo (+2,6 % en el base). El BPA crece mucho (de 5,45 USD en 2025 a 11,23 en 2028e) porque las fábricas nuevas se llenan, pero el múltiplo baja hacia su historia y el bajista, de fondo de ciclo, pesa. El valor intrínseco (148,79 USD) queda un 43 % por debajo del objetivo: la tesis a varios años es peor que la de 12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sesión tras 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Fuera de hora la acción no se movió (−0,3 %) pese a batir y guiar por encima [48]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si la estacionalidad vuelve; una guía plana o al alza alargaría el ciclo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Silicon Labs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la deuda neta en ≈7.500 M y añade un negocio con pérdidas operativas; sinergias de ≈450 M [10,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Investigación antidumping china sobre el analógico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sobre una parte de las ventas a China (≈20 % por sede del cliente) [25,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rebote de 2026 era reposición de inventario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−42 % a 12 meses (bajista, 158,78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propias de bajo coste y un dividendo cubierto por la caja libre al bajar el capex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trimestral por debajo del trimestre anterior más allá de lo estacional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analógico de gama media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de ventas en China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Catálogo de más de 80.000 productos y coste de fábricas de 300 mm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peso de China y del margen bruto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Silicon Labs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del 69 % y 9,6 veces las ventas por un negocio sin beneficio operativo [10]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Encaja en procesado embebido inalámbrico; sinergias anunciadas de ≈450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del negocio comprado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28,7 veces el BPA de los próximos 12 meses frente a 19,8 de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si cotiza como sus comparables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y caja libre en máximos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por debajo de 23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en la dirección (presidente, director financiero) en plena integración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Difícil de medir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 de la casa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salidas de directivos</w:t>
            </w:r>
          </w:p>
        </w:tc>
      </w:tr>
    </w:tbl>
    <w:p>
      <w:pPr>
        <w:spacing w:after="160" w:before="0"/>
      </w:pPr>
    </w:p>
    <w:p>
      <w:pPr>
        <w:pStyle w:val="Heading2"/>
      </w:pPr>
      <w:r>
        <w:t xml:space="preserve">Pre-mortem</w:t>
      </w:r>
    </w:p>
    <w:p>
      <w:pPr>
        <w:spacing w:after="100"/>
      </w:pPr>
      <w:r>
        <w:t xml:space="preserve">Es octubre de 2027 y TI ha perdido un 35 %. Lo más probable: el rebote de 2026 era reposición de inventario de los distribuidores, como en 2021-2022; en el 1S27 las ventas cayeron, las fábricas nuevas se quedaron a medio llenar, el margen bruto volvió por debajo del 60 % y el mercado dejó de pagar 28 veces un beneficio que bajaba. A la vez, cerró la compra de Silicon Labs con más deuda y el arancel chino al analógico de EE. UU. recortó las ventas en su mayor mercado. Las señales: guías planas tras un año de subidas y existencias del canal en máximos.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Dos asuntos mueven cifras. </w:t>
      </w:r>
      <w:r>
        <w:rPr>
          <w:b/>
        </w:rPr>
        <w:t xml:space="preserve">Energía y emisiones de las fábricas</w:t>
      </w:r>
      <w:r>
        <w:t xml:space="preserve">: TI fabrica en casa y la electricidad es su gran insumo; en 2025 compró 1.845.316 MWh de electricidad renovable (+120 %), ya cubre el 100 % de las fábricas de 300 mm y va al 52 % del objetivo de 100 % mundial en 2030; las emisiones de alcance 1 y 2 han bajado un 41 % desde 2015 y en 2026 la SBTi validó un recorte absoluto del 42 % para 2030 sobre 2023 [27]. Al crecer la producción en Sherman y Lehi, cumplirlo exige más contratos de renovables a largo plazo. </w:t>
      </w:r>
      <w:r>
        <w:rPr>
          <w:b/>
        </w:rPr>
        <w:t xml:space="preserve">Agua</w:t>
      </w:r>
      <w:r>
        <w:t xml:space="preserve">: una fábrica de semiconductores consume mucha agua ultrapura y TI cita la escasez de agua como reto; reutiliza el 35 % del agua (3.800 millones de galones) [27]. Un tercero, de gobierno: las ayudas CHIPS (hasta 1.600 M USD) llevan cláusulas de devolución si incumple compromisos [1].</w:t>
      </w:r>
    </w:p>
    <w:p>
      <w:pPr>
        <w:pStyle w:val="Heading2"/>
      </w:pPr>
      <w:r>
        <w:t xml:space="preserve">Controversias</w:t>
      </w:r>
    </w:p>
    <w:p>
      <w:pPr>
        <w:spacing w:after="100"/>
      </w:pPr>
      <w:r>
        <w:t xml:space="preserve">No hay sanciones de reguladores contra TI en los últimos tres años en las fuentes primarias leídas; el 10-Q de junio de 2026 dice que ningún procedimiento abierto tendrá efecto material [10]. El único expediente oficial contra sus productos es la investigación antidumping china abierta el 13-sep-2025 sobre chips de interfaz y de control de puerta de EE. UU. [25]. La prensa recoge demandas civiles en Texas (diciembre de 2025) por chips de TI y de otros fabricantes hallados en armas rusas; no he podido leer el expediente judicial, así que no se toma como hecho. En 2025 TI registró un deterioro de 32 M USD del fondo de comercio de ASIC, sin relación con controversias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del canal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2026 es reposición de inventario de los distribuidores y cuánto queda en el canal?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es año de crecimiento o de corrección.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Silicon Labs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retorno sobre los ≈7.500 M espera la dirección y en cuánto tiempo?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compra de TI desde National Semiconductor.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vuelven las recompras, con 18.790 M autorizados y la caja libre en máximos?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ya absorbe gran parte de la caja libre.</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del valor TXN)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Leídos unos 360 mensajes del 29-jun al 21-oct. Entre los que se etiquetan, los alcistas superan con claridad a los bajistas cada mes. Antes del 3T26 dominaban las compras de opciones de compra a corto plazo; tras la publicación, el tono es de «¿cómo no sube un 10 %?». Hubo mucho debate después del 2T26, cuando el valor cayó pese a batir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independientes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Revisados 24 titulares y entradas del 21-jul al 21-oct. Los cinco artículos de opinión de agosto y septiembre son alcistas: la caja libre «despierta», el ciclo alcista que llevaba años esperándose, una subida de recomendación, la conversión a 800 V en corriente continua en los centros de datos y «el momento del analógico». Las noticias recogen las subidas de precios cliente a cliente, la segunda fase de la revisión en China de la compra de Silicon Labs y que la acción sube ligeramente tras el 3T26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(artículos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tres artículos son alcistas. El de agosto ve la caída desde máximos como oportunidad y atribuye la guía floja del 3T al retraso de las subidas de precios, no a la demanda. Los de septiembre y octubre presentan TI como una de las mejores ideas de 2026 [62, 63, 64].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 Finance / Insider Monkey (comentario de cartera)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recuperación es real, pero el autor aconseja mantener, no comprar: el múltiplo es alto para un negocio cíclico y parte de la mejora de la caja viene de los incentivos de la CHIPS Act. Recuerda también que la compra de Silicon Labs absorberá recursos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24/7 Wall St. (previa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el mercado, la guía del 4T importa más que el 3T. La industria sigue por debajo de su pico de 2022 y los clientes no han repuesto inventario, y las expectativas eran altas tras la subida del año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subida del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de Stocktwits y los autores de Seeking Alpha y Motley Fool dan por buena la recuperación. Los comentarios más prudentes (Insider Monkey, la previa de 24/7) dicen que el precio ya la descuenta [60, 65, 66]. El juicio corresponde a la valoración del informe (DCF, PER propio y objetivo a 12 meses) con el precio de 284,65 USD, no a esta sección. Las cifras de múltiplos que circulan en estos textos no se usan.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al acabar el ciclo de inversión en fábricas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tesis central de los alcistas: la caja «despierta» al bajar el capex [61]. El matiz de Insider Monkey es pertinente: parte de la mejora viene de los incentivos de la CHIPS Act, que no se repiten [65]. La caja libre de 12 meses de TI (8.422 M) incluye 1.104 M de subvenciones CHIPS; sin ellas es de 7.318 M [61].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 (800 V en corriente continua, potencia)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lo presentan como el nuevo motor de crecimiento [60, 61, 62]. En las cuentas sigue siendo una parte pequeña de las ventas: la mayoría es industria y automoción. El relato «TI es una apuesta por la IA» exagera el peso actual, aunque el crecimiento sea real. Una parte de los foros recuerda que el ciclo de TI sigue los pedidos industriales y la producción de coches, no la inversión en IA [60].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precios cliente a cliente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2T26 se espera que las subidas se noten en el 4T [61, 62]. La guía del 4T publicada el 21-oct supera las previsiones según los titulares del día [60, 61], lo que es coherente con esa lectura. La cifra se comprueba en el 8-K, no aquí.</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Reacción de la bolsa a los resultados («vender la noticia»)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la acción cayó pese a batir y subir la guía, y en los foros se repitió la queja de que «todo estaba descontado» [60]. Tras el 3T26 la primera reacción fuera de hora es una subida ligera, según Seeking Alpha [61]. Los foros esperaban un movimiento mayor, que las opciones situaban cerca del 7 % en ambos sentidos [60]. Fuera de hora la acción acabó casi plana.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de Silicon Labs y revisión en 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Apenas se debate en los foros. Seeking Alpha recoge que la revisión china pasa a la segunda fase [61] e Insider Monkey, que absorberá caja [65]. Es un riesgo regulatorio y de balance que el informe trata en capital, balance y riesgos con los documentos de la operación.</w:t>
            </w:r>
          </w:p>
        </w:tc>
      </w:tr>
    </w:tbl>
    <w:p>
      <w:pPr>
        <w:spacing w:after="160" w:before="0"/>
      </w:pPr>
    </w:p>
    <w:p>
      <w:pPr>
        <w:spacing w:after="100"/>
      </w:pPr>
      <w:r>
        <w:t xml:space="preserve">El sentimiento es positivo y mejor que hace tres-seis meses. Particulares y autores independientes compran la tesis de la recuperación, la caja libre al bajar el capex y la opción de los centros de datos. Las voces prudentes coinciden con los analistas que recortan objetivos (Wells Fargo, TD Cowen, Cantor en neutral) [60]: el precio ya descuenta mucho. No hay euforia ni capitulación. Es optimismo de ciclo con dudas sobre la valoración, y tras el 2T26 ya castigó a la acción un «bate y sube la guía». Aporta dos cosas a la decisión. El riesgo de «vender la noticia» sigue presente aunque la guía del 4T sea buena. Y la caja que celebran los foros incluye incentivos de la CHIPS Act que no se repiten: el informe debe separarlos antes de proyectarla.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67 (41 primarias); citas distintas en el texto: 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«En parte» (el crecimiento proyectado (7,6 %) supera con holgura el histórico de ingresos (3,2 %)):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23,4 % en 2035e frente al 16,2 %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34,0 % real: genera una variación de circulante de 1.376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9.097 M de flujo libre medio en sus tres primeros años, frente a 1.928 M de media real en los tres últimos: justifica el salto (circulante, inversión, márgenes) o ajusta los supuestos. Explicación: El salto de la caja libre (≈9.100 M de media en 2026e-2028e frente a 1.928 M en 2023-2025) es el fin del ciclo de inversión en fábricas de 300 mm: el capex pasa de 4.800-5.100 M al año a 2.000-3.000 M en 2026 y los últimos 12 meses ya dan 8.422 M de caja libre con las ayudas CHIPS [2, 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(11,23) supone un 27,3 % anual desde 5,45 (2025): explícalo en valoracion.objetivo_12m.comentario o la confianza es baja. Explicación: El BPA de 2028e (11,23 USD) supone un 27,3 % anual desde el 5,45 de 2025, pero 2026 ya está casi hecho: 6,44 USD en nueve meses y una guía del 4T que lleva el año a ≈9,06 [2]; desde ahí son +11 % anual, por debajo del consenso (12,05 en 2028) [44].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fuentes (41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2T26 (grep «rating», «Moody», «Standard &amp; Poor»): no lo publican; 2) búsqueda web de acciones de Moody's y S&amp;P en 2026 por la compra de Silicon Labs: nada de las agencias; 3) directorio de terceros con A2/A+ y nota anterior con A+/Aa3 de memoria: discrepantes y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del 3T26 (mensajes de la dirección, preguntas de analistas, causa del céntimo de BPA no previsto)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TI (static-files): 403; 2) búsqueda de la transcripción del 3T26: solo aparecen la del 2T26 y anteriores; 3) prensa del 21-oct sobre la reacción y el consenso: aún no indexada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previo de cada trimestre (vs_consenso)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no dan consenso; 2) búsqueda del consenso del 3T26: sin resultados del día; 3) se compara con el punto medio de la guía de la propia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independiente del tamaño del mercado analógico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WSTS Spring 2026, Autumn 2025 y Spring 2023 (leídos: tamaño, sin cuotas por empresa); 2) búsqueda de rankings de Gartner, Omdia o TechInsights del analógico 2025: solo agregadores (Report Prime, Intel Market Research) con cifras contradictorias; 3) Infineon Annual Report 2025: da el crecimiento del analógico (+5 %) y su propio puesto en su mercado de referencia, no el tamaño ni el CR5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publicadas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Buscador público de MSCI ESG Ratings: la ficha no muestra la nota sin acceso a MSCI ONE; 2) ficha de Sustainalytics de Texas Instruments (WebFetch y curl): página genérica sin puntuación ni fecha; 3) informe de ciudadanía corporativa 2025 de TI: cita que reporta a CDP, sin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participacion_pct de Julie Knecht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no figura en la tabla de propiedad (no era alta directiva entonces); 2) Form 4 de 2026 (concesión del 24-jul y venta del 1-may) vistos con herramientas/form4.mjs, que no guarda el saldo tras la operación; 3) 8-K del nombramiento: solo da salario y RSU concedidas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actual de BlackRock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cita su 13G/A de enero de 2024 (8,5 %); 2) lista de presentaciones de TXN en EDGAR: ningún 13G de BlackRock posterior; 3) búsqueda de texto completo de EDGAR (13G y 13G/A, 2024-2026): solo aparecen los de Vanguard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de cada comparable (solo abrió NXP; su EBITDA es ajustado y no cuadra con el publicado); 2) Stock Analysis statistics y forecast (no dan EBITDA estimado); 3) derivarlo del crecimiento de ingresos (descartado: mezclaría márgenes supuestos)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los próximos 12 meses de Infineon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Xetra statistics (sin previsión); 2) MarketScreener Infineon (no localizado en la búsqueda); 3) presupuesto agotado, sin otra fuente gratuita a la misma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Maxim y Microsemi y prima de Microsemi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de los 10-K (la amortización de intangibles no está en el concepto de amortización); 2) 8-K de Microchip y de ADI (no dan EBITDA ni prima); 3) prensa (prima de Microsemi del 7 % solo en un resumen de buscador, no utilizable)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de inversores en Reddit y comentarios de lectores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reddit.com y old.reddit.com directos (búsqueda y JSON): 403, y WebFetch bloqueado; 2) archivo Arctic Shift por subforo (r/stocks, r/investing, r/wallstreetbets, r/dividends, r/ValueInvesting, r/semiconductors) desde el 1-jul-2026: solo un hilo de la subida del dividendo con 2 comentarios, una transcripción sin debate y hilos de empleo en r/semiconductors; pullpush.io devuelve 429; 3) artículos de Seeking Alpha con comentarios (curl y WebFetch): 403 con captcha; búsqueda web «reddit TXN earnings October 2026»: sin hilos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(ejercicio cerrado el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https://www.sec.gov/Archives/edgar/data/97476/000009747626000059/txn-20251231.htm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 reports third quarter 2026 financial results and shareholder returns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https://www.sec.gov/Archives/edgar/data/97476/000009747626000165/q32026txnex99-eredgar.htm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 reports second quarter 2026 financial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https://www.sec.gov/Archives/edgar/data/97476/000009747626000148/q22026txnex99-eredgar.htm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 reports first quarter 2026 financial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https://www.sec.gov/Archives/edgar/data/97476/000009747626000097/q12026txnex99-eredgar.htm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 reports fourth quarter and 2025 financial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https://www.sec.gov/Archives/edgar/data/97476/000009747626000003/q42025txnex99-eredgar.htm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 reports third quarter 2025 financial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https://www.sec.gov/Archives/edgar/data/97476/000009747625000056/q32025txnex99-eredgarversi.htm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 reports second quarter 2025 financial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https://www.sec.gov/Archives/edgar/data/97476/000009747625000033/q22025txnex99-er1.htm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 reports first quarter 2025 financial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https://www.sec.gov/Archives/edgar/data/97476/000009747625000025/q12025txnex99-er1.htm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 reports fourth quarter and 2024 financial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https://www.sec.gov/Archives/edgar/data/97476/000009747625000003/q42024txnex99-eredgar.htm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https://www.sec.gov/Archives/edgar/data/97476/000009747626000152/txn-20260630.htm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(segmentos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https://www.sec.gov/Archives/edgar/data/97476/000009747624000007/txn-20231231.htm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los 10-K (companyfacts, CIK 0000097476)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https://data.sec.gov/api/xbrl/companyfacts/CIK0000097476.json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https://www.webull.com/news/15273054758446080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slashes 2026 capex outlook (presentación de gestión de capital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https://finance.yahoo.com/news/texas-instruments-slashes-2026-capex-101721209.html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 reports third quarter 2024 financial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https://www.sec.gov/Archives/edgar/data/97476/000009747624000040/q32024txnex99-er1.htm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https://www.sec.gov/Archives/edgar/data/97476/000009747623000007/txn-20221231.htm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About TI: historia de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https://www.ti.com/about-ti.html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https://www.sec.gov/Archives/edgar/data/97476/000009747626000078/txn-20260303.htm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WSTS Semiconductor Market Forecast Spring 2026 (nota de prensa y tabla)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Semiconductor Trade Statistics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https://www.wsts.org/esraCMS/extension/media/f/WST/7618/WSTS_FC-Release-2026-May.pdf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WSTS Semiconductor Market Forecast Autumn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Semiconductor Trade Statistics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https://www.wsts.org/esraCMS/extension/media/f/WST/7310/WSTS_FC-Release-2025_11.pdf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WSTS Semiconductor Market Forecast Spring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Semiconductor Trade Statistics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https://www.wsts.org/esraCMS/extension/media/f/WST/6032/WSTS_nr-2023_05.pdf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Infineon Technologies, Annual Report 2025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Infineon Technologies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https://www.infineon.com/assets/row/public/documents/corporate/investors/annual-reports/2025/2025-annual-report-v01-00-en.pdf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(10-K y 20-F): Analog Devices, NXP, Microchip, onsemi, STMicroelectronics, Monolithic Power y Texas Instruments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Respuesta del portavoz sobre la investigación antidumping de chips analógicos de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Comercio de China (MOFCOM)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https://english.mofcom.gov.cn/News/SpokesmansRemarks/art/2025/art_fbe5b1354a344214921101ae311ddffb.html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Beijing issues questionnaires for U.S. analog chip probe, response deadline set at 37 days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https://www.trendforce.com/news/2025/10/23/news-beijing-issues-questionnaires-for-u-s-analog-chip-probe-response-deadline-set-at-37-days/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Corporate Citizenship Report, resumen ejecutivo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https://www.ti.com/lit/pdf/szzo181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punto 5.07: votaciones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https://www.sec.gov/Archives/edgar/data/97476/000009747626000094/txn-20260416.htm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punto 5.07: votaciones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https://www.sec.gov/Archives/edgar/data/97476/000009747625000022/txn-20250417.htm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puntos 5.02 y 5.07: votaciones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https://www.sec.gov/Archives/edgar/data/97476/000009747624000024/txn-20240425.htm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punto 5.02: jubilación de Richard Templeton y nombramiento de Haviv Ilan como presidente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https://www.sec.gov/Archives/edgar/data/97476/000095010325013275/dp235861_8k.htm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punto 5.02: jubilación de Hagop Kozanian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https://www.sec.gov/Archives/edgar/data/97476/000119312526124057/d136885d8k.htm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punto 5.02: nombramiento de Julie Knecht como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https://www.sec.gov/Archives/edgar/data/97476/000095010326008325/dp247795_8k.htm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2T24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https://www.sec.gov/Archives/edgar/data/97476/000009747624000029/q22024txnex99-er1.htm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1T24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https://www.sec.gov/Archives/edgar/data/97476/000009747624000020/q12024txnex99-er1.htm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4T23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https://www.sec.gov/Archives/edgar/data/97476/000009747624000004/q42023txnex99-er1.htm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TXN (21-oct-2025 a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https://www.sec.gov/cgi-bin/browse-edgar?action=getcompany&amp;CIK=0000097476&amp;type=4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TXN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https://www.sec.gov/Archives/edgar/data/97476/000210011926001153/primary_doc.xml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TXN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https://www.sec.gov/Archives/edgar/data/102909/000010290926002454/primary_doc.xml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to acquire Silicon Labs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https://www.sec.gov/Archives/edgar/data/97476/000119312526036727/d100130dex991.htm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 TI increases dividend 7% to $1.52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https://www.sec.gov/Archives/edgar/data/97476/000095010326014118/dp253473_ex99.htm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https://www.sec.gov/cgi-bin/browse-edgar?action=getcompany&amp;CIK=0000097476&amp;type=10-K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TXN, SPY y SOXX: históricos diarios (cierre ajustado por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https://finance.yahoo.com/quote/TXN/history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Finances (estimaciones anuales y trimestrales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https://www.marketscreener.com/quote/stock/TEXAS-INSTRUMENTS-INCORPO-9730651/finances/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TXN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https://stockanalysis.com/stocks/txn/forecast/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TXN: cotización, fuera de hora y titulares (TheFly, Reuters, WSJ)</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https://stockanalysis.com/stocks/txn/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5,13 % el 21-oct)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TXN: cotización intradía de 5 minutos con negociación fuera de hora,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https://finance.yahoo.com/quote/TXN/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TXN Statistics (valor empresa, PER adelantado, flotante,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https://stockanalysis.com/stocks/txn/statistics/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 ADI, MCHP, NXPI, ON, STM, MPWR e IFX (Xetra)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Forecast de ADI, MCHP, NXPI, ON, STM y MPWR (ingresos y BPA de este y del próximo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21-oct-2026 (USD 1,1234)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Silicon Laboratories: datos XBRL de los 10-K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https://data.sec.gov/api/xbrl/companyfacts/CIK0001038074.json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Maxim Integrated, Cypress Semiconductor y Microsemi: datos XBRL de los 10-K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https://data.sec.gov/api/xbrl/companyfacts/CIK0000743316.json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Cypress Semiconductor, Form 8-K anexo 99.1: Infineon to acquire Cypress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Cypress Semiconductor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https://www.sec.gov/Archives/edgar/data/791915/000110465919033282/a19-10962_1ex99d1.htm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Microchip Technology, Form 8-K anexo 99.2 (compra de Microsemi)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Microchip Technology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https://www.sec.gov/Archives/edgar/data/0000827054/000119312518169178/d586812dex992.htm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Analog Devices to Buy Rival Maxim in $21 Billion Chip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https://www.bloomberg.com/news/articles/2020-07-13/analog-devices-to-buy-rival-maxim-in-21-billion-chip-deal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SLAB: históricos diarios (cierre del 3-feb-2026, 136,62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https://finance.yahoo.com/quote/SLAB/history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movers: TXN, 23-jun-2026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https://www.tradingkey.com/news/market-movers/261985515-market-movers-txn-20260623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de mensajes de TXN (API pública, 29-jun a 21-oct-2026, unos 360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https://api.stocktwits.com/api/2/streams/symbol/TXN.json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noticias y análisis (RSS del valor, 21-jul a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https://seekingalpha.com/api/sa/combined/TXN.xml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stock down 16% from high: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https://www.fool.com/investing/2026/08/01/texas-instruments-stock-down-16-high-buy/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Texas Instruments an undervalued semiconductor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https://www.fool.com/investing/2026/09/01/is-texas-instruments-an-undervalued-semiconductor/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Massive update for Texas Instruments stock investors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https://www.fool.com/investing/2026/10/13/massive-update-for-texas-instruments-stock-investo/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(TXN) sees profits recover, but is the stock still expensive?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https://finance.yahoo.com/markets/stocks/articles/texas-instruments-txn-sees-profits-141021400.html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and Lam Research report earnings: AI equipment boom meets analog rebound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https://247wallst.com/investing/2026/10/20/texas-instruments-and-lam-research-report-earnings-ai-equipment-boom-meets-analog-rebound/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https://pages.stern.nyu.edu/~adamodar/New_Home_Page/datafile/implpr.html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88,6 %</w:t>
      </w:r>
      <w:r>
        <w:t xml:space="preserve"> · Secciones con menos del 60 % de campos cubiertos: </w:t>
      </w:r>
      <w:r>
        <w:rPr>
          <w:b/>
          <w:bCs/>
        </w:rPr>
        <w:t xml:space="preserve">riesgos</w:t>
      </w:r>
      <w:r>
        <w:t xml:space="preserve"> · Generado el 21 oct 2026.</w:t>
      </w:r>
    </w:p>
    <w:p>
      <w:pPr>
        <w:pStyle w:val="Nota"/>
        <w:spacing w:after="100"/>
      </w:pPr>
      <w:r>
        <w:t xml:space="preserve">Cifras en millones de USD, ejercicio a 31 de diciembre, US GAAP; TI no publica BPA ajustado y todo el informe usa el diluido publicado. Cuentas anuales del XBRL y los 10-K de 2016-2025 y trimestres de los 8-K de resultados [1, 12]. El 10-Q del 3T26 aún no está: el puente usa el balance del 8-K del 30-sep [2]. Precio: cierre del 21-oct-2026 (284,65 USD), anterior a los resultados, que se publicaron tras el cierre; fuera de hora apenas se movió (≈283,9 USD) [46, 48]. El consenso es del 20-21 de octubre, antes de los resultados [44, 45]. La compra de Silicon Labs (≈7.500 M USD de valor empresa en efectivo, cierre previsto en el 1S27) no entra en la proyección ni en el puente porque no ha cerrado [10]. El PER de los comparables es sobre BPA ajustado y el de TI sobre el publicado, así que su mediana se queda corta. Sustituye entero al análisis rápido del 14-oct, hecho solo con extractos de búsqueda.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Texas Instruments Incorporated (TXN)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284,65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(152,73 – 334,03)</c:v>
                </c:pt>
                <c:pt idx="1">
                  <c:v>Precio objetivo de los analistas (225,00 – 400,00)</c:v>
                </c:pt>
                <c:pt idx="2">
                  <c:v>Comparables: PER NTM (194,50 – 237,18)</c:v>
                </c:pt>
                <c:pt idx="3">
                  <c:v>Transacciones precedentes (EV/ventas) (108,55 – 209,34)</c:v>
                </c:pt>
                <c:pt idx="4">
                  <c:v>DCF (WACC y g ± 0,5) (123,30 – 148,00)</c:v>
                </c:pt>
                <c:pt idx="5">
                  <c:v>Escenarios (bajista – alcista) (86,20 – 165,54)</c:v>
                </c:pt>
                <c:pt idx="6">
                  <c:v>DCF con la prima implícita del mercado (4,2 %)</c:v>
                </c:pt>
                <c:pt idx="7">
                  <c:v>Precio actual (284,65)</c:v>
                </c:pt>
              </c:strCache>
            </c:strRef>
          </c:cat>
          <c:val>
            <c:numRef>
              <c:f>Hoja1!$B$2:$B$9</c:f>
              <c:numCache>
                <c:formatCode>#,##0</c:formatCode>
                <c:ptCount val="8"/>
                <c:pt idx="0">
                  <c:v>152.73</c:v>
                </c:pt>
                <c:pt idx="1">
                  <c:v>225</c:v>
                </c:pt>
                <c:pt idx="2">
                  <c:v>194.5</c:v>
                </c:pt>
                <c:pt idx="3">
                  <c:v>108.55</c:v>
                </c:pt>
                <c:pt idx="4">
                  <c:v>123.3</c:v>
                </c:pt>
                <c:pt idx="5">
                  <c:v>86.2</c:v>
                </c:pt>
                <c:pt idx="6">
                  <c:v>153.81</c:v>
                </c:pt>
                <c:pt idx="7">
                  <c:v>283.23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(152,73 – 334,03)</c:v>
                </c:pt>
                <c:pt idx="1">
                  <c:v>Precio objetivo de los analistas (225,00 – 400,00)</c:v>
                </c:pt>
                <c:pt idx="2">
                  <c:v>Comparables: PER NTM (194,50 – 237,18)</c:v>
                </c:pt>
                <c:pt idx="3">
                  <c:v>Transacciones precedentes (EV/ventas) (108,55 – 209,34)</c:v>
                </c:pt>
                <c:pt idx="4">
                  <c:v>DCF (WACC y g ± 0,5) (123,30 – 148,00)</c:v>
                </c:pt>
                <c:pt idx="5">
                  <c:v>Escenarios (bajista – alcista) (86,20 – 165,54)</c:v>
                </c:pt>
                <c:pt idx="6">
                  <c:v>DCF con la prima implícita del mercado (4,2 %)</c:v>
                </c:pt>
                <c:pt idx="7">
                  <c:v>Precio actual (284,65)</c:v>
                </c:pt>
              </c:strCache>
            </c:strRef>
          </c:cat>
          <c:val>
            <c:numRef>
              <c:f>Hoja1!$C$2:$C$9</c:f>
              <c:numCache>
                <c:formatCode>#,##0</c:formatCode>
                <c:ptCount val="8"/>
                <c:pt idx="0">
                  <c:v>181.29999999999998</c:v>
                </c:pt>
                <c:pt idx="1">
                  <c:v>175</c:v>
                </c:pt>
                <c:pt idx="2">
                  <c:v>42.68000000000001</c:v>
                </c:pt>
                <c:pt idx="3">
                  <c:v>100.79</c:v>
                </c:pt>
                <c:pt idx="4">
                  <c:v>24.700000000000003</c:v>
                </c:pt>
                <c:pt idx="5">
                  <c:v>79.33999999999999</c:v>
                </c:pt>
                <c:pt idx="6">
                  <c:v>24.039999999999992</c:v>
                </c:pt>
                <c:pt idx="7">
                  <c:v>2.839999999999975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Analógico</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10886</c:v>
                </c:pt>
                <c:pt idx="1">
                  <c:v>14050</c:v>
                </c:pt>
                <c:pt idx="2">
                  <c:v>15359</c:v>
                </c:pt>
                <c:pt idx="3">
                  <c:v>13040</c:v>
                </c:pt>
                <c:pt idx="4">
                  <c:v>12161</c:v>
                </c:pt>
                <c:pt idx="5">
                  <c:v>14006</c:v>
                </c:pt>
              </c:numCache>
            </c:numRef>
          </c:val>
        </c:ser>
        <c:ser>
          <c:idx val="1"/>
          <c:order val="1"/>
          <c:tx>
            <c:strRef>
              <c:f>Hoja1!$C$1</c:f>
              <c:strCache>
                <c:ptCount val="1"/>
                <c:pt idx="0">
                  <c:v>Procesado embebido</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2570</c:v>
                </c:pt>
                <c:pt idx="1">
                  <c:v>3049</c:v>
                </c:pt>
                <c:pt idx="2">
                  <c:v>3261</c:v>
                </c:pt>
                <c:pt idx="3">
                  <c:v>3368</c:v>
                </c:pt>
                <c:pt idx="4">
                  <c:v>2533</c:v>
                </c:pt>
                <c:pt idx="5">
                  <c:v>2697</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1005</c:v>
                </c:pt>
                <c:pt idx="1">
                  <c:v>1245</c:v>
                </c:pt>
                <c:pt idx="2">
                  <c:v>1408</c:v>
                </c:pt>
                <c:pt idx="3">
                  <c:v>1111</c:v>
                </c:pt>
                <c:pt idx="4">
                  <c:v>947</c:v>
                </c:pt>
                <c:pt idx="5">
                  <c:v>979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Analógico</c:v>
                </c:pt>
                <c:pt idx="1">
                  <c:v>Procesado embebido</c:v>
                </c:pt>
                <c:pt idx="2">
                  <c:v>Otros</c:v>
                </c:pt>
              </c:strCache>
            </c:strRef>
          </c:cat>
          <c:val>
            <c:numRef>
              <c:f>Hoja1!$B$2:$B$4</c:f>
              <c:numCache>
                <c:formatCode>General</c:formatCode>
                <c:ptCount val="3"/>
                <c:pt idx="0">
                  <c:v>79.2</c:v>
                </c:pt>
                <c:pt idx="1">
                  <c:v>15.3</c:v>
                </c:pt>
                <c:pt idx="2">
                  <c:v>5.5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Estados Unidos</c:v>
                </c:pt>
                <c:pt idx="1">
                  <c:v>China</c:v>
                </c:pt>
                <c:pt idx="2">
                  <c:v>Europa, Oriente Medio y África</c:v>
                </c:pt>
                <c:pt idx="3">
                  <c:v>Resto de Asia</c:v>
                </c:pt>
                <c:pt idx="4">
                  <c:v>Japón</c:v>
                </c:pt>
                <c:pt idx="5">
                  <c:v>Resto del mundo</c:v>
                </c:pt>
              </c:strCache>
            </c:strRef>
          </c:cat>
          <c:val>
            <c:numRef>
              <c:f>Hoja1!$B$2:$B$7</c:f>
              <c:numCache>
                <c:formatCode>0"%"</c:formatCode>
                <c:ptCount val="6"/>
                <c:pt idx="0">
                  <c:v>38</c:v>
                </c:pt>
                <c:pt idx="1">
                  <c:v>21</c:v>
                </c:pt>
                <c:pt idx="2">
                  <c:v>21</c:v>
                </c:pt>
                <c:pt idx="3">
                  <c:v>11</c:v>
                </c:pt>
                <c:pt idx="4">
                  <c:v>7</c:v>
                </c:pt>
                <c:pt idx="5">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(WSTS, CI analógicos))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2021</c:v>
                </c:pt>
                <c:pt idx="1">
                  <c:v>2022</c:v>
                </c:pt>
                <c:pt idx="2">
                  <c:v>2023</c:v>
                </c:pt>
                <c:pt idx="3">
                  <c:v>2024</c:v>
                </c:pt>
                <c:pt idx="4">
                  <c:v>2025</c:v>
                </c:pt>
                <c:pt idx="5">
                  <c:v>2026e</c:v>
                </c:pt>
                <c:pt idx="6">
                  <c:v>2027e</c:v>
                </c:pt>
              </c:strCache>
            </c:strRef>
          </c:cat>
          <c:val>
            <c:numRef>
              <c:f>Hoja1!$B$2:$B$8</c:f>
              <c:numCache>
                <c:formatCode>#,##0</c:formatCode>
                <c:ptCount val="7"/>
                <c:pt idx="0">
                  <c:v>74091</c:v>
                </c:pt>
                <c:pt idx="1">
                  <c:v>88983</c:v>
                </c:pt>
                <c:pt idx="2">
                  <c:v>81212</c:v>
                </c:pt>
                <c:pt idx="3">
                  <c:v>79588</c:v>
                </c:pt>
                <c:pt idx="4">
                  <c:v>86519</c:v>
                </c:pt>
                <c:pt idx="5">
                  <c:v>95358</c:v>
                </c:pt>
                <c:pt idx="6">
                  <c:v>101662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Texas Instruments</c:v>
                </c:pt>
                <c:pt idx="1">
                  <c:v>Analog Devices</c:v>
                </c:pt>
                <c:pt idx="2">
                  <c:v>Infineon Technologies</c:v>
                </c:pt>
                <c:pt idx="3">
                  <c:v>NXP Semiconductors</c:v>
                </c:pt>
                <c:pt idx="4">
                  <c:v>STMicroelectronics</c:v>
                </c:pt>
                <c:pt idx="5">
                  <c:v>Microchip Technology</c:v>
                </c:pt>
                <c:pt idx="6">
                  <c:v>onsemi</c:v>
                </c:pt>
                <c:pt idx="7">
                  <c:v>Monolithic Power Systems</c:v>
                </c:pt>
              </c:strCache>
            </c:strRef>
          </c:cat>
          <c:val>
            <c:numRef>
              <c:f>Hoja1!$B$2:$B$9</c:f>
              <c:numCache>
                <c:formatCode>0.0"%"</c:formatCode>
                <c:ptCount val="8"/>
                <c:pt idx="0">
                  <c:v>34.7</c:v>
                </c:pt>
                <c:pt idx="1">
                  <c:v>26.6</c:v>
                </c:pt>
                <c:pt idx="2">
                  <c:v>10.3</c:v>
                </c:pt>
                <c:pt idx="3">
                  <c:v>24.8</c:v>
                </c:pt>
                <c:pt idx="4">
                  <c:v>1.5</c:v>
                </c:pt>
                <c:pt idx="5">
                  <c:v>10.4</c:v>
                </c:pt>
                <c:pt idx="6">
                  <c:v>1.4</c:v>
                </c:pt>
                <c:pt idx="7">
                  <c:v>26.1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13370</c:v>
                </c:pt>
                <c:pt idx="1">
                  <c:v>14961</c:v>
                </c:pt>
                <c:pt idx="2">
                  <c:v>15784</c:v>
                </c:pt>
                <c:pt idx="3">
                  <c:v>14383</c:v>
                </c:pt>
                <c:pt idx="4">
                  <c:v>14461</c:v>
                </c:pt>
                <c:pt idx="5">
                  <c:v>18344</c:v>
                </c:pt>
                <c:pt idx="6">
                  <c:v>20028</c:v>
                </c:pt>
                <c:pt idx="7">
                  <c:v>17519</c:v>
                </c:pt>
                <c:pt idx="8">
                  <c:v>15641</c:v>
                </c:pt>
                <c:pt idx="9">
                  <c:v>17682</c:v>
                </c:pt>
                <c:pt idx="10">
                  <c:v>22385</c:v>
                </c:pt>
                <c:pt idx="11">
                  <c:v>24624</c:v>
                </c:pt>
                <c:pt idx="12">
                  <c:v>26101</c:v>
                </c:pt>
                <c:pt idx="13">
                  <c:v>27667</c:v>
                </c:pt>
                <c:pt idx="14">
                  <c:v>29328</c:v>
                </c:pt>
                <c:pt idx="15">
                  <c:v>30794</c:v>
                </c:pt>
                <c:pt idx="16">
                  <c:v>32334</c:v>
                </c:pt>
                <c:pt idx="17">
                  <c:v>33627</c:v>
                </c:pt>
                <c:pt idx="18">
                  <c:v>34972</c:v>
                </c:pt>
                <c:pt idx="19">
                  <c:v>36196</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5804</c:v>
                </c:pt>
                <c:pt idx="1">
                  <c:v>6951</c:v>
                </c:pt>
                <c:pt idx="2">
                  <c:v>7627</c:v>
                </c:pt>
                <c:pt idx="3">
                  <c:v>6683</c:v>
                </c:pt>
                <c:pt idx="4">
                  <c:v>6849</c:v>
                </c:pt>
                <c:pt idx="5">
                  <c:v>9911</c:v>
                </c:pt>
                <c:pt idx="6">
                  <c:v>11322</c:v>
                </c:pt>
                <c:pt idx="7">
                  <c:v>8506</c:v>
                </c:pt>
                <c:pt idx="8">
                  <c:v>6849</c:v>
                </c:pt>
                <c:pt idx="9">
                  <c:v>8058</c:v>
                </c:pt>
                <c:pt idx="10">
                  <c:v>11976</c:v>
                </c:pt>
                <c:pt idx="11">
                  <c:v>13543</c:v>
                </c:pt>
                <c:pt idx="12">
                  <c:v>14617</c:v>
                </c:pt>
                <c:pt idx="13">
                  <c:v>15494</c:v>
                </c:pt>
                <c:pt idx="14">
                  <c:v>16423</c:v>
                </c:pt>
                <c:pt idx="15">
                  <c:v>17091</c:v>
                </c:pt>
                <c:pt idx="16">
                  <c:v>17945</c:v>
                </c:pt>
                <c:pt idx="17">
                  <c:v>18495</c:v>
                </c:pt>
                <c:pt idx="18">
                  <c:v>19235</c:v>
                </c:pt>
                <c:pt idx="19">
                  <c:v>19908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61.8</c:v>
                </c:pt>
                <c:pt idx="1">
                  <c:v>64.3</c:v>
                </c:pt>
                <c:pt idx="2">
                  <c:v>65.1</c:v>
                </c:pt>
                <c:pt idx="3">
                  <c:v>63.7</c:v>
                </c:pt>
                <c:pt idx="4">
                  <c:v>64.1</c:v>
                </c:pt>
                <c:pt idx="5">
                  <c:v>67.5</c:v>
                </c:pt>
                <c:pt idx="6">
                  <c:v>68.8</c:v>
                </c:pt>
                <c:pt idx="7">
                  <c:v>62.9</c:v>
                </c:pt>
                <c:pt idx="8">
                  <c:v>58.1</c:v>
                </c:pt>
                <c:pt idx="9">
                  <c:v>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43.4</c:v>
                </c:pt>
                <c:pt idx="1">
                  <c:v>46.5</c:v>
                </c:pt>
                <c:pt idx="2">
                  <c:v>48.3</c:v>
                </c:pt>
                <c:pt idx="3">
                  <c:v>46.5</c:v>
                </c:pt>
                <c:pt idx="4">
                  <c:v>47.4</c:v>
                </c:pt>
                <c:pt idx="5">
                  <c:v>54</c:v>
                </c:pt>
                <c:pt idx="6">
                  <c:v>56.5</c:v>
                </c:pt>
                <c:pt idx="7">
                  <c:v>48.6</c:v>
                </c:pt>
                <c:pt idx="8">
                  <c:v>43.8</c:v>
                </c:pt>
                <c:pt idx="9">
                  <c:v>45.6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36.5</c:v>
                </c:pt>
                <c:pt idx="1">
                  <c:v>40.7</c:v>
                </c:pt>
                <c:pt idx="2">
                  <c:v>42.6</c:v>
                </c:pt>
                <c:pt idx="3">
                  <c:v>39.5</c:v>
                </c:pt>
                <c:pt idx="4">
                  <c:v>40.9</c:v>
                </c:pt>
                <c:pt idx="5">
                  <c:v>49.1</c:v>
                </c:pt>
                <c:pt idx="6">
                  <c:v>51.9</c:v>
                </c:pt>
                <c:pt idx="7">
                  <c:v>41.8</c:v>
                </c:pt>
                <c:pt idx="8">
                  <c:v>34.1</c:v>
                </c:pt>
                <c:pt idx="9">
                  <c:v>34.7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26.9</c:v>
                </c:pt>
                <c:pt idx="1">
                  <c:v>24.6</c:v>
                </c:pt>
                <c:pt idx="2">
                  <c:v>35.4</c:v>
                </c:pt>
                <c:pt idx="3">
                  <c:v>34.9</c:v>
                </c:pt>
                <c:pt idx="4">
                  <c:v>38.7</c:v>
                </c:pt>
                <c:pt idx="5">
                  <c:v>42.4</c:v>
                </c:pt>
                <c:pt idx="6">
                  <c:v>43.7</c:v>
                </c:pt>
                <c:pt idx="7">
                  <c:v>37.2</c:v>
                </c:pt>
                <c:pt idx="8">
                  <c:v>30.7</c:v>
                </c:pt>
                <c:pt idx="9">
                  <c:v>28.3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-1.7</c:v>
                </c:pt>
                <c:pt idx="1">
                  <c:v>11.1</c:v>
                </c:pt>
                <c:pt idx="2">
                  <c:v>16.4</c:v>
                </c:pt>
                <c:pt idx="3">
                  <c:v>14.2</c:v>
                </c:pt>
                <c:pt idx="4">
                  <c:v>10.4</c:v>
                </c:pt>
                <c:pt idx="5">
                  <c:v>18.6</c:v>
                </c:pt>
                <c:pt idx="6">
                  <c:v>22.8</c:v>
                </c:pt>
                <c:pt idx="7">
                  <c:v>27.7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35</c:v>
                </c:pt>
                <c:pt idx="1">
                  <c:v>31</c:v>
                </c:pt>
                <c:pt idx="2">
                  <c:v>28</c:v>
                </c:pt>
                <c:pt idx="3">
                  <c:v>27</c:v>
                </c:pt>
                <c:pt idx="4">
                  <c:v>36</c:v>
                </c:pt>
                <c:pt idx="5">
                  <c:v>34</c:v>
                </c:pt>
                <c:pt idx="6">
                  <c:v>35</c:v>
                </c:pt>
                <c:pt idx="7">
                  <c:v>37</c:v>
                </c:pt>
                <c:pt idx="8">
                  <c:v>40</c:v>
                </c:pt>
                <c:pt idx="9">
                  <c:v>41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128</c:v>
                </c:pt>
                <c:pt idx="1">
                  <c:v>134</c:v>
                </c:pt>
                <c:pt idx="2">
                  <c:v>147</c:v>
                </c:pt>
                <c:pt idx="3">
                  <c:v>140</c:v>
                </c:pt>
                <c:pt idx="4">
                  <c:v>137</c:v>
                </c:pt>
                <c:pt idx="5">
                  <c:v>117</c:v>
                </c:pt>
                <c:pt idx="6">
                  <c:v>161</c:v>
                </c:pt>
                <c:pt idx="7">
                  <c:v>225</c:v>
                </c:pt>
                <c:pt idx="8">
                  <c:v>252</c:v>
                </c:pt>
                <c:pt idx="9">
                  <c:v>231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28</c:v>
                </c:pt>
                <c:pt idx="1">
                  <c:v>32</c:v>
                </c:pt>
                <c:pt idx="2">
                  <c:v>32</c:v>
                </c:pt>
                <c:pt idx="3">
                  <c:v>27</c:v>
                </c:pt>
                <c:pt idx="4">
                  <c:v>29</c:v>
                </c:pt>
                <c:pt idx="5">
                  <c:v>35</c:v>
                </c:pt>
                <c:pt idx="6">
                  <c:v>50</c:v>
                </c:pt>
                <c:pt idx="7">
                  <c:v>45</c:v>
                </c:pt>
                <c:pt idx="8">
                  <c:v>46</c:v>
                </c:pt>
                <c:pt idx="9">
                  <c:v>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4083</c:v>
                </c:pt>
                <c:pt idx="1">
                  <c:v>4668</c:v>
                </c:pt>
                <c:pt idx="2">
                  <c:v>6058</c:v>
                </c:pt>
                <c:pt idx="3">
                  <c:v>5802</c:v>
                </c:pt>
                <c:pt idx="4">
                  <c:v>5490</c:v>
                </c:pt>
                <c:pt idx="5">
                  <c:v>6294</c:v>
                </c:pt>
                <c:pt idx="6">
                  <c:v>5923</c:v>
                </c:pt>
                <c:pt idx="7">
                  <c:v>1349</c:v>
                </c:pt>
                <c:pt idx="8">
                  <c:v>1498</c:v>
                </c:pt>
                <c:pt idx="9">
                  <c:v>2938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3595</c:v>
                </c:pt>
                <c:pt idx="1">
                  <c:v>3682</c:v>
                </c:pt>
                <c:pt idx="2">
                  <c:v>5580</c:v>
                </c:pt>
                <c:pt idx="3">
                  <c:v>5017</c:v>
                </c:pt>
                <c:pt idx="4">
                  <c:v>5595</c:v>
                </c:pt>
                <c:pt idx="5">
                  <c:v>7769</c:v>
                </c:pt>
                <c:pt idx="6">
                  <c:v>8749</c:v>
                </c:pt>
                <c:pt idx="7">
                  <c:v>6510</c:v>
                </c:pt>
                <c:pt idx="8">
                  <c:v>4799</c:v>
                </c:pt>
                <c:pt idx="9">
                  <c:v>5001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33.6</c:v>
                </c:pt>
                <c:pt idx="1">
                  <c:v>35.9</c:v>
                </c:pt>
                <c:pt idx="2">
                  <c:v>56.7</c:v>
                </c:pt>
                <c:pt idx="3">
                  <c:v>52</c:v>
                </c:pt>
                <c:pt idx="4">
                  <c:v>58.7</c:v>
                </c:pt>
                <c:pt idx="5">
                  <c:v>75.7</c:v>
                </c:pt>
                <c:pt idx="6">
                  <c:v>70.9</c:v>
                </c:pt>
                <c:pt idx="7">
                  <c:v>38.1</c:v>
                </c:pt>
                <c:pt idx="8">
                  <c:v>22.1</c:v>
                </c:pt>
                <c:pt idx="9">
                  <c:v>22.2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11.7</c:v>
                </c:pt>
                <c:pt idx="1">
                  <c:v>11.7</c:v>
                </c:pt>
                <c:pt idx="2">
                  <c:v>11.7</c:v>
                </c:pt>
                <c:pt idx="3">
                  <c:v>11.7</c:v>
                </c:pt>
                <c:pt idx="4">
                  <c:v>11.7</c:v>
                </c:pt>
                <c:pt idx="5">
                  <c:v>11.7</c:v>
                </c:pt>
                <c:pt idx="6">
                  <c:v>11.7</c:v>
                </c:pt>
                <c:pt idx="7">
                  <c:v>11.7</c:v>
                </c:pt>
                <c:pt idx="8">
                  <c:v>11.7</c:v>
                </c:pt>
                <c:pt idx="9">
                  <c:v>11.7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34.3</c:v>
                </c:pt>
                <c:pt idx="1">
                  <c:v>35.4</c:v>
                </c:pt>
                <c:pt idx="2">
                  <c:v>57.7</c:v>
                </c:pt>
                <c:pt idx="3">
                  <c:v>56.1</c:v>
                </c:pt>
                <c:pt idx="4">
                  <c:v>61.8</c:v>
                </c:pt>
                <c:pt idx="5">
                  <c:v>69</c:v>
                </c:pt>
                <c:pt idx="6">
                  <c:v>62.7</c:v>
                </c:pt>
                <c:pt idx="7">
                  <c:v>41.4</c:v>
                </c:pt>
                <c:pt idx="8">
                  <c:v>28.4</c:v>
                </c:pt>
                <c:pt idx="9">
                  <c:v>30.1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0.02</c:v>
                </c:pt>
                <c:pt idx="1">
                  <c:v>-0.06</c:v>
                </c:pt>
                <c:pt idx="2">
                  <c:v>0.11</c:v>
                </c:pt>
                <c:pt idx="3">
                  <c:v>0.06</c:v>
                </c:pt>
                <c:pt idx="4">
                  <c:v>0.03</c:v>
                </c:pt>
                <c:pt idx="5">
                  <c:v>-0.2</c:v>
                </c:pt>
                <c:pt idx="6">
                  <c:v>-0.03</c:v>
                </c:pt>
                <c:pt idx="7">
                  <c:v>0.31</c:v>
                </c:pt>
                <c:pt idx="8">
                  <c:v>0.88</c:v>
                </c:pt>
                <c:pt idx="9">
                  <c:v>1.14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2027</c:v>
                </c:pt>
                <c:pt idx="1">
                  <c:v>2028</c:v>
                </c:pt>
                <c:pt idx="2">
                  <c:v>2029</c:v>
                </c:pt>
                <c:pt idx="3">
                  <c:v>2030</c:v>
                </c:pt>
                <c:pt idx="4">
                  <c:v>2031</c:v>
                </c:pt>
                <c:pt idx="5">
                  <c:v>2032</c:v>
                </c:pt>
                <c:pt idx="6">
                  <c:v>2033</c:v>
                </c:pt>
                <c:pt idx="7">
                  <c:v>2034</c:v>
                </c:pt>
                <c:pt idx="8">
                  <c:v>2035</c:v>
                </c:pt>
                <c:pt idx="9">
                  <c:v>2039+</c:v>
                </c:pt>
              </c:strCache>
            </c:strRef>
          </c:cat>
          <c:val>
            <c:numRef>
              <c:f>Hoja1!$B$2:$B$11</c:f>
              <c:numCache>
                <c:formatCode>#,##0</c:formatCode>
                <c:ptCount val="10"/>
                <c:pt idx="0">
                  <c:v>1150</c:v>
                </c:pt>
                <c:pt idx="1">
                  <c:v>700</c:v>
                </c:pt>
                <c:pt idx="2">
                  <c:v>1400</c:v>
                </c:pt>
                <c:pt idx="3">
                  <c:v>1300</c:v>
                </c:pt>
                <c:pt idx="4">
                  <c:v>500</c:v>
                </c:pt>
                <c:pt idx="5">
                  <c:v>400</c:v>
                </c:pt>
                <c:pt idx="6">
                  <c:v>950</c:v>
                </c:pt>
                <c:pt idx="7">
                  <c:v>600</c:v>
                </c:pt>
                <c:pt idx="8">
                  <c:v>650</c:v>
                </c:pt>
                <c:pt idx="9">
                  <c:v>6000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1646</c:v>
                </c:pt>
                <c:pt idx="1">
                  <c:v>2104</c:v>
                </c:pt>
                <c:pt idx="2">
                  <c:v>2555</c:v>
                </c:pt>
                <c:pt idx="3">
                  <c:v>3008</c:v>
                </c:pt>
                <c:pt idx="4">
                  <c:v>3426</c:v>
                </c:pt>
                <c:pt idx="5">
                  <c:v>3886</c:v>
                </c:pt>
                <c:pt idx="6">
                  <c:v>4297</c:v>
                </c:pt>
                <c:pt idx="7">
                  <c:v>4557</c:v>
                </c:pt>
                <c:pt idx="8">
                  <c:v>4795</c:v>
                </c:pt>
                <c:pt idx="9">
                  <c:v>4999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2132</c:v>
                </c:pt>
                <c:pt idx="1">
                  <c:v>2556</c:v>
                </c:pt>
                <c:pt idx="2">
                  <c:v>5100</c:v>
                </c:pt>
                <c:pt idx="3">
                  <c:v>2960</c:v>
                </c:pt>
                <c:pt idx="4">
                  <c:v>2553</c:v>
                </c:pt>
                <c:pt idx="5">
                  <c:v>527</c:v>
                </c:pt>
                <c:pt idx="6">
                  <c:v>3615</c:v>
                </c:pt>
                <c:pt idx="7">
                  <c:v>293</c:v>
                </c:pt>
                <c:pt idx="8">
                  <c:v>929</c:v>
                </c:pt>
                <c:pt idx="9">
                  <c:v>1477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Vanguard Capital Management (grupo Vanguard)</c:v>
                </c:pt>
                <c:pt idx="1">
                  <c:v>BlackRock, Inc.</c:v>
                </c:pt>
                <c:pt idx="2">
                  <c:v>Consejeros y altos directivos (en conjunto)</c:v>
                </c:pt>
              </c:strCache>
            </c:strRef>
          </c:cat>
          <c:val>
            <c:numRef>
              <c:f>Hoja1!$B$2:$B$4</c:f>
              <c:numCache>
                <c:formatCode>0.0"%"</c:formatCode>
                <c:ptCount val="3"/>
                <c:pt idx="0">
                  <c:v>7.49</c:v>
                </c:pt>
                <c:pt idx="1">
                  <c:v>8.5</c:v>
                </c:pt>
                <c:pt idx="2">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36.7</c:v>
                </c:pt>
                <c:pt idx="1">
                  <c:v>46.7</c:v>
                </c:pt>
                <c:pt idx="2">
                  <c:v>-7.2</c:v>
                </c:pt>
                <c:pt idx="3">
                  <c:v>39.6</c:v>
                </c:pt>
                <c:pt idx="4">
                  <c:v>31.7</c:v>
                </c:pt>
                <c:pt idx="5">
                  <c:v>17.5</c:v>
                </c:pt>
                <c:pt idx="6">
                  <c:v>-9.9</c:v>
                </c:pt>
                <c:pt idx="7">
                  <c:v>6.4</c:v>
                </c:pt>
                <c:pt idx="8">
                  <c:v>13.1</c:v>
                </c:pt>
                <c:pt idx="9">
                  <c:v>-4.5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12.9</c:v>
                </c:pt>
                <c:pt idx="1">
                  <c:v>15.1</c:v>
                </c:pt>
                <c:pt idx="2">
                  <c:v>12.4</c:v>
                </c:pt>
                <c:pt idx="3">
                  <c:v>18.3</c:v>
                </c:pt>
                <c:pt idx="4">
                  <c:v>22.4</c:v>
                </c:pt>
                <c:pt idx="5">
                  <c:v>17.6</c:v>
                </c:pt>
                <c:pt idx="6">
                  <c:v>13.5</c:v>
                </c:pt>
                <c:pt idx="7">
                  <c:v>18.7</c:v>
                </c:pt>
                <c:pt idx="8">
                  <c:v>26</c:v>
                </c:pt>
                <c:pt idx="9">
                  <c:v>20.8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18.3</c:v>
                </c:pt>
                <c:pt idx="1">
                  <c:v>18.3</c:v>
                </c:pt>
                <c:pt idx="2">
                  <c:v>18.3</c:v>
                </c:pt>
                <c:pt idx="3">
                  <c:v>18.3</c:v>
                </c:pt>
                <c:pt idx="4">
                  <c:v>18.3</c:v>
                </c:pt>
                <c:pt idx="5">
                  <c:v>18.3</c:v>
                </c:pt>
                <c:pt idx="6">
                  <c:v>18.3</c:v>
                </c:pt>
                <c:pt idx="7">
                  <c:v>18.3</c:v>
                </c:pt>
                <c:pt idx="8">
                  <c:v>18.3</c:v>
                </c:pt>
                <c:pt idx="9">
                  <c:v>18.3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Texas Instruments</c:v>
                </c:pt>
                <c:pt idx="1">
                  <c:v>Analog Devices</c:v>
                </c:pt>
                <c:pt idx="2">
                  <c:v>Microchip Technology</c:v>
                </c:pt>
                <c:pt idx="3">
                  <c:v>NXP Semiconductors</c:v>
                </c:pt>
                <c:pt idx="4">
                  <c:v>onsemi</c:v>
                </c:pt>
                <c:pt idx="5">
                  <c:v>STMicroelectronics</c:v>
                </c:pt>
                <c:pt idx="6">
                  <c:v>Infineon Technologies</c:v>
                </c:pt>
                <c:pt idx="7">
                  <c:v>Monolithic Power Systems</c:v>
                </c:pt>
              </c:strCache>
            </c:strRef>
          </c:cat>
          <c:val>
            <c:numRef>
              <c:f>Hoja1!$B$2:$B$9</c:f>
              <c:numCache>
                <c:formatCode>0.0"x"</c:formatCode>
                <c:ptCount val="8"/>
                <c:pt idx="0">
                  <c:v>19.7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Silicon Laboratories</c:v>
                </c:pt>
                <c:pt idx="1">
                  <c:v>Maxim Integrated</c:v>
                </c:pt>
                <c:pt idx="2">
                  <c:v>Cypress Semiconductor</c:v>
                </c:pt>
                <c:pt idx="3">
                  <c:v>Microsemi</c:v>
                </c:pt>
              </c:strCache>
            </c:strRef>
          </c:cat>
          <c:val>
            <c:numRef>
              <c:f>Hoja1!$B$2:$B$5</c:f>
              <c:numCache>
                <c:formatCode>0.0"x"</c:formatCode>
                <c:ptCount val="4"/>
                <c:pt idx="2">
                  <c:v>22.6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7078</c:v>
                </c:pt>
                <c:pt idx="1">
                  <c:v>9495</c:v>
                </c:pt>
                <c:pt idx="2">
                  <c:v>10719</c:v>
                </c:pt>
                <c:pt idx="3">
                  <c:v>11366</c:v>
                </c:pt>
                <c:pt idx="4">
                  <c:v>11755</c:v>
                </c:pt>
                <c:pt idx="5">
                  <c:v>12285</c:v>
                </c:pt>
                <c:pt idx="6">
                  <c:v>12885</c:v>
                </c:pt>
                <c:pt idx="7">
                  <c:v>13349</c:v>
                </c:pt>
                <c:pt idx="8">
                  <c:v>13883</c:v>
                </c:pt>
                <c:pt idx="9">
                  <c:v>14419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67245</c:v>
                </c:pt>
                <c:pt idx="1">
                  <c:v>61849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284,65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86.2</c:v>
                </c:pt>
                <c:pt idx="1">
                  <c:v>134.29</c:v>
                </c:pt>
                <c:pt idx="2">
                  <c:v>165.54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284,65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(152,73 – 334,03)</c:v>
                </c:pt>
                <c:pt idx="1">
                  <c:v>Precio objetivo de los analistas (225,00 – 400,00)</c:v>
                </c:pt>
                <c:pt idx="2">
                  <c:v>Comparables: PER NTM (194,50 – 237,18)</c:v>
                </c:pt>
                <c:pt idx="3">
                  <c:v>Transacciones precedentes (EV/ventas) (108,55 – 209,34)</c:v>
                </c:pt>
                <c:pt idx="4">
                  <c:v>DCF (WACC y g ± 0,5) (123,30 – 148,00)</c:v>
                </c:pt>
                <c:pt idx="5">
                  <c:v>Escenarios (bajista – alcista) (86,20 – 165,54)</c:v>
                </c:pt>
                <c:pt idx="6">
                  <c:v>DCF con la prima implícita del mercado (4,2 %)</c:v>
                </c:pt>
                <c:pt idx="7">
                  <c:v>Precio actual (284,65)</c:v>
                </c:pt>
              </c:strCache>
            </c:strRef>
          </c:cat>
          <c:val>
            <c:numRef>
              <c:f>Hoja1!$B$2:$B$9</c:f>
              <c:numCache>
                <c:formatCode>#,##0</c:formatCode>
                <c:ptCount val="8"/>
                <c:pt idx="0">
                  <c:v>152.73</c:v>
                </c:pt>
                <c:pt idx="1">
                  <c:v>225</c:v>
                </c:pt>
                <c:pt idx="2">
                  <c:v>194.5</c:v>
                </c:pt>
                <c:pt idx="3">
                  <c:v>108.55</c:v>
                </c:pt>
                <c:pt idx="4">
                  <c:v>123.3</c:v>
                </c:pt>
                <c:pt idx="5">
                  <c:v>86.2</c:v>
                </c:pt>
                <c:pt idx="6">
                  <c:v>153.81</c:v>
                </c:pt>
                <c:pt idx="7">
                  <c:v>283.23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(152,73 – 334,03)</c:v>
                </c:pt>
                <c:pt idx="1">
                  <c:v>Precio objetivo de los analistas (225,00 – 400,00)</c:v>
                </c:pt>
                <c:pt idx="2">
                  <c:v>Comparables: PER NTM (194,50 – 237,18)</c:v>
                </c:pt>
                <c:pt idx="3">
                  <c:v>Transacciones precedentes (EV/ventas) (108,55 – 209,34)</c:v>
                </c:pt>
                <c:pt idx="4">
                  <c:v>DCF (WACC y g ± 0,5) (123,30 – 148,00)</c:v>
                </c:pt>
                <c:pt idx="5">
                  <c:v>Escenarios (bajista – alcista) (86,20 – 165,54)</c:v>
                </c:pt>
                <c:pt idx="6">
                  <c:v>DCF con la prima implícita del mercado (4,2 %)</c:v>
                </c:pt>
                <c:pt idx="7">
                  <c:v>Precio actual (284,65)</c:v>
                </c:pt>
              </c:strCache>
            </c:strRef>
          </c:cat>
          <c:val>
            <c:numRef>
              <c:f>Hoja1!$C$2:$C$9</c:f>
              <c:numCache>
                <c:formatCode>#,##0</c:formatCode>
                <c:ptCount val="8"/>
                <c:pt idx="0">
                  <c:v>181.29999999999998</c:v>
                </c:pt>
                <c:pt idx="1">
                  <c:v>175</c:v>
                </c:pt>
                <c:pt idx="2">
                  <c:v>42.68000000000001</c:v>
                </c:pt>
                <c:pt idx="3">
                  <c:v>100.79</c:v>
                </c:pt>
                <c:pt idx="4">
                  <c:v>24.700000000000003</c:v>
                </c:pt>
                <c:pt idx="5">
                  <c:v>79.33999999999999</c:v>
                </c:pt>
                <c:pt idx="6">
                  <c:v>24.039999999999992</c:v>
                </c:pt>
                <c:pt idx="7">
                  <c:v>2.839999999999975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