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MONY Group PLC</w:t>
      </w:r>
    </w:p>
    <w:p>
      <w:pPr>
        <w:spacing w:after="60"/>
        <w:rPr>
          <w:color w:val="52514E"/>
          <w:sz w:val="22"/>
          <w:szCs w:val="22"/>
        </w:rPr>
      </w:pPr>
      <w:r>
        <w:rPr>
          <w:color w:val="52514E"/>
          <w:sz w:val="22"/>
          <w:szCs w:val="22"/>
        </w:rPr>
        <w:t xml:space="preserve">MONY · London Stock Exchange (Main Market) · ISIN GB00B1ZBKY84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2,01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2,18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+15,0 % (base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2,18 GBP · mercado 2,48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MONY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MONY / GB00B1ZBKY84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Ewloe (Gales, Reino Unido) · 1993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www.monygroup.com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 2,14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1.032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1.093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 M GBP/día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2,18 GBP</w:t>
      </w:r>
      <w:r>
        <w:t xml:space="preserve"> frente a 2,01 · Rentabilidad a 12 meses </w:t>
      </w:r>
      <w:r>
        <w:rPr>
          <w:b/>
          <w:bCs/>
        </w:rPr>
        <w:t xml:space="preserve">+15,0 % (base +19,0 %)</w:t>
      </w:r>
      <w:r>
        <w:t xml:space="preserve"> · Valor intrínseco 2,18 GBP · con la prima implícita del mercado: 2,48 (+23,6 %) · Alcista / bajista +31,6 % / -29,7 %</w:t>
      </w:r>
    </w:p>
    <w:p>
      <w:pPr>
        <w:spacing w:after="100"/>
      </w:pPr>
      <w:r>
        <w:rPr>
          <w:b/>
        </w:rPr>
        <w:t xml:space="preserve">La recomendación y por qué.</w:t>
      </w:r>
      <w:r>
        <w:t xml:space="preserve"> Comprar según la regla, con convicción baja, y no es compra robusta. El objetivo a 12 meses es de 2,18 GBP ponderado (nuestro BPA ajustado de 2028e × el PER de la regla común), un 15,0 % de rentabilidad con el dividendo y un 19,0 % en el caso base (16 % y 20 % al precio de hoy), justo en el umbral de compra [45]. El valor intrínseco (2,18 GBP) queda un 9 % sobre el precio. Pero la regla al cierre (v2) da Mantener y, con el BPA un 10 % más bajo, la rentabilidad cae al 5-9 %: la acción robusta es Mantener y la compra robusta pide 1,82 GBP.</w:t>
      </w:r>
    </w:p>
    <w:p>
      <w:pPr>
        <w:spacing w:after="100"/>
      </w:pPr>
      <w:r>
        <w:rPr>
          <w:b/>
        </w:rPr>
        <w:t xml:space="preserve">El negocio.</w:t>
      </w:r>
      <w:r>
        <w:t xml:space="preserve"> MONY es el segundo comparador de precios del Reino Unido (≈ 21 % del mercado [15]): MoneySuperMarket compara seguros, crédito y energía y cobra una comisión por cada póliza o producto contratado; MoneySavingExpert da tráfico propio y Quidco devuelve parte de las compras. Gana un 32 % de margen EBITDA ajustado con casi ningún capital, pero depende de Google para buena parte de sus visitas y paga cada vez más por ellas.</w:t>
      </w:r>
    </w:p>
    <w:p>
      <w:pPr>
        <w:spacing w:after="100"/>
      </w:pPr>
      <w:r>
        <w:rPr>
          <w:b/>
        </w:rPr>
        <w:t xml:space="preserve">Finanzas.</w:t>
      </w:r>
      <w:r>
        <w:t xml:space="preserve"> Ventas de 446,3 M en 2025 (+2 %) y EBITDA ajustado de 145,1 M; el semestre de 2026 crece un 6 % sin Travel [1, 3]. El margen bruto bajó del 66 % al 63 % por el coste por clic, y el margen se sostiene con un 11 % menos de coste de personal. ROIC del 35 % (+24 puntos sobre el WACC) y deuda neta pequeña (31,8 M en junio). Reparte casi todo: dividendo del 6,3 % y recompras de 55 M en dos años [14].</w:t>
      </w:r>
    </w:p>
    <w:p>
      <w:pPr>
        <w:spacing w:after="100"/>
      </w:pPr>
      <w:r>
        <w:rPr>
          <w:b/>
        </w:rPr>
        <w:t xml:space="preserve">Equipo y gobierno.</w:t>
      </w:r>
      <w:r>
        <w:t xml:space="preserve"> Peter Duffy, consejero delegado desde 2020, ha cumplido la guía de EBITDA tres años seguidos [3]. Consejo mayoritariamente independiente y remuneración aprobada con el 97 % [24]; un consejero compró acciones en febrero a 158 peniques [32]. Moltiply (12 %) es el mayor accionista [26].</w:t>
      </w:r>
    </w:p>
    <w:p>
      <w:pPr>
        <w:spacing w:after="100"/>
      </w:pPr>
      <w:r>
        <w:rPr>
          <w:b/>
        </w:rPr>
        <w:t xml:space="preserve">Valoración.</w:t>
      </w:r>
      <w:r>
        <w:t xml:space="preserve"> El DCF da 2,36 GBP (+17,6 %) con un WACC del 10,5 % que ya lleva 0,5 puntos por el riesgo de IA; el DCF inverso dice que el precio descuenta ventas planas para siempre (−0,2 % anual). La regla a 12 meses sube el PER de 10,4 a 11,1 veces, por debajo de su mediana adelantada (11,9). Los comparables no ayudan: no hay ningún comparador puro cotizado.</w:t>
      </w:r>
    </w:p>
    <w:p>
      <w:pPr>
        <w:spacing w:after="100"/>
      </w:pPr>
      <w:r>
        <w:rPr>
          <w:b/>
        </w:rPr>
        <w:t xml:space="preserve">Riesgos y catalizadores.</w:t>
      </w:r>
      <w:r>
        <w:t xml:space="preserve"> El riesgo central es la IA: si los asistentes comparan y contratan sin pasar por MoneySuperMarket, el negocio pierde el tráfico gratuito y su papel; el bajista (−30 %) tiene un 30 % de probabilidad, y en el peor caso la pérdida es del 30-50 %. Después, Google (coste por clic +21 % al año), el ciclo de primas de coche y Compare the Market. A favor: dividendo, recompras, una posible oferta de Moltiply y la decisión de la CMA sobre Google.</w:t>
      </w:r>
    </w:p>
    <w:p>
      <w:pPr>
        <w:spacing w:after="100"/>
      </w:pPr>
      <w:r>
        <w:rPr>
          <w:b/>
        </w:rPr>
        <w:t xml:space="preserve">Qué cambiaría la decisión.</w:t>
      </w:r>
      <w:r>
        <w:t xml:space="preserve"> Compra robusta por debajo de 1,82 GBP. Un margen bruto por debajo del 62 % o dos semestres de caída de usuarios activos llevarían a Mantener o Vender aunque el precio baje; un coste por clic estable y la aplicación en ChatGPT con ingresos medibles subirían la convicción.</w:t>
      </w:r>
    </w:p>
    <w:p>
      <w:r>
        <w:br w:type="page"/>
      </w:r>
    </w:p>
    <w:p>
      <w:pPr>
        <w:pStyle w:val="Heading1"/>
      </w:pPr>
      <w:r>
        <w:t xml:space="preserve">Resumen ejecutivo</w:t>
      </w:r>
    </w:p>
    <w:p>
      <w:pPr>
        <w:spacing w:after="100"/>
      </w:pPr>
      <w:r>
        <w:rPr>
          <w:b/>
          <w:bCs/>
        </w:rPr>
        <w:t xml:space="preserve">Recomendación: Comprar</w:t>
      </w:r>
      <w:r>
        <w:t xml:space="preserve"> · Convicción: Baja · Horizonte: 12 meses · Objetivo a 12 meses: </w:t>
      </w:r>
      <w:r>
        <w:rPr>
          <w:b/>
          <w:bCs/>
        </w:rPr>
        <w:t xml:space="preserve">2,18 GBP</w:t>
      </w:r>
      <w:r>
        <w:t xml:space="preserve"> (rentabilidad +15,0 % (base +19,0 %)) · Valor intrínseco: 2,18 GBP (+8,7 % sobre 2,01) · con la prima implícita del mercado: 2,48 (+23,6 %)</w:t>
      </w:r>
    </w:p>
    <w:p>
      <w:pPr>
        <w:spacing w:after="100"/>
      </w:pPr>
      <w:r>
        <w:t xml:space="preserve">MONY es el segundo comparador de precios del Reino Unido, con un 32 % de margen EBITDA, un ROIC del 35 % y un dividendo del 6,3 %, a 10 veces el BPA ajustado adelantado: el precio descuenta ventas planas para siempre. La tesis es que la IA cambia el canal pero no elimina la necesidad de un comparador neutral con los precios de las aseguradoras, y que la caja paga la espera; el riesgo es que la IA le quite el tráfico y el papel.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0,16 = 1,45 · 11,1x × 0,20 = 2,26 · 14,2x × 0,22 = 3,08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(nuestro base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 /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10,5 %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 y 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vigente da Comprar (15,0 % ponderado y 19,0 % en el base al cierre del 20-oct; 16 % y 20 % al precio de hoy y valor intrínseco un 9 % sobre el precio), pero la señal es frágil: la v2 da Mantener, el caso con el BPA un 10 % menor no llega al 12 % y el riesgo de IA puede bajar el BPA más que eso. La acción robusta es Mantener; la compra robusta pide 1,82 GBP.</w:t>
      </w:r>
    </w:p>
    <w:p>
      <w:pPr>
        <w:pStyle w:val="Heading2"/>
      </w:pPr>
      <w:r>
        <w:t xml:space="preserve">Qué cambiaría la recomendación</w:t>
      </w:r>
    </w:p>
    <w:p>
      <w:pPr>
        <w:pStyle w:val="ListParagraph"/>
        <w:numPr>
          <w:ilvl w:val="0"/>
          <w:numId w:val="2"/>
        </w:numPr>
        <w:spacing w:after="60"/>
      </w:pPr>
      <w:r>
        <w:t xml:space="preserve">Precio por debajo de 1,82 GBP: compra robusta (v3 y v2 en Comprar aun con el BPA −10 %).</w:t>
      </w:r>
    </w:p>
    <w:p>
      <w:pPr>
        <w:pStyle w:val="ListParagraph"/>
        <w:numPr>
          <w:ilvl w:val="0"/>
          <w:numId w:val="2"/>
        </w:numPr>
        <w:spacing w:after="60"/>
      </w:pPr>
      <w:r>
        <w:t xml:space="preserve">Precio por encima de 2,01 GBP: Mantener; por encima de 2,56 GBP: Vender.</w:t>
      </w:r>
    </w:p>
    <w:p>
      <w:pPr>
        <w:pStyle w:val="ListParagraph"/>
        <w:numPr>
          <w:ilvl w:val="0"/>
          <w:numId w:val="2"/>
        </w:numPr>
        <w:spacing w:after="60"/>
      </w:pPr>
      <w:r>
        <w:t xml:space="preserve">Margen bruto por debajo del 62 % o usuarios activos −5 % dos semestres seguidos: rebajar a Mantener.</w:t>
      </w:r>
    </w:p>
    <w:p>
      <w:pPr>
        <w:pStyle w:val="ListParagraph"/>
        <w:numPr>
          <w:ilvl w:val="0"/>
          <w:numId w:val="2"/>
        </w:numPr>
        <w:spacing w:after="60"/>
      </w:pPr>
      <w:r>
        <w:t xml:space="preserve">Ingresos medibles de los asistentes de IA y coste por clic estable: subir la convicción.</w:t>
      </w:r>
    </w:p>
    <w:p>
      <w:pPr>
        <w:pStyle w:val="ListParagraph"/>
        <w:numPr>
          <w:ilvl w:val="0"/>
          <w:numId w:val="2"/>
        </w:numPr>
        <w:spacing w:after="60"/>
      </w:pPr>
      <w:r>
        <w:t xml:space="preserve">Oferta de Moltiply o de otro comprador: revisar con la prima de control.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MONY es un negocio en declive por la IA: ventas planas o a la baja y un PER de 10 veces, el mínimo de su historia; los analistas esperan 2,34 GBP, un 17 % sobre el precio.</w:t>
      </w:r>
    </w:p>
    <w:p>
      <w:pPr>
        <w:keepNext/>
        <w:spacing w:after="100"/>
      </w:pPr>
      <w:r>
        <w:rPr>
          <w:b/>
          <w:bCs/>
        </w:rPr>
        <w:t xml:space="preserve">Lo que creemos nosotros.</w:t>
      </w:r>
    </w:p>
    <w:p>
      <w:pPr>
        <w:spacing w:after="100"/>
      </w:pPr>
      <w:r>
        <w:t xml:space="preserve">Coincidimos en el BPA de 2026 y 2027 (2-3 % por debajo del consenso, sin recompras) y en que la IA es una amenaza real; discrepamos en el plazo: el base supone crecimiento del 3 % porque los asistentes necesitan los datos de los comparadores, y el bajista con un 30 % recoge el caso contrario.</w:t>
      </w:r>
    </w:p>
    <w:p>
      <w:pPr>
        <w:keepNext/>
        <w:spacing w:after="100"/>
      </w:pPr>
      <w:r>
        <w:rPr>
          <w:b/>
          <w:bCs/>
        </w:rPr>
        <w:t xml:space="preserve">Por qué podemos tener razón.</w:t>
      </w:r>
    </w:p>
    <w:p>
      <w:pPr>
        <w:spacing w:after="100"/>
      </w:pPr>
      <w:r>
        <w:t xml:space="preserve">El precio ya está cerca del bajista; un negocio sin capital que genera un 8 % de su valor en caja cada año puede devolver mucho mientras se resuelve la incertidumbre. Pero no tenemos ventaja para saber cómo acaba la IA, y por eso la convicción es baja y la compra robusta pide un 9 % menos.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Caja y dividendo</w:t>
      </w:r>
      <w:r>
        <w:t xml:space="preserve">: rentabilidad por flujo libre del 8 % y dividendo del 6,3 %, con recompras.</w:t>
      </w:r>
    </w:p>
    <w:p>
      <w:pPr>
        <w:pStyle w:val="ListParagraph"/>
        <w:numPr>
          <w:ilvl w:val="0"/>
          <w:numId w:val="2"/>
        </w:numPr>
        <w:spacing w:after="60"/>
      </w:pPr>
      <w:r>
        <w:rPr>
          <w:b/>
        </w:rPr>
        <w:t xml:space="preserve">ROIC del 35 %</w:t>
      </w:r>
      <w:r>
        <w:t xml:space="preserve">: +24 puntos sobre el WACC, casi sin capital.</w:t>
      </w:r>
    </w:p>
    <w:p>
      <w:pPr>
        <w:pStyle w:val="ListParagraph"/>
        <w:numPr>
          <w:ilvl w:val="0"/>
          <w:numId w:val="2"/>
        </w:numPr>
        <w:spacing w:after="60"/>
      </w:pPr>
      <w:r>
        <w:rPr>
          <w:b/>
        </w:rPr>
        <w:t xml:space="preserve">Precio de declive</w:t>
      </w:r>
      <w:r>
        <w:t xml:space="preserve">: el DCF inverso descuenta ventas planas para siempre; PER adelantado de 10 veces.</w:t>
      </w:r>
    </w:p>
    <w:p>
      <w:pPr>
        <w:pStyle w:val="ListParagraph"/>
        <w:numPr>
          <w:ilvl w:val="0"/>
          <w:numId w:val="2"/>
        </w:numPr>
        <w:spacing w:after="60"/>
      </w:pPr>
      <w:r>
        <w:rPr>
          <w:b/>
        </w:rPr>
        <w:t xml:space="preserve">Guía cumplida</w:t>
      </w:r>
      <w:r>
        <w:t xml:space="preserve">: tres años en el consenso de EBITDA; semestre +6 % sin Travel.</w:t>
      </w:r>
    </w:p>
    <w:p>
      <w:pPr>
        <w:pStyle w:val="ListParagraph"/>
        <w:numPr>
          <w:ilvl w:val="0"/>
          <w:numId w:val="2"/>
        </w:numPr>
        <w:spacing w:after="60"/>
      </w:pPr>
      <w:r>
        <w:rPr>
          <w:b/>
        </w:rPr>
        <w:t xml:space="preserve">Moltiply con el 12 %</w:t>
      </w:r>
      <w:r>
        <w:t xml:space="preserve">: posible comprador estratégico.</w:t>
      </w:r>
    </w:p>
    <w:p>
      <w:pPr>
        <w:pStyle w:val="Heading2"/>
      </w:pPr>
      <w:r>
        <w:t xml:space="preserve">En contra</w:t>
      </w:r>
    </w:p>
    <w:p>
      <w:pPr>
        <w:pStyle w:val="ListParagraph"/>
        <w:numPr>
          <w:ilvl w:val="0"/>
          <w:numId w:val="2"/>
        </w:numPr>
        <w:spacing w:after="60"/>
      </w:pPr>
      <w:r>
        <w:rPr>
          <w:b/>
        </w:rPr>
        <w:t xml:space="preserve">IA</w:t>
      </w:r>
      <w:r>
        <w:t xml:space="preserve">: los asistentes pueden comparar y contratar sin pasar por la web; bajista −30 % con un 30 % de probabilidad.</w:t>
      </w:r>
    </w:p>
    <w:p>
      <w:pPr>
        <w:pStyle w:val="ListParagraph"/>
        <w:numPr>
          <w:ilvl w:val="0"/>
          <w:numId w:val="2"/>
        </w:numPr>
        <w:spacing w:after="60"/>
      </w:pPr>
      <w:r>
        <w:rPr>
          <w:b/>
        </w:rPr>
        <w:t xml:space="preserve">Google</w:t>
      </w:r>
      <w:r>
        <w:t xml:space="preserve">: coste por clic +21 % al año en 2024-2025; margen bruto del 66 % al 63 %.</w:t>
      </w:r>
    </w:p>
    <w:p>
      <w:pPr>
        <w:pStyle w:val="ListParagraph"/>
        <w:numPr>
          <w:ilvl w:val="0"/>
          <w:numId w:val="2"/>
        </w:numPr>
        <w:spacing w:after="60"/>
      </w:pPr>
      <w:r>
        <w:rPr>
          <w:b/>
        </w:rPr>
        <w:t xml:space="preserve">Señal frágil</w:t>
      </w:r>
      <w:r>
        <w:t xml:space="preserve">: v2 da Mantener y con el BPA −10 % la rentabilidad cae al 5-9 %.</w:t>
      </w:r>
    </w:p>
    <w:p>
      <w:pPr>
        <w:pStyle w:val="ListParagraph"/>
        <w:numPr>
          <w:ilvl w:val="0"/>
          <w:numId w:val="2"/>
        </w:numPr>
        <w:spacing w:after="60"/>
      </w:pPr>
      <w:r>
        <w:rPr>
          <w:b/>
        </w:rPr>
        <w:t xml:space="preserve">Primas de coche a la baja</w:t>
      </w:r>
      <w:r>
        <w:t xml:space="preserve"> y competencia de Compare the Market, más grande y rentable.</w:t>
      </w:r>
    </w:p>
    <w:p>
      <w:pPr>
        <w:pStyle w:val="ListParagraph"/>
        <w:numPr>
          <w:ilvl w:val="0"/>
          <w:numId w:val="2"/>
        </w:numPr>
        <w:spacing w:after="60"/>
      </w:pPr>
      <w:r>
        <w:rPr>
          <w:b/>
        </w:rPr>
        <w:t xml:space="preserve">Quidco</w:t>
      </w:r>
      <w:r>
        <w:t xml:space="preserve">: la única compra grande rinde por debajo del WACC.</w:t>
      </w:r>
    </w:p>
    <w:p>
      <w:pPr>
        <w:pStyle w:val="Heading2"/>
      </w:pPr>
      <w:r>
        <w:t xml:space="preserve">Qué tiene que pasar para que la tesis funcione</w:t>
      </w:r>
    </w:p>
    <w:p>
      <w:pPr>
        <w:spacing w:after="100"/>
      </w:pPr>
      <w:r>
        <w:t xml:space="preserve">La tesis depende de que el coste por clic deje de comerse el margen bruto y de que los asistentes de IA usen a MoneySuperMarket como proveedor en vez de sustituirlo. La señal en contra sería un margen bruto por debajo del 62 % o una caída de usuarios activos durante dos semestres; la señal a favor, ingresos medibles de la aplicación en ChatGPT.</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 Google.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en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tráfico se va a los asistentes.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 M (2025); consenso 2026 ≈ 145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seguros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primas y la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Moltiply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 o &gt;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colocación o prima de oferta.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 / 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12,9x / 10,2x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Simon Nixon y Duncan Cameron fundaron Mortgage 2000 en 1993, un intermediario de hipotecas que en 1999 se convirtió en moneysupermarket.com. La empresa salió a bolsa en Londres en julio de 2007 y, tras la caída de 2008, se rehízo como el comparador de seguros más grande del país. En 2012 compró MoneySavingExpert (87 M GBP), la web de consejos de Martin Lewis, y en 2021 Quidco (104,6 M), para crear un club de ahorro con cashback. Peter Duffy (antes Just Eat y easyJet) es consejero delegado desde 2020. En 2024 el grupo cambió su nombre a MONY Group y en 2025 cedió el control de su negocio de viajes. Desde 2025 se presenta como «empresa con IA» con acuerdo con OpenAI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Mortgage 2000 (hipotecas) por Simon Nixon y Duncan Cameron.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moneysupermarket.com.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MoneySavingExpert por 87 M GBP.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Duffy, consejero delegado; COVID hunde viajes y energía.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Quidco (104,6 M) y de icelolly.com; quiebras masivas de comercializadoras de energía: el cambio de energía desaparece hasta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SuperSaveClub (club de socios con recompensas).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MONY Group; HMRC retira el método de IVA de 2012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OpenAI, aplicación en ChatGPT; cesión del control de Ice Travel Group; primera recompra (30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a mínimos de 13 años por la aplicación de Insurify en ChatGPT (10-feb); Investments, SuperSaveClub Insurance y banca para pymes [3, 19].</w:t>
            </w:r>
          </w:p>
        </w:tc>
      </w:tr>
    </w:tbl>
    <w:p>
      <w:pPr>
        <w:spacing w:after="160" w:before="0"/>
      </w:pPr>
    </w:p>
    <w:p>
      <w:pPr>
        <w:pStyle w:val="Heading1"/>
      </w:pPr>
      <w:r>
        <w:t xml:space="preserve">2. Modelo de negocio</w:t>
      </w:r>
    </w:p>
    <w:p>
      <w:pPr>
        <w:spacing w:after="100"/>
      </w:pPr>
      <w:r>
        <w:t xml:space="preserve">MONY Group es el segundo comparador de precios del Reino Unido. Opera tres marcas: MoneySuperMarket (comparador de seguros, préstamos, tarjetas, cuentas, energía y banda ancha, con el club SuperSaveClub y una aplicación), MoneySavingExpert (web de consejos de Martin Lewis, 9 M de suscriptores al correo semanal) y Quidco (cashback en tiendas en línea). Además vende su plataforma a terceros (B2B: Which?, Rightmove, Autotrader, Blue Light Card), espacios publicitarios a proveedores y datos de conversión (Market Boost). Desde 2026 añade productos propios: ahorro e inversión, un corredor digital de seguros y banca para pymes [1, 3].</w:t>
      </w:r>
    </w:p>
    <w:p>
      <w:pPr>
        <w:pStyle w:val="Heading2"/>
      </w:pPr>
      <w:r>
        <w:t xml:space="preserve">Cómo gana dinero</w:t>
      </w:r>
    </w:p>
    <w:p>
      <w:pPr>
        <w:spacing w:after="100"/>
      </w:pPr>
      <w:r>
        <w:t xml:space="preserve">Cobra una comisión fija al proveedor por cada cliente que contrata (coste por adquisición), y en Quidco una comisión del comercio de la que devuelve una parte al socio. El ingreso depende del número de cambios (más en años de primas al alza o con ofertas de energía) y de la comisión. El principal coste es comprar tráfico: el gasto en marketing fue de 194 M en 2025 (43 % de los ingresos), sobre todo clics de Google y televisión; el margen bruto es del 64 % [1]. Los costes fijos (plataforma y personal) son el resto: margen EBITDA ajustado del 32,5 % [1]. Hay apalancamiento operativo pero poco ingreso recurrente; los socios del club, con un ingreso medio de 35 GBP, son la parte más estable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Insurance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Cashback</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Travel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compartidos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Insurance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Cashback</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Travel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compartidos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que pagan son los proveedores: ≈ 250 aseguradoras, bancos y comercializadoras conectados en tiempo real; ninguno supera el 10 % de los ingresos según el informe anual [2, 20]. El poder de precios es bajo: la comisión por cliente la fija la competencia entre los cuatro comparadores, y la empresa no ha podido trasladar el +21 % anual del coste por clic (el margen bruto baja 3 puntos en dos años) [1, 3]. Del lado del consumidor, el uso es gratuito y la fidelidad se compra con recompensas (SuperSaveClub: 2,5 M de socios, 80 % ya eran usuarios) [1,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 estimado de los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bn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bn GBP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bn en el semestre de 2026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marketing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en marketing de 194,0 M en 2025 (183,0 M en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 (MSM y Quidco)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consultas de coche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usuario activo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 GBP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vida y préstamos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Socios de SuperSaveClub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M (feb-2025)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 de los ingresos del grupo en el semestre de 2026; ingreso por socio 35 GBP frente a 20 GBP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 en más de un canal (MSM)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coche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NPS de MSM y MSE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YouGov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Comparadores de precios de servicios financieros y del hogar en el Reino Unido: webs y aplicaciones que cobran al proveedor una comisión por cada cliente que contrata (seguros de coche, hogar y vida, tarjetas y préstamos, cuentas, energía, banda ancha) y, en el cashback, al comercio. Es el mercado de MONY, que solo opera en el Reino Unido. Se usa IBISWorld (≈ 2.100 M GBP de ingresos en 2026-27) y se contrasta con la suma de los cuatro grandes: MONY 446 M, Compare the Market 564 M (ejercicio a junio de 2024), Go.Compare 192 M y Confused.com (sin cifras públicas desde que la compró RVU en 2021) [1, 15,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2.100 M GBP en 2026-27 (IBISWorld) [15]; los tres grandes con cifras públicas suman ≈ 1.200 M [1,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GBP (estimación propia a partir del TCAC de IBISWorl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las primas de seguro de coche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Primas −9 % en 2025 y −5 % en el primer semestre de 2026; IBISWorld ve subidas en 2026-27 por costes de reparación [3,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tráfico de Google (clic de pago y AI Overviews)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clic +21 % en 2024 y en 2025, +8 % a mitad de 2026; el margen bruto de MONY baja de 66,2 % a 63 %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de IA y agentes de compra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Insurify en ChatGPT (feb-2026) y la ola de «IA agéntica» de septiembre de 2026 hundieron a MONY un 8,6 % y un 7,8 % en un día [19,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Reapertura del mercado de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Services +33 % en 2025 y +30 % en el semestre de 2026 con el primer cambio colectivo en cinco años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crédito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+8 % en 2025 y +9 % en el semestre por cuentas, ahorro y tarjetas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marcas que pujan por las mismas palabras en Google: Compare the Market, MoneySuperMarket, Go.Compare y Confused.com; Go.Compare −5 % en 2025 [1,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(aseguradoras, bancos) dependen de los comparadores para captar clientes de coche, pero pueden bajar la comisión cuando el mercado se contrae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Google decide el coste y la visibilidad del tráfico: MONY se describe como «uno de los mayores socios de Google en el Reino Unido» y pide a la CMA transparencia sobre los anuncios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comparador nuevo necesita conexiones con ≈ 250 proveedores, autorización de la FCA y marca; un asistente de IA podría saltarse esa barrera con acuerdos con los propios comparadores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Asistentes de IA (ChatGPT, modo IA de Google) que responden «el seguro más barato» sin pasar por la web; hoy el tráfico de los modelos es «muy limitado» para MONY [10, 19].</w:t>
            </w:r>
          </w:p>
        </w:tc>
      </w:tr>
    </w:tbl>
    <w:p>
      <w:pPr>
        <w:spacing w:after="160" w:before="0"/>
      </w:pPr>
    </w:p>
    <w:p>
      <w:pPr>
        <w:pStyle w:val="Heading2"/>
      </w:pPr>
      <w:r>
        <w:t xml:space="preserve">Ciclo</w:t>
      </w:r>
    </w:p>
    <w:p>
      <w:pPr>
        <w:spacing w:after="100"/>
      </w:pPr>
      <w:r>
        <w:t xml:space="preserve">El seguro de coche sale de un año de deflación de primas (−9 % en 2025) y en el primer semestre de 2026 las caídas se moderan (−5 %) con el hogar nueve meses por detrás [3]. Energía y banca están en fase alta. En 2008-09 el grupo resistió por el seguro de coche; en 2020 cayó un 11 % por viajes y energía y en 2021-22 el colapso de las comercializadoras de energía se llevó la mitad de Home Services [1].</w:t>
      </w:r>
    </w:p>
    <w:p>
      <w:pPr>
        <w:pStyle w:val="Heading2"/>
      </w:pPr>
      <w:r>
        <w:t xml:space="preserve">Regulación</w:t>
      </w:r>
    </w:p>
    <w:p>
      <w:pPr>
        <w:spacing w:after="100"/>
      </w:pPr>
      <w:r>
        <w:t xml:space="preserve">La FCA regula la intermediación de seguros y crédito (deber del consumidor desde julio de 2023) y en 2022 prohibió cobrar más en la renovación que a un cliente nuevo, lo que redujo el beneficio de cambiar [2]. Ofgem fija el tope de precio de la energía, que decide si hay ofertas que comparar [3]. La CMA designó a Google con «estatus de mercado estratégico» en búsqueda (2025) y consulta normas de clasificación justa; MONY pide que incluyan los anuncios y los resúmenes de IA [22]. HMRC discute el método de recuperación de IVA de la empresa [3].</w:t>
      </w:r>
    </w:p>
    <w:p>
      <w:pPr>
        <w:pStyle w:val="Heading2"/>
      </w:pPr>
      <w:r>
        <w:t xml:space="preserve">Tendencias y disrupción</w:t>
      </w:r>
    </w:p>
    <w:p>
      <w:pPr>
        <w:spacing w:after="100"/>
      </w:pPr>
      <w:r>
        <w:t xml:space="preserve">Tres tendencias. Primera, el buscador cambia: los AI Overviews y el modo IA de Google empujan los resultados orgánicos y encarecen el clic [3, 10]. Segunda, los asistentes de IA empiezan a comparar dentro de la conversación (Insurify y Tuio en ChatGPT; uno de cada cinco búsquedas británicas ya pasa por modelos de lenguaje) [10, 19]. Tercera, los comparadores responden con clubes de socios y aplicaciones propias para que el cliente llegue directo (SuperSaveClub, 2,5 M de socios; Go.Compare relanza su aplicación) y con aplicaciones dentro de ChatGPT [3,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de los comparadores del Reino Unido por ingresos (≈ 21 % del mercado de IBISWorld), detrás de Compare the Market (≈ 27 %) y por delante de Go.Compare (≈ 9 %) y Confused.com [15, 16,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Compare the Market (BGL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ejercicio a junio de 2024; beneficio antes de impuestos 221,6 M (margen sobre ventas del 39 %, se usa como aproximación del EBIT)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Go.Compare (Future plc)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−5 %; Future no publica el EBIT del segmento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Confused.com (RVU, ZPG)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a Admiral en 2021 dentro de un paquete de 508 M; sin cifras públicas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Uswitch (RVU, ZPG)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energía y banda ancha; sin cifras públicas.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TopCashback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de Quidco en cashback; privada.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dos lados con ≈ 250 proveedores conectados en tiempo real; más usuarios atraen mejores ofertas exclusivas (cambio colectivo de energía de 2025) [8,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compara en varias webs; SuperSaveClub intenta crear fidelidad (2,5 M de socios, ingreso por socio 35 GBP frente a 20)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MoneySavingExpert, la marca financiera más recomendada del país, 9 M de suscriptores al correo semanal y 3,5 M de descargas de la aplicación; autorización de la FCA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32,5 % en 2025 frente a ≈ 39 % de margen antes de impuestos de Compare the Market [5,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marcas se reparten un mercado de ≈ 2.100 M que crece ≈ 3 %: poco atractivo para un entrante clásico [1].</w:t>
            </w:r>
          </w:p>
        </w:tc>
      </w:tr>
    </w:tbl>
    <w:p>
      <w:pPr>
        <w:spacing w:after="160" w:before="0"/>
      </w:pPr>
    </w:p>
    <w:p>
      <w:pPr>
        <w:pStyle w:val="Heading2"/>
      </w:pPr>
      <w:r>
        <w:t xml:space="preserve">Amenazas</w:t>
      </w:r>
    </w:p>
    <w:p>
      <w:pPr>
        <w:spacing w:after="100"/>
      </w:pPr>
      <w:r>
        <w:t xml:space="preserve">Dos amenazas con probabilidad alta. La primera, Google: cada cambio del buscador (AI Overviews en 2024-25, modo IA en 2026) ha subido el coste del clic y ha bajado el margen bruto de MONY del 66,2 % al 63 % [3]. La segunda, los asistentes de IA que comparan y contratan sin pasar por la web; hoy aportan «tráfico muy limitado», pero el analista de Berenberg admite que es «la forma en que probablemente evolucionará el mercado» [10, 20]. El foso que queda son la marca MoneySavingExpert, las conexiones reguladas con los proveedores y los clubes de socios.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2021-2025: ingresos </w:t>
      </w:r>
      <w:r>
        <w:rPr>
          <w:b/>
          <w:bCs/>
        </w:rPr>
        <w:t xml:space="preserve">9,0 %</w:t>
      </w:r>
      <w:r>
        <w:t xml:space="preserve">, EBITDA </w:t>
      </w:r>
      <w:r>
        <w:rPr>
          <w:b/>
          <w:bCs/>
        </w:rPr>
        <w:t xml:space="preserve">9,6 %</w:t>
      </w:r>
      <w:r>
        <w:t xml:space="preserve">, BPA </w:t>
      </w:r>
      <w:r>
        <w:rPr>
          <w:b/>
          <w:bCs/>
        </w:rPr>
        <w:t xml:space="preserve">11,8 %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316,7 M GBP en 2021 a 446,3 M en 2025 (TCAC del 9 %), pero casi todo el salto es de 2022-2023: la compra de Quidco (52,7-60,8 M anuales de cashback) y la inflación de las primas de coche de 2023 [6, 7]. En 2024 y 2025 la cifra crece un 2 % por año: el seguro de coche cae (primas −9 % en 2025) y lo compensan Money (+8 %) y Home Services (+33 %, vuelta del cambio de energía) [1]. En el primer semestre de 2026 los ingresos crecen un 6 % sin Travel (+1 % publicado) y el seguro vuelve a crecer (+4 %) [3]. El margen bruto baja de 66,2 % a 64,4 % en 2025 y a 63 % en el semestre por la inflación del coste por clic de Google (+21 % en 2024 y en 2025; ≈ 8 % a mitad de 2026) [1, 3]. El margen EBITDA ajustado se sostiene (32,5 % en 2025, 33,2 % en el semestre) porque los gastos de personal bajan un 11 % y la plantilla un 9 % con automatización e IA [1, 3].</w:t>
      </w:r>
    </w:p>
    <w:p>
      <w:pPr>
        <w:pStyle w:val="Heading2"/>
      </w:pPr>
      <w:r>
        <w:t xml:space="preserve">Ajustes y partidas no recurrentes</w:t>
      </w:r>
    </w:p>
    <w:p>
      <w:pPr>
        <w:spacing w:after="100"/>
      </w:pPr>
      <w:r>
        <w:t xml:space="preserve">La empresa publica un EBITDA ajustado que suma la provisión por IVA irrecuperable y sus costes legales (1,0 M en 2023, 3,0 M en 2024, 4,4 M en 2025 y 2,3 M en el semestre de 2026) y, en 2021, 3,6 M de gastos de la compra de Quidco; van como partidas no recurrentes dentro del EBITDA [1, 5, 8]. El IVA no es del todo puntual: HMRC retiró en 2024 el método de recuperación acordado en 2012, la empresa ya paga liquidaciones y espera que la disputa siga en 2027 [3]. El BPA ajustado suma además la amortización de intangibles comprados (8,1 M en 2025; 21,1 M en 2023), la pérdida de 6,7 M por la cesión de ITG y las plusvalías de 2025 (2,5 + 0,6 M), y aplica un 25 % fijo de impuesto: 17,9 peniques en 2025 frente a 15,3 publicados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febrero de 2026 la dirección vendió el giro a «empresa con IA»: acuerdo empresarial con OpenAI, aplicación de MoneySuperMarket en ChatGPT, Price Optimiser y Savings; los analistas preguntaron por el coste por clic (+21 % en 2025) y por cuánto tráfico podía llegar desde los modelos de lenguaje [11]. En julio de 2026 el mensaje cambió de defensa a producto: aplicación de MoneySuperMarket como «compañero financiero», Investments, SuperSaveClub Insurance (corredor digital propio) y banca para pymes [10]. La pregunta más repetida fue el coste de Google: el director financiero atribuye la inflación de 2025 a los AI Overviews, que empujaron los resultados orgánicos hacia abajo y cambiaron el formato de los anuncios, y dice que al cierre del semestre el coste por clic sube ≈ 8 % [10]. Sobre ChatGPT, la dirección reconoce «tráfico muy limitado» desde los modelos («uno de cada cinco búsquedas en el Reino Unido pasa ya por modelos de lenguaje») y no da cifras de la aplicación [10]. No cuantificó el margen bruto de la segunda mitad ni el efecto del modo IA de Google, y evitó dar un plazo para que el corredor propio aporte ingresos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Quidco (cashback), comprada el 1-nov-2021 por 104,6 M GBP: solo dos meses en la cuenta y entera en el balance de 2021 [7].; 2025: Ice Travel Group (TravelSupermarket e icelolly): pérdida de control el 1-dic-2025, queda el 49,9 % como asociada; 11 meses en la cuenta de 2025 (17,6 M de ingresos) y fuera del balance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(crédito renovable) sube de 0 en 2020 a 57,5 M en 2021 por la compra de Quidco y baja a 14,0 M en 2025; a junio de 2026 vuelve a 48,0 M por la recompra (16,5 M), el dividendo final (48,5 M) y la estacionalidad del circulante [1, 3, 7]. Deuda neta sin arrendamientos de 31,8 M en junio frente a caja neta de 4,1 M en diciembre: la empresa reparte casi todo el flujo libre y se apoya en la línea de crédito [3]. El circulante es negativo (clientes 87,6 M frente a proveedores 98,1 M en 2025), pero los cobros a proveedores de energía y seguros de vida son más lentos y los clientes suben a 98,8 M en junio [1,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406</w:t>
      </w:r>
      <w:r>
        <w:t xml:space="preserve">, conversión </w:t>
      </w:r>
      <w:r>
        <w:rPr>
          <w:b/>
          <w:bCs/>
        </w:rPr>
        <w:t xml:space="preserve">114 %</w:t>
      </w:r>
      <w:r>
        <w:t xml:space="preserve"> del beneficio neto; adquisiciones 76, dividendos 321, recompras 31.</w:t>
      </w:r>
    </w:p>
    <w:p>
      <w:pPr>
        <w:spacing w:after="100"/>
      </w:pPr>
      <w:r>
        <w:t xml:space="preserve">El flujo operativo es de 102-116 M GBP en 2022-2025 y convierte en caja casi todo el beneficio: con un capex de 9,6-14,1 M (casi todo desarrollo de software capitalizado) y 2,9 M de arrendamientos, el flujo libre ronda 90-98 M al año [1, 5]. Se reparte entero: dividendos de 62,8-66,9 M y, desde 2025, recompras (30,2 M en 2025; 25 M previstos en 2026) [1, 3]. El flujo operativo cae un 7 % en 2025 y un 17 % en el semestre de 2026 por el circulante (cobros más lentos de energía y vida, y menos saldo pendiente con los socios de Quidco) [1, 3]. La dirección considera el capex «particularmente bajo» y sin subidas previstas: la amortización de tecnología será ≈ 12 M en 2026 [3, 10]. Estimación propia: casi todo el capex es de mantenimiento del producto (la plataforma ya está en la nube); el crecimiento no exige inversión neta.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(2025); PwC propuesto para 2026 tras el concurso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desde la salida a bolsa de 2007 y el concurso de 2025 elige a PwC desde 2026 [2]. Las cuentas son sencillas: ingresos por comisión de cada cambio o clic, sin existencias y con poco capex. Tres puntos a vigilar: (1) el desarrollo de software capitalizado (8,0 M en 2025, 13,3 M en 2024) se amortiza fuera del EBITDA; (2) el EBITDA y el BPA ajustados excluyen el IVA irrecuperable, que lleva tres años seguidos y ya se paga en caja [1, 3]; (3) la cesión de ITG en 2025 (pérdida de 6,7 M) saca del perímetro un negocio con margen del 12 % [1]. Los pagos en acciones son pequeños (2,8 M, 2 % del beneficio). Lectura de los indicadores del motor en el texto de rentabilidad y en la síntesis.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IVA irrecuperable excluido del EBITDA ajustado tres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3,0 / 4,4 M en 2023-2025 y 2,3 M en el semestre; disputa con HMRC hasta 2027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durante 18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KPMG desde 2007; rotación a PwC aprobada para 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que consume caja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+11 % en el semestre por energía y vida; flujo operativo −17 %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203 M en 2025 (el 82 % del capital invertido medio); ha subido más de un 5 % en 0 de 4 años: sin compras. ROIC publicado 35,0 %; sin fondo de comercio, 195,5 %.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10,5 %.</w:t>
      </w:r>
    </w:p>
    <w:p>
      <w:pPr>
        <w:spacing w:after="100"/>
      </w:pPr>
      <w:r>
        <w:t xml:space="preserve">El ROIC del motor sube del 22,6 % en 2021 al 35,0 % en 2025 con un WACC del 10,5 %: crea valor con holgura (+24 puntos), y el ROE ronda el 34-35 % con una deuda pequeña [14]. El negocio casi no usa capital: el inmovilizado y el software son ≈ 50 M y el circulante es negativo; el 82 % del capital invertido es fondo de comercio de la compra de 2007 y de Quidco, y sin él el ROIC pasa del 190 %. La subida de 2021 a 2025 tiene dos causas: la amortización de intangibles comprados se acaba (21,1 M en 2023, 8,1 M en 2025) y el EBITDA crece más que el capital [1, 5]. La única compra grande no ha rendido: Quidco costó 104,6 M y aportó 7,8 M de contribución en 2025 antes de costes compartidos, menos de un 6 % después de impuestos, por debajo del WACC [1, 7]. Lo que puede bajar el ROIC no es el capital sino el margen: cada punto de coste por clic de Google sale del EBITDA [3, 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18,5 M GBP y línea de crédito renovable de 125 M (dispuestos 48,0 M a 30-jun-2026; vence en junio de 2028)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 por arrendamientos de 20,0 M GBP a cierre de 2025 (23,0 M en 2024), sobre todo oficinas de Ewloe y Londres [2]. Provisión de 6,2 M por IVA irrecuperable a cierre de 2025 (9,4 M de provisiones totales a junio de 2026, con 1,9 M de desmantelamiento): HMRC rechaza el método de recuperación de IVA acordado en 2012, ya ha emitido liquidaciones que la empresa paga y la disputa seguirá en 2027 [1, 3]. Pagarés con los minoritarios de Podium de 2,3 M [3]. Covenants de apalancamiento y de cobertura de intereses con «holgura significativa» [2]. No hay pensiones de prestación definida, factoring ni pagos aplazados de compras pendientes (los de Quidco, 14,6 M en 2021, ya se pagaron) [1, 7].</w:t>
      </w:r>
    </w:p>
    <w:p>
      <w:pPr>
        <w:pStyle w:val="Heading1"/>
      </w:pPr>
      <w:r>
        <w:t xml:space="preserve">12. Asignación de capital</w:t>
      </w:r>
    </w:p>
    <w:p>
      <w:pPr>
        <w:pStyle w:val="Confianza"/>
        <w:spacing w:after="100"/>
      </w:pPr>
      <w:r>
        <w:t xml:space="preserve">Confianza: Alta</w:t>
      </w:r>
    </w:p>
    <w:p>
      <w:pPr>
        <w:spacing w:after="100"/>
      </w:pPr>
      <w:r>
        <w:t xml:space="preserve">Dividendo progresivo (12,63 peniques en 2025, +1 %; a cuenta de 2026 3,36, +1 %), con el crecimiento del dividendo moderado a propósito para reconstruir la cobertura, y devolución del flujo libre «sobrante» con recompras: 30 M GBP en 2025 (15 M de acciones) y 25 M en 2026, terminada en agosto [1, 3]. La dirección mantiene capacidad para compras «estratégicas y que creen valor»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Quidco (Maple Syrup Media), cashback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y crédito renovable (90,1 M iniciales netos de 32,5 M de caja adquirida; 14,6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cashback de 57,6 M en 2022 frente a 52,7 M en 2025 y 23,8 M en el semestre de 2026 (−13 %); contribución de 7,8 M en 2025. Sin deterioro, pero por debajo del plan [1,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icelolly.com, integrada con TravelSupermarket en Ice Travel Group (67 %)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TravelSupermarket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Travel cayó a 17,6 M de ingresos en 2025 con margen del 12 %; control cedido el 1-dic-2025 con pérdida de 6,7 M; queda el 49,9 %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Podium Solutions (52 %), banca abierta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Pérdidas de 1,3-1,4 M anuales; patrimonio negativo [1].</w:t>
            </w:r>
          </w:p>
        </w:tc>
      </w:tr>
    </w:tbl>
    <w:p>
      <w:pPr>
        <w:spacing w:after="160" w:before="0"/>
      </w:pPr>
    </w:p>
    <w:p>
      <w:pPr>
        <w:spacing w:after="100"/>
      </w:pPr>
      <w:r>
        <w:t xml:space="preserve">La dirección devuelve casi todo lo que genera: dividendos y recompras de 96 M en 2025 con un flujo libre de ≈ 95 M [1]. Las compras recientes han rendido poco: Quidco (104,6 M) ingresa hoy menos que cuando se compró y Travel se cedió con pérdida [1, 3]. La recompra de 2025-2026 se hizo a 150-200 peniques, con un PER de ≈ 10 veces, lo que crea valor si el beneficio se sostiene.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Just Eat, director comercial de easyJet y director de marketing de Audi UK. Con él, el EBITDA ajustado pasa de 100,5 M (2021) a 145,1 M (2025) y la plantilla se reduce con la nueva plataforma en la nube; el precio de la acción cae un 23 % en el mismo periodo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Niall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Ocado Retail y director en Rothschild &amp; Co. Ha llevado la primera recompra (2025) y la reducción de costes de personal (−11 % en 2025)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Bewes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Banquero de inversión 25 años y vicepresidente de banca corporativa de Standard Chartered; preside la comisión de auditoría de Sage y Next. Compró 20.000 acciones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Shazadi Stinton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jefa de asesoría jurídica de Severn Trent [2].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EBITDA ajustado de 96,4-128,8 M (media 116,8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114,6-129,7 M (media 123,2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133,8-146,2 M (media 141,1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147,0 M (143,1-151,7 M) en febrero; rebajado a 142,7 M en diciembre sin ITG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del consenso de 140-148 M (media 146 M), confirmado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75,5 M en el primer semestre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consejero delegado desde 2020 y director financiero desde 2023, sin cambios en la cúpula en 24 meses [2]. La dirección cumple la guía de EBITDA desde 2023, aunque suele guiar con el consenso y no con cifras propias [3, 33]. Lo que no ha cumplido es el crecimiento: los ingresos sin Travel crecen ≈ 2 % al año desde 2023 y la cotización cae un 23 % desde 2021. El plan de sucesión no es público; el consejo renueva consejeros independientes de forma escalonada (Warby sale tras ocho años) [25].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Bewes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Niall McBride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Britton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Lesley Jones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y sostenibilidad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Rakesh Sharma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Beth Christie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Emma Lloyd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Nombramientos,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0,02 / ventas 0,08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Moltiply Group SpA (Facile.it, Italia)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(comparadores)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9,06 % (dic-2025) a 10,01 % (feb-2026) y 12,02 % (9-jun-2026) [2,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5,0 % a 5,92 % (con derivados) en 2026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el 5 % el 16-oct-2026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Prudential plc (M&amp;G)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a dic-2025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Allianz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a dic-2025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a dic-2025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acciones recompradas se amortizan; 511,6 M en circulación a 30-sep-2026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(según interactive investor)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Phillips (directivo)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 Duffy (venta y recompra inmediata para una cuenta ISA)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1,83 M GBP en 2025: 0,66 M de salario, 0,67 M de bonus (68,3 % del máximo, ligado al EBITDA ajustado) y 0,44 M de acciones restringidas que se consolidan [2]. Desde 2025 el plan a largo plazo pasa de incentivos por objetivos (BPA ajustado) a acciones restringidas con condiciones mínimas, y en 2026 la junta aprobó un plan «híbrido» (92,26 % a favor) y una política nueva con el 91,17 % [2, 24]. La política de 2023 tuvo el 12,75 % de votos en contra [2]. El variable premia EBITDA y BPA ajustados, no la rentabilidad del capital ni el flujo libre. Relación con el salario mediano: 25 veces [2]. Hay cláusulas de recuperación (malus y clawback) [2].</w:t>
      </w:r>
    </w:p>
    <w:p>
      <w:pPr>
        <w:pStyle w:val="Heading2"/>
      </w:pPr>
      <w:r>
        <w:t xml:space="preserve">Operaciones vinculadas, estructura de control y defensas</w:t>
      </w:r>
    </w:p>
    <w:p>
      <w:pPr>
        <w:spacing w:after="100"/>
      </w:pPr>
      <w:r>
        <w:t xml:space="preserve">Sin accionista de control, una acción un voto y sin blindajes [2]. El dato relevante es Moltiply Group, dueña de los comparadores Facile.it (Italia) y de negocios de corretaje, que ha subido del 9 % al 12 % en 2026 [26]. Con el código de OPAs británico, un accionista que supera el 30 % tiene que lanzar oferta; Moltiply no ha dicho que vaya a hacerlo. Es a la vez un posible comprador y un freno a una oferta de terceros.</w:t>
      </w:r>
    </w:p>
    <w:p>
      <w:pPr>
        <w:pStyle w:val="Heading2"/>
      </w:pPr>
      <w:r>
        <w:t xml:space="preserve">Señales de alerta</w:t>
      </w:r>
    </w:p>
    <w:p>
      <w:pPr>
        <w:pStyle w:val="ListParagraph"/>
        <w:numPr>
          <w:ilvl w:val="0"/>
          <w:numId w:val="2"/>
        </w:numPr>
        <w:spacing w:after="60"/>
      </w:pPr>
      <w:r>
        <w:t xml:space="preserve">Moltiply Group sube al 12 % sin declarar intenciones (posible oferta o bloqueo) [26].</w:t>
      </w:r>
    </w:p>
    <w:p>
      <w:pPr>
        <w:pStyle w:val="ListParagraph"/>
        <w:numPr>
          <w:ilvl w:val="0"/>
          <w:numId w:val="2"/>
        </w:numPr>
        <w:spacing w:after="60"/>
      </w:pPr>
      <w:r>
        <w:t xml:space="preserve">Cambio de auditor de KPMG (18 años) a PwC en 2026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da cifras propias: «confía en lograr un EBITDA ajustado de 2026 dentro del consenso publicado», de 140-148 M GBP con media de 146 M (21-jul-2026; en febrero era 142-153 M con media 146 M) [3]. No hay plan a medio plazo con objetivos numéricos. El consenso del propio grupo no se pudo abrir (página con aviso legal); se usa el de Yahoo para el BPA y el de MarketScreener para ingresos, EBITDA y dividendo [35,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11 analistas) y MarketScreener (resto)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11 analistas) y MarketScreener (resto) [35, 36]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 3,00</w:t>
            </w:r>
          </w:p>
        </w:tc>
      </w:tr>
    </w:tbl>
    <w:p>
      <w:pPr>
        <w:spacing w:after="160" w:before="0"/>
      </w:pPr>
    </w:p>
    <w:p>
      <w:pPr>
        <w:pStyle w:val="Heading2"/>
      </w:pPr>
      <w:r>
        <w:t xml:space="preserve">Revisiones de estimaciones</w:t>
      </w:r>
    </w:p>
    <w:p>
      <w:pPr>
        <w:spacing w:after="100"/>
      </w:pPr>
      <w:r>
        <w:t xml:space="preserve">El BPA ajustado de 2026 del consenso sube de 18,55 a 18,71 peniques en 90 días y el de 2027 de 19,93 a 20,00: estable tras el semestre [35]. Berenberg rebajó su objetivo de 275 a 250 peniques el 28-jul tras el margen bruto del semestre (63 % frente a 66 %), manteniendo comprar (MarketBeat). El EBITDA de MarketScreener es el ajustado de la empresa (145,1 M en 2025) y su BPA, el publicado (15,2 peniques en 2025): para el PER se usa el ajustado de Yahoo, que es la base de nuestros casos [35, 36].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bl>
    <w:p>
      <w:pPr>
        <w:spacing w:after="160" w:before="0"/>
      </w:pPr>
    </w:p>
    <w:p>
      <w:pPr>
        <w:spacing w:after="100"/>
      </w:pPr>
      <w:r>
        <w:t xml:space="preserve">La acción ha perdido frente al índice en casi todos los plazos: −8,3 % anual en tres años y −3,2 % anual en diez, en precio, frente al +12,7 % y +3,1 % del FTSE 250 [34]. Lo explican tres golpes: el colapso del cambio de comercializadora de energía en 2021-2022, la caída de las primas de coche en 2024-2025 (−31 % en 2024) y, en 2026, el miedo a la IA: mínimo de 13 años en 153 peniques el 10-feb tras la aplicación de Insurify en ChatGPT [19]. Desde ahí ha recuperado un 31 % con resultados en línea y recompras. Beta de 0,86 y volatilidad del 29 %; posición corta del 2,4 % [42].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 +3,9 % / +17,2 % / +5,1 %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 +38,8 %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Insurify lanza una aplicación de comparación de seguros de coche dentro de ChatGPT: −8,6 % el 10-feb y mínimo de 13 años (153 peniques); Future (Go.Compare) también cae. Berenberg lo llama exagerado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mes hasta el 30-abr tras la venta por la IA de febrero, con la junta del 30-abr y la recompra de 25 M en marcha [24, 46]; no hay noticia nueva que lo explique por sí sola.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semestre (21-jul): ingresos +1 % y margen bruto del 63 % (66 % un año antes) por el coste por clic; −5 % ese día y Berenberg baja el objetivo de 275 a 250 peniques [3,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7,8 % el 23-sep con 5,3 M de acciones sin noticia de la empresa: ola de miedo a la «IA agéntica» en los portales británicos (Auto Trader y Rightmove −3,3 % ese día); peor mes en seis (−15,3 % hasta el 28-sep), recuperado después [21,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Asset Management pasa del 5 % (5,82 %)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sube al 5,92 %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Emma Lloyd entra en el consejo como independiente y sale Sarah Warby (2-oct)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25 M GBP terminada en agosto; 511,6 M de acciones en circulación, sin autocartera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ingresos de 227,1 M (+1 %; +6 % sin Travel), EBITDA ajustado de 75,5 M (+1 %), BPA ajustado de 9,7 peniques (+4 %), dividendo a cuenta +1 %; guía anual en el consenso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Moltiply Group (Italia, dueña de Segugio) sube al 12,02 %: posible interés estratégico; no hay oferta ni declaración de intenciones, y el código de OPAs británico obliga a ofertar al pasar del 30 %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compras del plan de empleados, una venta para impuestos (Phillips, 38.124 acciones) y un «bed and ISA» del consejero delegado; en febrero, un consejero no ejecutivo compró 20.000 GBP a 158 peniques [29, 30, 31,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informe de remuneración aprobado con el 97,2 % y política con el 91,2 %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2026-12-03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diciembre (≈ 3-dic, como el del 3-dic-2025 [33]) y resultados anuales hacia el 22-feb-2027 (fecha estimada).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17 % en seis meses y está a un 6 % del máximo de 52 semanas, con tendencia alcista y sin avisos P de la herramienta [46]. Las caídas fuertes del año (febrero y septiembre) son de miedo a la IA en todo el sector, sin hecho nuevo de la empresa, y la de julio es de los resultados [3, 19, 21]. No hay colocaciones, ampliaciones ni ofertas pendientes; Moltiply (12 %) es más una posible prima que un riesgo de venta. El próximo hecho con fecha es el comunicado de diciembre, a más de 15 días: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MONY cotiza a 7,5 veces el EBITDA y a 12,9 veces el BPA publicado de los últimos 12 meses, un 21 % y un 15 % por debajo de su media de cinco años y en el percentil 40 [34]. En base ajustada adelantada (la de la regla) el descuento es mayor: 10,4 veces frente a una mediana de 11,9 y una media larga de 14,2 [45]. Lo estructural es el riesgo de IA: desde la presentación de Insurify en ChatGPT (feb-2026) el mercado paga por MONY como por un negocio sin crecimiento terminal, y los tipos (gilt al 5,3 %) han subido el coste del capital [19, 37].</w:t>
      </w:r>
    </w:p>
    <w:p>
      <w:pPr>
        <w:pStyle w:val="Heading1"/>
      </w:pPr>
      <w:r>
        <w:t xml:space="preserve">18. Comparables cotizados</w:t>
      </w:r>
    </w:p>
    <w:p>
      <w:pPr>
        <w:pStyle w:val="Confianza"/>
        <w:spacing w:after="100"/>
      </w:pPr>
      <w:r>
        <w:t xml:space="preserve">Confianza: Media</w:t>
      </w:r>
    </w:p>
    <w:p>
      <w:pPr>
        <w:spacing w:after="100"/>
      </w:pPr>
      <w:r>
        <w:t xml:space="preserve">No hay comparadores de seguros cotizados puros en el Reino Unido salvo Future (dueña de Go.Compare, que pesa el 27 % de sus ingresos). Se usan tres grupos: (1) Future, el rival directo; (2) captadores de clientes de seguros y crédito de EE. UU. que cobran por cliente (EverQuote, MediaAlpha, LendingTree), con el mismo riesgo de Google y de la IA; (3) portales de anuncios europeos de dos lados (Auto Trader, Rightmove, Baltic Classifieds, Scout24, Hemnet), que comparten el riesgo de la IA agéntica pero tienen más foso. Se excluye Admiral (aseguradora). Cifras de Yahoo a 21-oct-2026, convertidas con el BCE [35,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Baltic Classifieds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Future (Go.Compare)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EverQuote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MediaAlpha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LendingTree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11,2x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8,9x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5,5x / 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MONY cotiza a 10,2 veces el BPA de los próximos 12 meses y 7,5 veces el EBITDA, en la mitad baja del mapa: por encima de los captadores de clientes de EE. UU. (EverQuote 7,4x, MediaAlpha 7,0x, LendingTree 4,0x) y de Future (2,8x), y muy por debajo de los portales de anuncios (Auto Trader 12,1x, Rightmove 15,5x, Scout24 16,8x) [23, 35]. El descuento frente a los portales se justifica: ellos tienen el inventario (los anuncios) y MONY compra su tráfico a Google, con márgenes de la mitad. La prima sobre los estadounidenses también: margen EBITDA del 32,5 % frente al 7-11 %, ROIC del 35 % y caja neta casi cero. El múltiplo razonable es el de su historia, no el de este grupo: 10-12 veces el BPA.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GoCo Group (Go.Compare)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Future plc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594 M + deuda neta 71,6 M; EBITDA ajustado de 2019 de 32,2 M, deprimido por la inversión en AutoSave [18,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Penguin Portals (Confused.com, Rastreator, LeLynx) y 50 % de Preminen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RVU (ZPG, Silver Lake)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total de 508 M; Admiral no publicó el beneficio del perímetro vendido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Quidco (cashback)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Moneysupermarket.com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104,6 M menos 32,5 M de caja adquirida; ventas y contribución EBITDA de 2022 (57,6 y 9,5 M, antes de costes compartidos) [7].</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Hay pocas operaciones y ninguna reciente: Future pagó por GoCo en 2020 20,7 veces el EBITDA ajustado de 2019 (deprimido) y 4,4 veces las ventas, con una prima del 24 % [18, 40]; RVU compró Confused.com y sus hermanas europeas en 2021 por 508 M sin cifras de beneficio [41]; MONY pagó por Quidco 7,6 veces la contribución de 2022 [7]. Son de antes de la IA generativa y no se usan en la síntesis. Lo relevante hoy es Moltiply (dueña de Segugio en Italia) con el 12 % de MONY [26]: una oferta pagaría prima de control, pero no hay ninguna anunciada.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(+1,3 %, fijo) es el consenso (451,4 M [36]) y el semestre: +0,8 % publicado y +6 % sin Travel, que dejó de consolidarse el 1-dic-2025 [3]. Después, +3,5 % en 2027e-2028e (consenso +3,6 % y +3,7 % [36]) con seguros que crecen con el número de cambios y no con las primas, Money y la energía; +3 % y +2,5 % hasta 2032e, por debajo del 9 % anual de 2021-2025 (inflado por Quidco y la inflación de primas de 2023) y cerca del 2,7 % del mercado [15]. No suponemos crecimiento por la aplicación ni por SuperSaveClub.</w:t>
      </w:r>
    </w:p>
    <w:p>
      <w:pPr>
        <w:keepNext/>
        <w:spacing w:after="100"/>
      </w:pPr>
      <w:r>
        <w:rPr>
          <w:b/>
          <w:bCs/>
        </w:rPr>
        <w:t xml:space="preserve">Márgenes.</w:t>
      </w:r>
    </w:p>
    <w:p>
      <w:pPr>
        <w:spacing w:after="100"/>
      </w:pPr>
      <w:r>
        <w:t xml:space="preserve">Margen EBITDA del DCF = ajustado de la empresa menos el IVA irrecuperable que se repite: 31,2 % en 2026e (ajustado 32,2 %, ≈ 145,5 M, centro del consenso de 140-148 M [3]) y 32,0-32,5 % después (ajustado 32,5-33,0 %). La palanca es el coste de personal (−11 % en 2025 con automatización [1]); el freno, el coste por clic de Google, que bajó el margen bruto del 66,2 % al 63 % en dos años [3]. No suponemos que el margen bruto se recupere: el ahorro de costes lo compensa.</w:t>
      </w:r>
    </w:p>
    <w:p>
      <w:pPr>
        <w:keepNext/>
        <w:spacing w:after="100"/>
      </w:pPr>
      <w:r>
        <w:rPr>
          <w:b/>
          <w:bCs/>
        </w:rPr>
        <w:t xml:space="preserve">Inversión y circulante.</w:t>
      </w:r>
    </w:p>
    <w:p>
      <w:pPr>
        <w:spacing w:after="100"/>
      </w:pPr>
      <w:r>
        <w:t xml:space="preserve">Capex (software capitalizado) y pagos de arrendamientos del 2,9-3,0 % de las ventas (12,5 M en 2025 [14]); amortización total del 4,8 % en 2026e que baja al 3,0 % cuando se acaba la de los intangibles comprados (8,1 M en 2025 [1]). Circulante del −1,5 % de las ventas (−2,4 % en 2025; los cobros de energía y vida son más lentos [3]).</w:t>
      </w:r>
    </w:p>
    <w:p>
      <w:pPr>
        <w:keepNext/>
        <w:spacing w:after="100"/>
      </w:pPr>
      <w:r>
        <w:rPr>
          <w:b/>
          <w:bCs/>
        </w:rPr>
        <w:t xml:space="preserve">Coste del capital.</w:t>
      </w:r>
    </w:p>
    <w:p>
      <w:pPr>
        <w:spacing w:after="100"/>
      </w:pPr>
      <w:r>
        <w:t xml:space="preserve">Tasa libre del 5,30 % (gilt a 10 años, 16-oct-2026 [37]); beta de 0,92, la ajustada mensual a 5 años frente al FTSE 250 (0,86 sin ajustar [34]); prima del 5,5 % más 0,5 puntos por el riesgo de que la IA y Google cambien el canal (un solo país, un solo proveedor de tráfico); coste de la deuda del 6,0 % antes de impuestos (crédito renovable a tipo variable [2]) con un peso del 5 %. WACC del 10,5 %. Con la prima implícita del mercado (4,2 % [38]) sería del 9,4 %.</w:t>
      </w:r>
    </w:p>
    <w:p>
      <w:pPr>
        <w:keepNext/>
        <w:spacing w:after="100"/>
      </w:pPr>
      <w:r>
        <w:rPr>
          <w:b/>
          <w:bCs/>
        </w:rPr>
        <w:t xml:space="preserve">Valor terminal.</w:t>
      </w:r>
    </w:p>
    <w:p>
      <w:pPr>
        <w:spacing w:after="100"/>
      </w:pPr>
      <w:r>
        <w:t xml:space="preserve">Crecimiento a perpetuidad del 2,0 %, igual a la inflación objetivo del Banco de Inglaterra: sin crecimiento real, porque el canal puede cambiar. El múltiplo de salida implícito (≈ 7,5-8 veces el EBITDA) está en el mínimo de su historia (6,8-12 veces en 2021-2025 [34]).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frente al 2,8 %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 (hoy: 21,0 %)</w:t>
            </w:r>
          </w:p>
        </w:tc>
      </w:tr>
    </w:tbl>
    <w:p>
      <w:pPr>
        <w:spacing w:after="160" w:before="0"/>
      </w:pPr>
    </w:p>
    <w:p>
      <w:pPr>
        <w:spacing w:after="100"/>
      </w:pPr>
      <w:r>
        <w:t xml:space="preserve">La proyección apenas necesita inversión neta de la amortización (reinversión acumulada de -16 M, con un capex bruto medio del 3,0 % de las ventas). En un negocio de activos ligeros, el crecimiento medio del 2,8 % tiene que salir de subir precios y de ganar volumen sin capital nuevo, y la prueba es el poder de precios y la cuota (21,4 % del mercado en 2030e, frente al 21,0 %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[3]: +6 % sin Travel (seguros +4 % con más cambios de póliza aunque las primas de coche bajan un 5 %, Money y energía); Travel deja de consolidarse (−3 puntos de perímetro, «otros»).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(cambios de seguro de coche y hogar con primas ya bajas, préstamos y tarjetas, energía) y precio del 1 % (mezcla hacia productos de más comisión); consenso +3,6 % [36].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y precio del 1,5 %, en línea con el consenso (+3,7 % [36]); sin aportación de la aplicación ni del corredor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y precio del 1,5 %: crecimiento del mercado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1,5 % y precio del 1,5 %; cuota estable del 21 %.</w:t>
            </w:r>
          </w:p>
        </w:tc>
      </w:tr>
    </w:tbl>
    <w:p>
      <w:pPr>
        <w:spacing w:after="160" w:before="0"/>
      </w:pPr>
    </w:p>
    <w:p>
      <w:pPr>
        <w:spacing w:after="100"/>
      </w:pPr>
      <w:r>
        <w:t xml:space="preserve">El crecimiento proyectado (2,8 % medio) está muy por debajo del histórico (9 % anual en 2021-2025, con la compra de Quidco y la inflación de primas) y en línea con el mercado (2,7 % anual [15]); la cuota implícita en 2030e (21,4 %) es la de hoy. El negocio no necesita capital para crecer: la reinversión neta es negativa y el ROIC es del 35 % [14]. La prueba que importa no es el capital sino el canal: el crecimiento supone que Google sigue mandando tráfico a un coste que crece como las ventas. Pasa la prueba con la advertencia de que el foso se estrecha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 (base: 32,5 %)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(WACC: 10,5 %)</w:t>
            </w:r>
          </w:p>
        </w:tc>
      </w:tr>
    </w:tbl>
    <w:p>
      <w:pPr>
        <w:spacing w:after="160" w:before="0"/>
      </w:pPr>
    </w:p>
    <w:p>
      <w:pPr>
        <w:spacing w:after="100"/>
      </w:pPr>
      <w:r>
        <w:t xml:space="preserve">El DCF da 2,36 GBP por acción, un 17,6 % sobre el precio, con un WACC del 10,5 % y un valor terminal que pesa el 60 %. El DCF inverso dice que el precio descuenta un crecimiento del −0,2 % anual con nuestro margen, frente al 3,0 % de nuestro base: el mercado ya cuenta con que las ventas no crezcan nunca más. La rentabilidad implícita en el precio es del 12,0 %, por encima del WACC (10,5 %) y de lo que pide el mercado (9,4 %). Con la prima implícita del mercado (4,2 %), el DCF sube a 2,74 GBP.</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(ChatGPT, el modo IA de Google, Gemini) se convierten en la puerta de entrada a la compra de seguros y crédito: comparan y contratan sin pasar por MoneySuperMarket o lo hacen a cambio de una comisión mayor, y Google cobra más por el tráfico que queda. Ventas −1,5 % al año y margen del 29 %, con un WACC del 11 % y un crecimiento a perpetuidad del 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3 % al año con seguros, Money y energía; el coste por clic sigue subiendo pero lo compensan la automatización y la mezcla; el margen sube medio punto. La IA es un canal más, no un sustituto.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aplicación, SuperSaveClub y el acuerdo con OpenAI convierten a MoneySuperMarket en el proveedor de datos de precios de los asistentes y bajan la dependencia de Google: un punto y medio más de crecimiento y uno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GBP) · precio actual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2,13 GBP (+6,2 %).</w:t>
      </w:r>
    </w:p>
    <w:p>
      <w:pPr>
        <w:spacing w:after="100"/>
      </w:pPr>
      <w:r>
        <w:t xml:space="preserve">La asimetría es pobre: el alcista vale 2,64 GBP (+31,6 %) y el bajista 1,41 (−29,7 %), con un 30 % de probabilidad para el bajista por el riesgo de IA. El precio está más cerca del bajista que del base porque el mercado ya descuenta ventas planas. El valor ponderado (2,18 GBP) queda un 8,7 % sobre el precio.</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los cinco segmentos (seguros, dinero, servicios del hogar, cashback y viajes) comparten marca, base de clientes, tráfico de pago y la plataforma de datos; la empresa solo publica la contribución (ingresos menos marketing directo) por segmento y reparte los costes compartidos, de modo que un EBITDA por partes sería inventado. Quidco (cashback) y TravelSupermarket podrían venderse por separado, pero juntas son ≈ 13 % de los ingresos [1, 3].</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GBP) · precio actual 2,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2,18 GBP (+8,7 % sobre 2,01).</w:t>
      </w:r>
    </w:p>
    <w:p>
      <w:pPr>
        <w:spacing w:after="100"/>
      </w:pPr>
      <w:r>
        <w:t xml:space="preserve">Pesos: DCF 45 %, escenarios 40 % y comparables 15 %. El DCF es el método más fiable para un negocio de caja estable sin capital, pero depende del canal; los escenarios recogen la asimetría que da la IA. Los comparables pesan poco porque no hay ningún comparador puro cotizado: los portales de anuncios (Auto Trader, Rightmove) cotizan a 12-17 veces con márgenes del doble y los captadores de clientes de EE. UU. a 4-7 veces, con márgenes de un tercio; la mediana (8,9 veces) da 1,76 GBP [35]. Las transacciones no pesan: la última grande (GoCo, 2020) es de antes de la IA generativa. El valor ponderado (2,18 GBP) queda un 8,7 % sobre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(10.4x) a mitad de camino hacia la mediana de 5 años (11.9x)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r>
    </w:tbl>
    <w:p>
      <w:pPr>
        <w:spacing w:after="160" w:before="0"/>
      </w:pPr>
    </w:p>
    <w:p>
      <w:pPr>
        <w:spacing w:after="100"/>
      </w:pPr>
      <w:r>
        <w:rPr>
          <w:b/>
          <w:bCs/>
        </w:rPr>
        <w:t xml:space="preserve">Objetivo a 12 meses (ponderado):</w:t>
      </w:r>
      <w:r>
        <w:t xml:space="preserve"> 2,18 GBP · rentabilidad +15,0 % (base +19,0 %) · señal Comprar.</w:t>
      </w:r>
    </w:p>
    <w:p>
      <w:pPr>
        <w:spacing w:after="100"/>
      </w:pPr>
      <w:r>
        <w:t xml:space="preserve">Para comparar, con la regla v2 (historia al cierre, mismo precio): 10,3x / 10,4x / 13,5x, 13,5 %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(18,3 peniques) queda un 2 % por debajo del consenso (18,7) y el de 2027e (19,4) un 3 % por debajo (20,0) [35]: no incluimos recompras no anunciadas (la empresa recompró 30 M en 2025 y 25 M en 2026) y suponemos un gasto financiero algo mayor. En EBITDA estamos en el consenso (141 M en 2026e y 150 M en 2027e frente a 141 y 146 M ajustados [36]).</w:t>
      </w:r>
    </w:p>
    <w:p>
      <w:pPr>
        <w:keepNext/>
        <w:spacing w:after="100"/>
      </w:pPr>
      <w:r>
        <w:rPr>
          <w:b/>
          <w:bCs/>
        </w:rPr>
        <w:t xml:space="preserve">Del valor intrínseco al objetivo a 12 meses.</w:t>
      </w:r>
    </w:p>
    <w:p>
      <w:pPr>
        <w:spacing w:after="100"/>
      </w:pPr>
      <w:r>
        <w:t xml:space="preserve">El objetivo a 12 meses (2,18 GBP ponderado; 2,26 en el base) da un 15,0 % de rentabilidad ponderada con el dividendo (6,3 %) y un 19,0 % en el base (16 % y 20 % con el precio de hoy, 1,99 GBP), justo en el límite de los umbrales de compra (15 % y 12 %) [45]. El base no pide que el PER suba mucho: de 10,4 a 11,1 veces, a mitad de camino hacia su mediana adelantada de cinco años (11,9). Lo frágil es el BPA: con un 10 % menos, la rentabilidad cae al 5-9 %, y con un 5 % más de precio, al 10 %. Comprar por debajo de 2,01 GBP según la regla; la compra robusta pide 1,82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diciembre (estimado)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EBITDA de 2026 (consenso 140-148 M) y del coste por clic del segundo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(estimado)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año, guía de 2027, dividendo final y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CMA sobre la conducta de Google en el buscador (estatus de mercado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 clasificación justa podrían frenar el coste por clic y proteger el tráfico gratuito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Despliegue del modo IA de Google y de las compras dentro de ChatGPT en 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tráfico gratuito y más coste por clic, o un canal nuevo si MSM es proveedor de los asistentes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Moltiply (12 %) sube su participación o presenta una oferta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control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primas de coche: las primas bajan desde 2024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cambios de póliza cuando las primas suben; menos comisión media cuando bajan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el flujo libre sobrante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 de BPA al año si se repiten (no están en el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los asistentes (ChatGPT, modo IA de Google, Gemini) comparan y contratan seguros y crédito sin pasar por la web de MoneySuperMarket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 −50 % si se pierde la mitad del tráfico gratuito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OpenAI, aplicación en ChatGPT, base de 12,7 M de usuarios activos y SuperSaveClub; las aseguradoras necesitan un canal neutral que ya les funciona [10,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activos y visitas orgánicas a la baja dos semestres seguidos; tráfico de los modelos de lenguaje que no crece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Google: el coste por clic subió un 21 % en 2024 y en 2025 y ≈ 8 % a mitad de 2026; los AI Overviews empujan los resultados orgánicos hacia abajo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por cada 2 puntos de margen bruto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propias con tráfico directo (MoneySavingExpert, aplicación, SuperSaveClub), automatización de costes y queja ante la CMA [3,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62 %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primas de seguros de coche: las primas bajan desde 2024 (−9 % en 2025, −5 % en el semestre de 2026) y la comisión va con ellas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primas bajas hay menos cambios pero comisión fija por póliza; Money y energía compensan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por debajo del 0 % de crecimiento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Compare the Market (más grande y más rentable), Confused.com (RVU) y Go.Compare (Future) pujan por las mismas palabras clave en Google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cinco primeras tienen ≈ 75 % del mercado; MSE y Quidco diferencian [15, 16,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seguros de coche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IVA con HMRC: el método de recuperación acordado en 2012 se retiró en 2024 y la disputa sigue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Provisionado (5,6 M tras impuestos) y restado en el puente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liquidaciones por encima de lo provisionado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Quidco no rinde (contribución de 7,8 M sobre 104,6 M pagados) y la dirección busca compras «estratégicas»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reparten casi todo el flujo libre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pagada con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 el PER adelantado ha cotizado entre 10 y 20 veces en nueve años; si el mercado trata a MONY como un negocio en declive, puede quedarse en 8-9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−15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del 6,3 % y rentabilidad por flujo libre del 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PER sin caída del BPA</w:t>
            </w:r>
          </w:p>
        </w:tc>
      </w:tr>
    </w:tbl>
    <w:p>
      <w:pPr>
        <w:spacing w:after="160" w:before="0"/>
      </w:pPr>
    </w:p>
    <w:p>
      <w:pPr>
        <w:pStyle w:val="Heading2"/>
      </w:pPr>
      <w:r>
        <w:t xml:space="preserve">Pre-mortem</w:t>
      </w:r>
    </w:p>
    <w:p>
      <w:pPr>
        <w:spacing w:after="100"/>
      </w:pPr>
      <w:r>
        <w:t xml:space="preserve">Octubre de 2027: la acción ha perdido un 40 %. No fue un mal año de seguros, sino de canal: Google lanzó el modo IA por defecto en el Reino Unido y los anuncios de comparación pasaron debajo de una respuesta que ya daba precios; ChatGPT empezó a cerrar pólizas con las aseguradoras directamente, cobrando una comisión menor que la de MoneySuperMarket. Las visitas orgánicas cayeron un 25 % y, para mantener el volumen, MONY pagó más por clic: el margen bruto bajó al 58 % y el EBITDA a 125 M. La dirección culpó a las primas y anunció una compra para «diversificar». Las señales estaban: coste por clic subiendo un 21 % al año, usuarios activos −8 % en 2025 y el reconocimiento de que los modelos de lenguaje mandaban «tráfico muy limitado».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Amenaza · </w:t>
      </w:r>
      <w:r>
        <w:rPr>
          <w:b/>
          <w:bCs/>
        </w:rPr>
        <w:t xml:space="preserve">Efecto en valor (3-5 años):</w:t>
      </w:r>
      <w:r>
        <w:t xml:space="preserve"> −30 a −50 % a 3-5 años en el peor caso; −30 % en nuestro bajista</w:t>
      </w:r>
    </w:p>
    <w:p>
      <w:pPr>
        <w:spacing w:after="100"/>
      </w:pPr>
      <w:r>
        <w:t xml:space="preserve">Es el riesgo central de la tesis. MONY vive de ser la puerta de entrada a la compra de seguros, crédito y energía: el cliente busca en Google, entra en MoneySuperMarket, compara y la aseguradora le paga una comisión por póliza. Un asistente de IA que responde «la póliza más barata para tu coche es esta» y la contrata sin salir del chat le quita las dos cosas: el tráfico gratuito y el papel de comparador. Ya pasa en parte: Insurify compara seguros de coche dentro de ChatGPT desde febrero (la acción cayó un 8,6 % ese día [19]); los AI Overviews de Google empujan los resultados orgánicos hacia abajo y han subido el coste por clic un 21 % al año en 2024 y 2025, bajando el margen bruto del 66 % al 63 % [3, 10]; la dirección admite que los modelos de lenguaje le mandan «tráfico muy limitado» aunque una de cada cinco búsquedas británicas pasa ya por ellos [10]. En contra: los asistentes necesitan precios en tiempo real que solo dan las aseguradoras a través de los comparadores (MONY tiene acuerdo con OpenAI y aplicación en ChatGPT [11]); la regulación británica (FCA, consumer duty) pide comparación neutral; y MSE tiene una base propia de lectores. Pero el poder de negociación pasa a quien controla al usuario, y no es MONY: aunque sobreviva como proveedor de datos, cobrará menos por cliente. Por eso el bajista tiene un 30 % y la prima de riesgo lleva 0,5 puntos más.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Lo material para las cifras es la conducta con el consumidor y los datos: la empresa trata más de 40 datos personales por cada consulta de seguro de coche y más de 100 en casos complejos [10]; un incidente de datos o una sanción de la FCA por el deber del consumidor afectaría a la marca, que es su foso. El impacto ambiental es pequeño (oficinas; objetivo de cero emisiones operativas en 2030) [2].</w:t>
      </w:r>
    </w:p>
    <w:p>
      <w:pPr>
        <w:pStyle w:val="Heading2"/>
      </w:pPr>
      <w:r>
        <w:t xml:space="preserve">Controversias</w:t>
      </w:r>
    </w:p>
    <w:p>
      <w:pPr>
        <w:spacing w:after="100"/>
      </w:pPr>
      <w:r>
        <w:t xml:space="preserve">Sin sanciones ni litigios materiales en tres años; la empresa es demandada en «un pequeño número» de disputas propias de su actividad [2]. La disputa de IVA con HMRC está provisionada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visitas de 2026 llegan sin pago (directas, aplicación, MSE, correo) y cómo han evolucionado las orgánicas de Google desde los AI Overviews?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del riesgo de IA; la empresa no la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pólizas y qué ingresos vienen de la aplicación en ChatGPT y del acuerdo con OpenAI, y quién se queda la comisión?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canal o sustituto.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clic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coste por clic del segundo semestre de 2026 y qué margen bruto espera la dirección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es ≈ 4,5 M de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Moltiply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habido contactos con Moltiply sobre su 12 % y qué intención ha comunicado?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oferta daría prima; una venta en bloque, presión.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exposición máxima con HMRC por los años abiertos y cuándo se resolverá?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restamos 5,6 M; una cifra mayor iría al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Quidco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hay para Quidco tras dos años de caída de ingresos (−13 % en el semestre)?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Rinde por debajo del WACC; venderlo o integrarlo cambiaría poco el valor pero diría mucho de la disciplina.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(Stockwatch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¿Golpe existencial de la IA o miedo exagerado con un dividendo cubierto 1,4 veces? El autor ve la tendencia bajista y duda de que la recompra cree valor si el negocio decae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Money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rentabilidad por dividendo del 6,4 % se sostiene; el semestre no trae sorpresa y la caída del flujo operativo es lo que hay que vigilar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Media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23-sep fue por miedo a la IA agéntica en todos los portales, sin noticia de la empresa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UK (vía 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docena de artículos de agosto a octubre la presentan como acción de rentas del FTSE 250 con un 6,5-7,4 % de dividendo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City A.M. (comentario de AJ Bell)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«Reacciones instintivas» de inversores que temen que la IA se coma a corredores y comparadores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dejará sin tráfico a los comparadores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aún no visible en las cifras: ingresos sin Travel +6 % en el semestre; la dirección admite tráfico «muy limitado» desde los modelos de lenguaje. Lo que sí se ve es el coste de Google [21,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alto y cubierto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12,63 peniques con BPA ajustado de 17,9: cobertura de 1,4 veces; el flujo libre (≈ 95 M) cubre dividendo y recompra [43,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en un negocio que no crece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a un PER de ≈ 10 sube el BPA un 2-3 % al año si el beneficio aguanta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Quidco no ha funcionado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el cashback ingresa 52,7 M en 2025 frente a 57,6 M en 2022 [32].</w:t>
            </w:r>
          </w:p>
        </w:tc>
      </w:tr>
    </w:tbl>
    <w:p>
      <w:pPr>
        <w:spacing w:after="160" w:before="0"/>
      </w:pPr>
    </w:p>
    <w:p>
      <w:pPr>
        <w:spacing w:after="100"/>
      </w:pPr>
      <w:r>
        <w:t xml:space="preserve">El inversor particular la ve como acción de rentas con un riesgo de IA que no sabe medir; no hay euforia ni capitulación (la acción ya ha recuperado un 38,8 % desde el mínimo de febrero). El sentimiento no aporta un riesgo que el informe no tenga: coincide en que la IA es el tema central y en que el dividendo es el soporte. No contradice al consenso de analistas (7 de 11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46 (30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21,4 % en 2030e frente al 21,0 %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-1,5 % frente a -2,4 % real: genera una variación de circulante de 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13,5 %: para comprar o ampliar hace falta motivo de negocio propio; para mantener basta la vigente. Explicación: La regla vigente (v3, historia adelantada) da Comprar con un 15,0 % ponderado y un 19,0 % en el base al cierre del 20-oct (16 % y 20 % al precio de hoy), pero la v2 (historia al cierre) da Mantener con un 13,5-14,4 % y el caso con el BPA 10 % más bajo cae al 5-9 %: no es compra robusta. El límite común en el que v3 y v2 dan Comprar aun con el BPA −10 % es 1,82 GBP (nivel A; 1,90 para B1), un 9 % por debajo del precio de hoy [45]. Se mantiene la señal de la regla vigente en el informe y se comunica la acción robusta (Mantener) en el resumen.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riesgo de liquidez del informe anual 2023 (solo 2022-2023); 2) presentación de resultados de 2021 (no da el pasivo por arrendamiento); 3) XBRL ESEF (cuentas.mjs no trae el concepto)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Confused.com y Uswitch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de RVU en prensa; 2) comunicado de Admiral de 2021 (503 de la web); 3) Insurance Insider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Admiral (sin beneficio del perímetro vendido); 2) prensa sobre RVU y Uswitch (sin cifras); 3) operaciones de comparadores europeos (Moltiply, Check24: privadas o sin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compilado por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analyst-consensus (aviso legal que bloquea la descarga); 2) descarga con cookie; 3) MarketScreener y Yahoo como sustitutos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year ended 31 December 2025 (cuentas, segmentos, partidas no recurrentes, BPA ajustado, deuda,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https://www.monygroup.com/application/files/4417/7183/0120/Preliminary_2025_Statement_-_MONY_Group_-_23rd_February_2026.pdf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(ESEF): notas de arrendamientos, vencimientos, covenants, intangibles, auditor,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MONY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https://filings.xbrl.org/54930016B7VO33FBE722/2025-12-31/ESEF/GB/0/54930016B7VO33FBE722-2025-12-31/reports/54930016B7VO33FBE722-2025-12-31-T01.xhtml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30 June 2026 (cuentas semestrales, segmentos, deuda neta, IVA con HMRC, PPC)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https://www.monygroup.com/application/files/1417/8461/3686/Interim_2026_Statement_-_MONY_Group_-_21st_July_2026_-_FFV.pdf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https://www.monygroup.com/application/files/6817/5307/6582/Interim_2025_Statement_-_MONY_Group_-_21_July_2025.pdf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31 December 2024 (2023 reexpresado con el 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https://www.monygroup.com/application/files/1317/3977/6070/Preliminary_2024_Statement_-_MONY_Group_-_17th_February_2025.pdf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https://www.monygroup.com/application/files/2217/1319/0666/preliminary-results-2023.pdf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preliminary results statement (compra de Quidco, segmentos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Moneysupermarket.com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https://www.monygroup.com/application/files/4517/1319/6419/fy22-prelims-results-statement.pdf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FY2021 results presentation (EBITDA ajustado 2020-2021, BPA ajustado, deuda neta y Quidco)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Moneysupermarket.com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https://www.monygroup.com/investors/results-reports-and-presentations/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2023 (ESEF): arrendamientos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Moneysupermarket.com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https://filings.xbrl.org/54930016B7VO33FBE722/2023-12-31/ESEF/GB/0/54930016B7VO33FBE722-2023-12-31/reports/54930016B7VO33FBE722-2023-12-31-T01.xhtml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Presentation and Q&amp;A, 21 July 2026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https://www.monygroup.com/application/files/1317/8765/0531/Transcripts_-_MONY_Group_-_Interim_Results_Presentation_and_Q_and_A_-_21st_July_2026.pdf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2025 Results Presentation and Q&amp;A, 23 February 2026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https://www.monygroup.com/application/files/3117/7305/0612/Combined_Transcripts_-_Prelim_Presentation_and_Prelim_Q_and_A_-_Monday_23rd_February_2026.pdf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2019 y 2018 (BPA ajustado 2018-2019)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Moneysupermarket.com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https://www.monygroup.com/application/files/3717/1378/7808/preliminary-2019-pr.pdf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a 30 de septiembre de 2026 (511.634.063 acciones, sin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https://www.investegate.co.uk/announcement/rns/moneysupermarket-com-group--mony/total-voting-rights/9799585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ESEF de MONY Group 2020-2025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https://filings.xbrl.org/api/filings?filter[entity.identifier]=54930016B7VO33FBE722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Price Comparison Websites in the UK - Industry Analysis 2026 (resumen público: tamaño, crecimiento,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https://www.ibisworld.com/united-kingdom/industry/price-comparison-websites/6258/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Compare The Market: higher premiums help profit pass £200m (cuentas de Companies House del ejercicio a 30-jun-2024)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https://www.cityam.com/?p=2319536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plc 2025 full year results (Go.Compare: ingresos 191,8 M GBP,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https://futureplc.com/wp-content/uploads/2025/12/Future-plc-2025-FULL-YEAR-RESULTS.pdf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GoCo Group plc preliminary results for the year ended 31 December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GoCo Group plc (archivo de Future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https://futureplc.com/wp-content/uploads/2021/09/goco-group-preliminary-results-2019_press-release.pdf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Supermarket shares tumble to 13-year low on AI fears (Insurify en ChatGPT)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https://www.cityam.com/money-supermarket-shares-tumble-to-13-year-low-on-ai-fears/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Berenberg: la caída de Mony y Future por la aplicación de Insurify es exagerada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Widows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https://www.investments.scottishwidows.co.uk/research-centre/market-news/article/?id=21661002&amp;type=bsm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agentic AI fears really behind the sharp fall in MONY Group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https://kalkinemedia.com/uk/stocks/growth/are-agentic-ai-fears-really-behind-the-sharp-fall-in-mony-group-lsemony-shares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MoneySuperMarket's Response to the CMA Google Consultation (conducta de clasificación justa en el buscador)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MoneySuperMarket (CMA,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https://assets.publishing.service.gov.uk/media/69b970db635612b767a46665/MoneySuperMarket.pdf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(ingresos y EBITDA de los últimos 12 meses de los competidores cotizados)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https://finance.yahoo.com/quote/FUTR.L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(votos de la política de remuneración y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https://www.investegate.co.uk/announcement/rns/moneysupermarket-com-group--mony/result-of-agm/9546846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Changes: Emma Lloyd entra y Sarah Warby sale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https://www.investegate.co.uk/announcement/rns/moneysupermarket-com-group--mony/directorate-changes/9675793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Moltiply Group SpA llega al 12,02 % (9-jun-2026)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https://www.investegate.co.uk/announcement/rns/moneysupermarket-com-group--mony/holding-s-in-company/9611929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5,92 %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https://www.investegate.co.uk/announcement/rns/moneysupermarket-com-group--mony/holding-s-in-company/9811095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JPMorgan Asset Management 5,82 %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https://www.investegate.co.uk/announcement/rns/moneysupermarket-com-group--mony/holding-s-in-company/9831747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 para impuestos de Michael Phillips y concesión de acciones (30-mar-2026)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https://www.investegate.co.uk/announcement/rns/moneysupermarket-com-group--mony/director-pdmr-shareholding/9500942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Peter Duffy, venta y recompra inmediata («bed and ISA») de 12.118 acciones (10-abr-2026)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https://www.investegate.co.uk/announcement/rns/moneysupermarket-com-group--mony/director-pdmr-shareholding/9515502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mensuales del plan de acciones de empleados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https://www.investegate.co.uk/announcement/rns/moneysupermarket-com-group--mony/director-pdmr-shareholding/9562194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enigmatic share offering 8.5% yield (compra de 20.000 GBP de un consejero no ejecutivo a 158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https://www.ii.co.uk/analysis-commentary/stockwatch-enigmatic-share-offering-85-yield-ii538232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Statement 2025 (consenso de 2025 rebajado a 142,7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https://www.monygroup.com/application/files/1417/6474/5013/MONY_Group_-_December_Statement_-_3rd_December_2025.pdf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MONY.L, ^FTMC y ^FTAS (precio, rango, volumen, beta,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https://finance.yahoo.com/quote/MONY.L/history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MONY.L y de los comparables (BPA esperado, recomendaciones, objetivo medio,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https://finance.yahoo.com/quote/MONY.L/analysis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plc: estimaciones anuales 2026-2028 (ingresos, EBITDA, EBIT, BPA, dividendo, caja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https://www.marketscreener.com/quote/stock/MONY-GROUP-PLC-4007304/finances/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del gilt a 10 años (serie IUDMNPY), 1 a 16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(IADB)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1,1215; GBP 0,84028; SEK 11,123)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plc: recommended offer for GoCo Group plc (594 M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https://futureplc.com/?p=4296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Admiral and Mapfre to sell comparison sites to RVU for £508mn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https://insuranceinsider.com/articles/137485/admiral-and-mapfre-to-sell-comparison-sites-to-rvu-for-508mn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Posiciones cortas netas notificadas a la FCA (histórico), MONY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https://www.fca.org.uk/markets/short-selling/notification-disclosure-net-short-positions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MONY Group dividend yield holds up as shares slip 5% on H1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https://www.abcmoney.co.uk/2026/08/mony-group-dividend-yield-holds-up-as-shares-slip-5-on-h1-results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MarketBeat sobre MONY (artículos de Motley Fool UK sobre el dividendo,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https://www.marketbeat.com/stocks/LON/MONY/news/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del BPA ajustado 2026e-2028e y de la historia del PER (notas/propio.mjs)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informes/mony-2026-10-21/notas/propio.mjs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MONY.L (herramientas/movimiento.mjs): variaciones, máximos, tendencia y avisos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informes/mony-2026-10-21/notas/movimiento.txt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GBP, ejercicio natural; cuentas de 2021-2025 del XBRL ESEF de la empresa [14] contrastadas con los resultados anuales [1, 5, 6, 7] y el semestre de 2026 [3]; los arrendamientos de 2021 no están en el XBRL y quedan sin dato [9]. Precio del informe: cierre del 20-oct-2026 (200,6 peniques = 2,006 GBP); la sesión del 21-oct estaba abierta al hacer el análisis (199,3 peniques a las 07:18 UTC y 198,9 a las 08:00 UTC [35]) y la decisión se comprueba con ese precio en las pruebas de robustez. Yahoo cotiza en peniques: se divide entre 100. Acciones: 511,6 M en circulación el 30-sep-2026 [13] más ≈ 2,8 M de dilución de planes (514,4 M). El BPA de la regla a 12 meses y su historia están en la base AJUSTADA de la empresa (sin amortización de intangibles comprados, IVA irrecuperable ni partidas no recurrentes), la misma que el consenso; el DCF trata el IVA irrecuperable como un coste que se repite (−0,5 a −1,0 puntos de margen). La empresa no publica EBITDA por segmento: su «contribución» es ingresos menos marketing directo, y los costes compartidos se restan aparte [1]. Calificación crediticia: no tiene. El consenso detallado de la propia empresa está detrás de un aviso legal: se usan Yahoo y MarketScreener [35, 36]. Precio de una acción en EUR: ≈ 2,39 EUR (0,84028 GBP por EUR [39]); 1.000 EUR son ≈ 420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MONY Group PLC (MONY)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(1,40 – 2,14)</c:v>
                </c:pt>
                <c:pt idx="1">
                  <c:v>Precio objetivo de los analistas (1,80 – 3,00)</c:v>
                </c:pt>
                <c:pt idx="2">
                  <c:v>Comparables: PER NTM (1,38 – 3,04)</c:v>
                </c:pt>
                <c:pt idx="3">
                  <c:v>DCF (WACC y g ± 0,5) (2,15 – 2,63)</c:v>
                </c:pt>
                <c:pt idx="4">
                  <c:v>Escenarios (bajista – alcista) (1,41 – 2,64)</c:v>
                </c:pt>
                <c:pt idx="5">
                  <c:v>DCF con la prima implícita del mercado (4,2 %)</c:v>
                </c:pt>
                <c:pt idx="6">
                  <c:v>Precio actual (2,01)</c:v>
                </c:pt>
              </c:strCache>
            </c:strRef>
          </c:cat>
          <c:val>
            <c:numRef>
              <c:f>Hoja1!$B$2:$B$8</c:f>
              <c:numCache>
                <c:formatCode>#,##0.00</c:formatCode>
                <c:ptCount val="7"/>
                <c:pt idx="0">
                  <c:v>1.4</c:v>
                </c:pt>
                <c:pt idx="1">
                  <c:v>1.8</c:v>
                </c:pt>
                <c:pt idx="2">
                  <c:v>1.38</c:v>
                </c:pt>
                <c:pt idx="3">
                  <c:v>2.15</c:v>
                </c:pt>
                <c:pt idx="4">
                  <c:v>1.41</c:v>
                </c:pt>
                <c:pt idx="5">
                  <c:v>2.56</c:v>
                </c:pt>
                <c:pt idx="6">
                  <c:v>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(1,40 – 2,14)</c:v>
                </c:pt>
                <c:pt idx="1">
                  <c:v>Precio objetivo de los analistas (1,80 – 3,00)</c:v>
                </c:pt>
                <c:pt idx="2">
                  <c:v>Comparables: PER NTM (1,38 – 3,04)</c:v>
                </c:pt>
                <c:pt idx="3">
                  <c:v>DCF (WACC y g ± 0,5) (2,15 – 2,63)</c:v>
                </c:pt>
                <c:pt idx="4">
                  <c:v>Escenarios (bajista – alcista) (1,41 – 2,64)</c:v>
                </c:pt>
                <c:pt idx="5">
                  <c:v>DCF con la prima implícita del mercado (4,2 %)</c:v>
                </c:pt>
                <c:pt idx="6">
                  <c:v>Precio actual (2,01)</c:v>
                </c:pt>
              </c:strCache>
            </c:strRef>
          </c:cat>
          <c:val>
            <c:numRef>
              <c:f>Hoja1!$C$2:$C$8</c:f>
              <c:numCache>
                <c:formatCode>#,##0.00</c:formatCode>
                <c:ptCount val="7"/>
                <c:pt idx="0">
                  <c:v>0.7400000000000002</c:v>
                </c:pt>
                <c:pt idx="1">
                  <c:v>1.2</c:v>
                </c:pt>
                <c:pt idx="2">
                  <c:v>1.6600000000000001</c:v>
                </c:pt>
                <c:pt idx="3">
                  <c:v>0.48</c:v>
                </c:pt>
                <c:pt idx="4">
                  <c:v>1.2300000000000002</c:v>
                </c:pt>
                <c:pt idx="5">
                  <c:v>0.3799999999999999</c:v>
                </c:pt>
                <c:pt idx="6">
                  <c:v>0.020000000000000018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00000000000000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Insurance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158.7</c:v>
                </c:pt>
                <c:pt idx="1">
                  <c:v>172</c:v>
                </c:pt>
                <c:pt idx="2">
                  <c:v>220</c:v>
                </c:pt>
                <c:pt idx="3">
                  <c:v>235.6</c:v>
                </c:pt>
                <c:pt idx="4">
                  <c:v>232.5</c:v>
                </c:pt>
              </c:numCache>
            </c:numRef>
          </c:val>
        </c:ser>
        <c:ser>
          <c:idx val="1"/>
          <c:order val="1"/>
          <c:tx>
            <c:strRef>
              <c:f>Hoja1!$C$1</c:f>
              <c:strCache>
                <c:ptCount val="1"/>
                <c:pt idx="0">
                  <c:v>Money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75.2</c:v>
                </c:pt>
                <c:pt idx="1">
                  <c:v>103.3</c:v>
                </c:pt>
                <c:pt idx="2">
                  <c:v>100.2</c:v>
                </c:pt>
                <c:pt idx="3">
                  <c:v>97.8</c:v>
                </c:pt>
                <c:pt idx="4">
                  <c:v>105.7</c:v>
                </c:pt>
              </c:numCache>
            </c:numRef>
          </c:val>
        </c:ser>
        <c:ser>
          <c:idx val="2"/>
          <c:order val="2"/>
          <c:tx>
            <c:strRef>
              <c:f>Hoja1!$D$1</c:f>
              <c:strCache>
                <c:ptCount val="1"/>
                <c:pt idx="0">
                  <c:v>Home Services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68.1</c:v>
                </c:pt>
                <c:pt idx="1">
                  <c:v>39.8</c:v>
                </c:pt>
                <c:pt idx="2">
                  <c:v>39</c:v>
                </c:pt>
                <c:pt idx="3">
                  <c:v>36.1</c:v>
                </c:pt>
                <c:pt idx="4">
                  <c:v>48.2</c:v>
                </c:pt>
              </c:numCache>
            </c:numRef>
          </c:val>
        </c:ser>
        <c:ser>
          <c:idx val="3"/>
          <c:order val="3"/>
          <c:tx>
            <c:strRef>
              <c:f>Hoja1!$E$1</c:f>
              <c:strCache>
                <c:ptCount val="1"/>
                <c:pt idx="0">
                  <c:v>Cashback</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10.6</c:v>
                </c:pt>
                <c:pt idx="1">
                  <c:v>57.6</c:v>
                </c:pt>
                <c:pt idx="2">
                  <c:v>59.8</c:v>
                </c:pt>
                <c:pt idx="3">
                  <c:v>60.8</c:v>
                </c:pt>
                <c:pt idx="4">
                  <c:v>52.7</c:v>
                </c:pt>
              </c:numCache>
            </c:numRef>
          </c:val>
        </c:ser>
        <c:ser>
          <c:idx val="4"/>
          <c:order val="4"/>
          <c:tx>
            <c:strRef>
              <c:f>Hoja1!$F$1</c:f>
              <c:strCache>
                <c:ptCount val="1"/>
                <c:pt idx="0">
                  <c:v>Travel</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4.1</c:v>
                </c:pt>
                <c:pt idx="1">
                  <c:v>14.9</c:v>
                </c:pt>
                <c:pt idx="2">
                  <c:v>20.6</c:v>
                </c:pt>
                <c:pt idx="3">
                  <c:v>19.6</c:v>
                </c:pt>
                <c:pt idx="4">
                  <c:v>17.6</c:v>
                </c:pt>
              </c:numCache>
            </c:numRef>
          </c:val>
        </c:ser>
        <c:ser>
          <c:idx val="5"/>
          <c:order val="5"/>
          <c:tx>
            <c:strRef>
              <c:f>Hoja1!$G$1</c:f>
              <c:strCache>
                <c:ptCount val="1"/>
                <c:pt idx="0">
                  <c:v>Costes compartidos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0</c:v>
                </c:pt>
                <c:pt idx="1">
                  <c:v>0</c:v>
                </c:pt>
                <c:pt idx="2">
                  <c:v>0</c:v>
                </c:pt>
                <c:pt idx="3">
                  <c:v>0</c:v>
                </c:pt>
                <c:pt idx="4">
                  <c:v>0</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0</c:v>
                </c:pt>
                <c:pt idx="1">
                  <c:v>0</c:v>
                </c:pt>
                <c:pt idx="2">
                  <c:v>-7.5</c:v>
                </c:pt>
                <c:pt idx="3">
                  <c:v>-10.7</c:v>
                </c:pt>
                <c:pt idx="4">
                  <c:v>-10.4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Insurance</c:v>
                </c:pt>
                <c:pt idx="1">
                  <c:v>Money</c:v>
                </c:pt>
                <c:pt idx="2">
                  <c:v>Home Services</c:v>
                </c:pt>
                <c:pt idx="3">
                  <c:v>Cashback</c:v>
                </c:pt>
                <c:pt idx="4">
                  <c:v>Travel</c:v>
                </c:pt>
                <c:pt idx="5">
                  <c:v>Costes compartidos</c:v>
                </c:pt>
                <c:pt idx="6">
                  <c:v>Eliminaciones</c:v>
                </c:pt>
              </c:strCache>
            </c:strRef>
          </c:cat>
          <c:val>
            <c:numRef>
              <c:f>Hoja1!$B$2:$B$8</c:f>
              <c:numCache>
                <c:formatCode>General</c:formatCode>
                <c:ptCount val="7"/>
                <c:pt idx="0">
                  <c:v>52.1</c:v>
                </c:pt>
                <c:pt idx="1">
                  <c:v>23.7</c:v>
                </c:pt>
                <c:pt idx="2">
                  <c:v>10.8</c:v>
                </c:pt>
                <c:pt idx="3">
                  <c:v>11.8</c:v>
                </c:pt>
                <c:pt idx="4">
                  <c:v>3.9</c:v>
                </c:pt>
                <c:pt idx="5">
                  <c:v>0</c:v>
                </c:pt>
                <c:pt idx="6">
                  <c:v>-2.3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(estimación propia a partir del TCAC de IBISWorld))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c:v>
                </c:pt>
                <c:pt idx="3">
                  <c:v>2025</c:v>
                </c:pt>
                <c:pt idx="4">
                  <c:v>2026</c:v>
                </c:pt>
                <c:pt idx="5">
                  <c:v>2027e</c:v>
                </c:pt>
                <c:pt idx="6">
                  <c:v>2028e</c:v>
                </c:pt>
              </c:strCache>
            </c:strRef>
          </c:cat>
          <c:val>
            <c:numRef>
              <c:f>Hoja1!$B$2:$B$8</c:f>
              <c:numCache>
                <c:formatCode>#,##0</c:formatCode>
                <c:ptCount val="7"/>
                <c:pt idx="0">
                  <c:v>1890</c:v>
                </c:pt>
                <c:pt idx="1">
                  <c:v>1940</c:v>
                </c:pt>
                <c:pt idx="2">
                  <c:v>1950</c:v>
                </c:pt>
                <c:pt idx="3">
                  <c:v>1995</c:v>
                </c:pt>
                <c:pt idx="4">
                  <c:v>2100</c:v>
                </c:pt>
                <c:pt idx="5">
                  <c:v>2160</c:v>
                </c:pt>
                <c:pt idx="6">
                  <c:v>2220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5</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MONY Group</c:v>
                </c:pt>
                <c:pt idx="1">
                  <c:v>Compare the Market (BGL Group)</c:v>
                </c:pt>
                <c:pt idx="2">
                  <c:v>Go.Compare (Future plc)</c:v>
                </c:pt>
                <c:pt idx="3">
                  <c:v>Confused.com (RVU, ZPG)</c:v>
                </c:pt>
                <c:pt idx="4">
                  <c:v>Uswitch (RVU, ZPG)</c:v>
                </c:pt>
                <c:pt idx="5">
                  <c:v>TopCashback</c:v>
                </c:pt>
              </c:strCache>
            </c:strRef>
          </c:cat>
          <c:val>
            <c:numRef>
              <c:f>Hoja1!$B$2:$B$7</c:f>
              <c:numCache>
                <c:formatCode>0.0"%"</c:formatCode>
                <c:ptCount val="6"/>
                <c:pt idx="0">
                  <c:v>27.3</c:v>
                </c:pt>
                <c:pt idx="1">
                  <c:v>39.3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316.7</c:v>
                </c:pt>
                <c:pt idx="1">
                  <c:v>387.6</c:v>
                </c:pt>
                <c:pt idx="2">
                  <c:v>432.1</c:v>
                </c:pt>
                <c:pt idx="3">
                  <c:v>439.2</c:v>
                </c:pt>
                <c:pt idx="4">
                  <c:v>446.3</c:v>
                </c:pt>
                <c:pt idx="5">
                  <c:v>452</c:v>
                </c:pt>
                <c:pt idx="6">
                  <c:v>468</c:v>
                </c:pt>
                <c:pt idx="7">
                  <c:v>484</c:v>
                </c:pt>
                <c:pt idx="8">
                  <c:v>499</c:v>
                </c:pt>
                <c:pt idx="9">
                  <c:v>514</c:v>
                </c:pt>
                <c:pt idx="10">
                  <c:v>527</c:v>
                </c:pt>
                <c:pt idx="11">
                  <c:v>540</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100.5</c:v>
                </c:pt>
                <c:pt idx="1">
                  <c:v>115.5</c:v>
                </c:pt>
                <c:pt idx="2">
                  <c:v>132.9</c:v>
                </c:pt>
                <c:pt idx="3">
                  <c:v>141.8</c:v>
                </c:pt>
                <c:pt idx="4">
                  <c:v>145.1</c:v>
                </c:pt>
                <c:pt idx="5">
                  <c:v>141</c:v>
                </c:pt>
                <c:pt idx="6">
                  <c:v>150</c:v>
                </c:pt>
                <c:pt idx="7">
                  <c:v>156</c:v>
                </c:pt>
                <c:pt idx="8">
                  <c:v>162</c:v>
                </c:pt>
                <c:pt idx="9">
                  <c:v>167</c:v>
                </c:pt>
                <c:pt idx="10">
                  <c:v>171</c:v>
                </c:pt>
                <c:pt idx="11">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70.4</c:v>
                </c:pt>
                <c:pt idx="1">
                  <c:v>67.7</c:v>
                </c:pt>
                <c:pt idx="2">
                  <c:v>67.7</c:v>
                </c:pt>
                <c:pt idx="3">
                  <c:v>66.2</c:v>
                </c:pt>
                <c:pt idx="4">
                  <c:v>64.4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31.7</c:v>
                </c:pt>
                <c:pt idx="1">
                  <c:v>29.8</c:v>
                </c:pt>
                <c:pt idx="2">
                  <c:v>30.8</c:v>
                </c:pt>
                <c:pt idx="3">
                  <c:v>32.3</c:v>
                </c:pt>
                <c:pt idx="4">
                  <c:v>32.5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24.3</c:v>
                </c:pt>
                <c:pt idx="1">
                  <c:v>23</c:v>
                </c:pt>
                <c:pt idx="2">
                  <c:v>22.7</c:v>
                </c:pt>
                <c:pt idx="3">
                  <c:v>26.5</c:v>
                </c:pt>
                <c:pt idx="4">
                  <c:v>27.3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16.6</c:v>
                </c:pt>
                <c:pt idx="1">
                  <c:v>17.6</c:v>
                </c:pt>
                <c:pt idx="2">
                  <c:v>16.8</c:v>
                </c:pt>
                <c:pt idx="3">
                  <c:v>18.4</c:v>
                </c:pt>
                <c:pt idx="4">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0.8</c:v>
                </c:pt>
                <c:pt idx="3">
                  <c:v>2.5</c:v>
                </c:pt>
                <c:pt idx="4">
                  <c:v>0.8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4">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c:v>
                </c:pt>
                <c:pt idx="1">
                  <c:v>60</c:v>
                </c:pt>
                <c:pt idx="2">
                  <c:v>67</c:v>
                </c:pt>
                <c:pt idx="3">
                  <c:v>69</c:v>
                </c:pt>
                <c:pt idx="4">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365</c:v>
                </c:pt>
                <c:pt idx="1">
                  <c:v>290</c:v>
                </c:pt>
                <c:pt idx="2">
                  <c:v>270</c:v>
                </c:pt>
                <c:pt idx="3">
                  <c:v>257</c:v>
                </c:pt>
                <c:pt idx="4">
                  <c:v>225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51.50000000000001</c:v>
                </c:pt>
                <c:pt idx="1">
                  <c:v>86.2</c:v>
                </c:pt>
                <c:pt idx="2">
                  <c:v>83.2</c:v>
                </c:pt>
                <c:pt idx="3">
                  <c:v>93.8</c:v>
                </c:pt>
                <c:pt idx="4">
                  <c:v>91.7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52.7</c:v>
                </c:pt>
                <c:pt idx="1">
                  <c:v>68.3</c:v>
                </c:pt>
                <c:pt idx="2">
                  <c:v>72.7</c:v>
                </c:pt>
                <c:pt idx="3">
                  <c:v>80.6</c:v>
                </c:pt>
                <c:pt idx="4">
                  <c:v>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22.6</c:v>
                </c:pt>
                <c:pt idx="1">
                  <c:v>27.7</c:v>
                </c:pt>
                <c:pt idx="2">
                  <c:v>28.5</c:v>
                </c:pt>
                <c:pt idx="3">
                  <c:v>31.8</c:v>
                </c:pt>
                <c:pt idx="4">
                  <c:v>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10.5</c:v>
                </c:pt>
                <c:pt idx="1">
                  <c:v>10.5</c:v>
                </c:pt>
                <c:pt idx="2">
                  <c:v>10.5</c:v>
                </c:pt>
                <c:pt idx="3">
                  <c:v>10.5</c:v>
                </c:pt>
                <c:pt idx="4">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25.9</c:v>
                </c:pt>
                <c:pt idx="1">
                  <c:v>33.2</c:v>
                </c:pt>
                <c:pt idx="2">
                  <c:v>33.9</c:v>
                </c:pt>
                <c:pt idx="3">
                  <c:v>35</c:v>
                </c:pt>
                <c:pt idx="4">
                  <c:v>34.8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0.45</c:v>
                </c:pt>
                <c:pt idx="1">
                  <c:v>0.48</c:v>
                </c:pt>
                <c:pt idx="2">
                  <c:v>0.33</c:v>
                </c:pt>
                <c:pt idx="3">
                  <c:v>0.17</c:v>
                </c:pt>
                <c:pt idx="4">
                  <c:v>0.09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2028</c:v>
                </c:pt>
              </c:strCache>
            </c:strRef>
          </c:cat>
          <c:val>
            <c:numRef>
              <c:f>Hoja1!$B$2</c:f>
              <c:numCache>
                <c:formatCode>#,##0</c:formatCode>
                <c:ptCount val="1"/>
                <c:pt idx="0">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59.3</c:v>
                </c:pt>
                <c:pt idx="1">
                  <c:v>5.3</c:v>
                </c:pt>
                <c:pt idx="2">
                  <c:v>10</c:v>
                </c:pt>
                <c:pt idx="3">
                  <c:v>0</c:v>
                </c:pt>
                <c:pt idx="4">
                  <c:v>1.3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62.8</c:v>
                </c:pt>
                <c:pt idx="1">
                  <c:v>62.8</c:v>
                </c:pt>
                <c:pt idx="2">
                  <c:v>63.4</c:v>
                </c:pt>
                <c:pt idx="3">
                  <c:v>65.5</c:v>
                </c:pt>
                <c:pt idx="4">
                  <c:v>66.9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0.3</c:v>
                </c:pt>
                <c:pt idx="1">
                  <c:v>0.3</c:v>
                </c:pt>
                <c:pt idx="2">
                  <c:v>0.5</c:v>
                </c:pt>
                <c:pt idx="3">
                  <c:v>0</c:v>
                </c:pt>
                <c:pt idx="4">
                  <c:v>30.2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Moltiply Group SpA (Facile.it, Italia)</c:v>
                </c:pt>
                <c:pt idx="1">
                  <c:v>BlackRock, Inc.</c:v>
                </c:pt>
                <c:pt idx="2">
                  <c:v>JPMorgan Asset Management</c:v>
                </c:pt>
                <c:pt idx="3">
                  <c:v>Prudential plc (M&amp;G)</c:v>
                </c:pt>
                <c:pt idx="4">
                  <c:v>Allianz Global Investors</c:v>
                </c:pt>
                <c:pt idx="5">
                  <c:v>Massachusetts Financial Services</c:v>
                </c:pt>
                <c:pt idx="6">
                  <c:v>Autocartera</c:v>
                </c:pt>
              </c:strCache>
            </c:strRef>
          </c:cat>
          <c:val>
            <c:numRef>
              <c:f>Hoja1!$B$2:$B$8</c:f>
              <c:numCache>
                <c:formatCode>0.0"%"</c:formatCode>
                <c:ptCount val="7"/>
                <c:pt idx="0">
                  <c:v>12</c:v>
                </c:pt>
                <c:pt idx="1">
                  <c:v>5.92</c:v>
                </c:pt>
                <c:pt idx="2">
                  <c:v>5.82</c:v>
                </c:pt>
                <c:pt idx="3">
                  <c:v>5.07</c:v>
                </c:pt>
                <c:pt idx="4">
                  <c:v>4.99</c:v>
                </c:pt>
                <c:pt idx="5">
                  <c:v>4.98</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21.1</c:v>
                </c:pt>
                <c:pt idx="2">
                  <c:v>-22.7</c:v>
                </c:pt>
                <c:pt idx="3">
                  <c:v>20</c:v>
                </c:pt>
                <c:pt idx="4">
                  <c:v>-21.2</c:v>
                </c:pt>
                <c:pt idx="5">
                  <c:v>-17.1</c:v>
                </c:pt>
                <c:pt idx="6">
                  <c:v>-10.9</c:v>
                </c:pt>
                <c:pt idx="7">
                  <c:v>45.6</c:v>
                </c:pt>
                <c:pt idx="8">
                  <c:v>-31.4</c:v>
                </c:pt>
                <c:pt idx="9">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3.7</c:v>
                </c:pt>
                <c:pt idx="1">
                  <c:v>14.7</c:v>
                </c:pt>
                <c:pt idx="2">
                  <c:v>-15.6</c:v>
                </c:pt>
                <c:pt idx="3">
                  <c:v>25</c:v>
                </c:pt>
                <c:pt idx="4">
                  <c:v>-6.4</c:v>
                </c:pt>
                <c:pt idx="5">
                  <c:v>14.6</c:v>
                </c:pt>
                <c:pt idx="6">
                  <c:v>-19.7</c:v>
                </c:pt>
                <c:pt idx="7">
                  <c:v>4.4</c:v>
                </c:pt>
                <c:pt idx="8">
                  <c:v>4.7</c:v>
                </c:pt>
                <c:pt idx="9">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c:v>
                </c:pt>
                <c:pt idx="1">
                  <c:v>9.5</c:v>
                </c:pt>
                <c:pt idx="2">
                  <c:v>11.7</c:v>
                </c:pt>
                <c:pt idx="3">
                  <c:v>7.5</c:v>
                </c:pt>
                <c:pt idx="4">
                  <c:v>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9.5</c:v>
                </c:pt>
                <c:pt idx="1">
                  <c:v>9.5</c:v>
                </c:pt>
                <c:pt idx="2">
                  <c:v>9.5</c:v>
                </c:pt>
                <c:pt idx="3">
                  <c:v>9.5</c:v>
                </c:pt>
                <c:pt idx="4">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MONY Group</c:v>
                </c:pt>
                <c:pt idx="1">
                  <c:v>Auto Trader</c:v>
                </c:pt>
                <c:pt idx="2">
                  <c:v>Rightmove</c:v>
                </c:pt>
                <c:pt idx="3">
                  <c:v>Baltic Classifieds</c:v>
                </c:pt>
                <c:pt idx="4">
                  <c:v>Scout24</c:v>
                </c:pt>
                <c:pt idx="5">
                  <c:v>Hemnet</c:v>
                </c:pt>
                <c:pt idx="6">
                  <c:v>Future (Go.Compare)</c:v>
                </c:pt>
                <c:pt idx="7">
                  <c:v>EverQuote</c:v>
                </c:pt>
                <c:pt idx="8">
                  <c:v>MediaAlpha</c:v>
                </c:pt>
                <c:pt idx="9">
                  <c:v>LendingTree</c:v>
                </c:pt>
              </c:strCache>
            </c:strRef>
          </c:cat>
          <c:val>
            <c:numRef>
              <c:f>Hoja1!$B$2:$B$11</c:f>
              <c:numCache>
                <c:formatCode>0.0"x"</c:formatCode>
                <c:ptCount val="10"/>
                <c:pt idx="0">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GoCo Group (Go.Compare)</c:v>
                </c:pt>
                <c:pt idx="1">
                  <c:v>Penguin Portals (Confused.com, Rastreator, LeLynx) y 50 % de Preminen</c:v>
                </c:pt>
                <c:pt idx="2">
                  <c:v>Quidco (cashback)</c:v>
                </c:pt>
              </c:strCache>
            </c:strRef>
          </c:cat>
          <c:val>
            <c:numRef>
              <c:f>Hoja1!$B$2:$B$4</c:f>
              <c:numCache>
                <c:formatCode>0.0"x"</c:formatCode>
                <c:ptCount val="3"/>
                <c:pt idx="0">
                  <c:v>20.7</c:v>
                </c:pt>
                <c:pt idx="2">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94</c:v>
                </c:pt>
                <c:pt idx="1">
                  <c:v>104</c:v>
                </c:pt>
                <c:pt idx="2">
                  <c:v>108</c:v>
                </c:pt>
                <c:pt idx="3">
                  <c:v>111</c:v>
                </c:pt>
                <c:pt idx="4">
                  <c:v>114</c:v>
                </c:pt>
                <c:pt idx="5">
                  <c:v>117</c:v>
                </c:pt>
                <c:pt idx="6">
                  <c:v>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509</c:v>
                </c:pt>
                <c:pt idx="1">
                  <c:v>768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2,01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1.41</c:v>
                </c:pt>
                <c:pt idx="1">
                  <c:v>2.36</c:v>
                </c:pt>
                <c:pt idx="2">
                  <c:v>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(1,40 – 2,14)</c:v>
                </c:pt>
                <c:pt idx="1">
                  <c:v>Precio objetivo de los analistas (1,80 – 3,00)</c:v>
                </c:pt>
                <c:pt idx="2">
                  <c:v>Comparables: PER NTM (1,38 – 3,04)</c:v>
                </c:pt>
                <c:pt idx="3">
                  <c:v>DCF (WACC y g ± 0,5) (2,15 – 2,63)</c:v>
                </c:pt>
                <c:pt idx="4">
                  <c:v>Escenarios (bajista – alcista) (1,41 – 2,64)</c:v>
                </c:pt>
                <c:pt idx="5">
                  <c:v>DCF con la prima implícita del mercado (4,2 %)</c:v>
                </c:pt>
                <c:pt idx="6">
                  <c:v>Precio actual (2,01)</c:v>
                </c:pt>
              </c:strCache>
            </c:strRef>
          </c:cat>
          <c:val>
            <c:numRef>
              <c:f>Hoja1!$B$2:$B$8</c:f>
              <c:numCache>
                <c:formatCode>#,##0.00</c:formatCode>
                <c:ptCount val="7"/>
                <c:pt idx="0">
                  <c:v>1.4</c:v>
                </c:pt>
                <c:pt idx="1">
                  <c:v>1.8</c:v>
                </c:pt>
                <c:pt idx="2">
                  <c:v>1.38</c:v>
                </c:pt>
                <c:pt idx="3">
                  <c:v>2.15</c:v>
                </c:pt>
                <c:pt idx="4">
                  <c:v>1.41</c:v>
                </c:pt>
                <c:pt idx="5">
                  <c:v>2.56</c:v>
                </c:pt>
                <c:pt idx="6">
                  <c:v>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(1,40 – 2,14)</c:v>
                </c:pt>
                <c:pt idx="1">
                  <c:v>Precio objetivo de los analistas (1,80 – 3,00)</c:v>
                </c:pt>
                <c:pt idx="2">
                  <c:v>Comparables: PER NTM (1,38 – 3,04)</c:v>
                </c:pt>
                <c:pt idx="3">
                  <c:v>DCF (WACC y g ± 0,5) (2,15 – 2,63)</c:v>
                </c:pt>
                <c:pt idx="4">
                  <c:v>Escenarios (bajista – alcista) (1,41 – 2,64)</c:v>
                </c:pt>
                <c:pt idx="5">
                  <c:v>DCF con la prima implícita del mercado (4,2 %)</c:v>
                </c:pt>
                <c:pt idx="6">
                  <c:v>Precio actual (2,01)</c:v>
                </c:pt>
              </c:strCache>
            </c:strRef>
          </c:cat>
          <c:val>
            <c:numRef>
              <c:f>Hoja1!$C$2:$C$8</c:f>
              <c:numCache>
                <c:formatCode>#,##0.00</c:formatCode>
                <c:ptCount val="7"/>
                <c:pt idx="0">
                  <c:v>0.7400000000000002</c:v>
                </c:pt>
                <c:pt idx="1">
                  <c:v>1.2</c:v>
                </c:pt>
                <c:pt idx="2">
                  <c:v>1.6600000000000001</c:v>
                </c:pt>
                <c:pt idx="3">
                  <c:v>0.48</c:v>
                </c:pt>
                <c:pt idx="4">
                  <c:v>1.2300000000000002</c:v>
                </c:pt>
                <c:pt idx="5">
                  <c:v>0.3799999999999999</c:v>
                </c:pt>
                <c:pt idx="6">
                  <c:v>0.020000000000000018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00000000000000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