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Motorola Solutions, Inc.</w:t>
      </w:r>
    </w:p>
    <w:p>
      <w:pPr>
        <w:spacing w:after="60"/>
        <w:rPr>
          <w:color w:val="52514E"/>
          <w:sz w:val="22"/>
          <w:szCs w:val="22"/>
        </w:rPr>
      </w:pPr>
      <w:r>
        <w:rPr>
          <w:color w:val="52514E"/>
          <w:sz w:val="22"/>
          <w:szCs w:val="22"/>
        </w:rPr>
        <w:t xml:space="preserve">MSI · Bolsa de Nueva York (NYSE) · ISIN US6200763075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463,46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462,65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+0,9 % (base +7,2 %)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276,30 USD · mercado 326,44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77.351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Motorola Solutions,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MSI / US6200763075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Nueva York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Equipos de comunicaciones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Chicago (Illinois) · 1928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https://www.motorolasolutions.com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463,46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359,36 – 494,85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77.351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85.838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415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462,65 USD</w:t>
      </w:r>
      <w:r>
        <w:t xml:space="preserve"> frente a 463,46 · Rentabilidad a 12 meses </w:t>
      </w:r>
      <w:r>
        <w:rPr>
          <w:b/>
          <w:bCs/>
        </w:rPr>
        <w:t xml:space="preserve">+0,9 % (base +7,2 %)</w:t>
      </w:r>
      <w:r>
        <w:t xml:space="preserve"> · Valor intrínseco 276,30 USD · con la prima implícita del mercado: 326,44 (-29,6 %) · Alcista / bajista -36,2 % / -61,7 %</w:t>
      </w:r>
    </w:p>
    <w:p>
      <w:pPr>
        <w:spacing w:after="100"/>
      </w:pPr>
      <w:r>
        <w:rPr>
          <w:b/>
        </w:rPr>
        <w:t xml:space="preserve">La recomendación y por qué.</w:t>
      </w:r>
      <w:r>
        <w:t xml:space="preserve"> Mantener, con convicción media. El objetivo a 12 meses es de 462,65 USD (nuestro BPA no GAAP de 2028e × el PER de la regla común, ponderado), un 0,9 % de rentabilidad con el dividendo y un 7,2 % en el caso base, frente a un precio de 463,46 USD (cierre del 20-oct-2026; 465,40 en la sesión del 21-oct a las 15:18 UTC). El valor intrínseco (276,30 USD) queda un 40 % por debajo del precio y el objetivo medio de los analistas (526,91) un 14 % por encima. No es compra: ni la rentabilidad ni el valor intrínseco llegan. La convicción es media porque las dos reglas (frente a nuestro coste de capital y frente a lo que pide el mercado) coinciden y la ponderada queda lejos de los umbrales; la convicción subiría con un orgánico que vuelva al 5-6 % en el 3T26, y bajaría si la cartera de pedidos cae o el gasto público se recorta.</w:t>
      </w:r>
    </w:p>
    <w:p>
      <w:pPr>
        <w:spacing w:after="100"/>
      </w:pPr>
      <w:r>
        <w:rPr>
          <w:b/>
        </w:rPr>
        <w:t xml:space="preserve">El negocio.</w:t>
      </w:r>
      <w:r>
        <w:t xml:space="preserve"> Primer fabricante mundial de radios y redes de comunicaciones críticas para policía, bomberos y emergencias (≈ 46 % del LMR [15]), con software de centros de emergencia, vídeo y, desde 2025, redes para drones y defensa (Silvus). Ventas de 11.682 M USD en 2025 y margen operativo no GAAP del 30,3 % [1, 5]. Calidad «Sí»: ROIC sobre el capital operativo ≈ 20 % frente a un WACC del 9,35 % (+10 puntos), sostenibilidad «Sí».</w:t>
      </w:r>
    </w:p>
    <w:p>
      <w:pPr>
        <w:spacing w:after="100"/>
      </w:pPr>
      <w:r>
        <w:rPr>
          <w:b/>
        </w:rPr>
        <w:t xml:space="preserve">Finanzas.</w:t>
      </w:r>
      <w:r>
        <w:t xml:space="preserve"> BPA no GAAP de 7,96 USD en 2019 a 15,38 en 2025 (+11,6 % anual) y guía de 17,62-17,72 en 2026 [3, 5, 8]. Deuda bruta de ≈ 10.500 M tras Silvus y D-Fend (2,8 veces el EBITDA), grado de inversión; flujo libre de 2.677 M en los últimos 12 meses [2]. El patrimonio es bajo por las recompras: el ROE y el ROIC del motor no sirven.</w:t>
      </w:r>
    </w:p>
    <w:p>
      <w:pPr>
        <w:spacing w:after="100"/>
      </w:pPr>
      <w:r>
        <w:rPr>
          <w:b/>
        </w:rPr>
        <w:t xml:space="preserve">Equipo y gobierno.</w:t>
      </w:r>
      <w:r>
        <w:t xml:space="preserve"> Greg Brown, consejero delegado desde 2008, ha batido la guía de BPA siete de ocho años; la sucesión (65 años) es el punto abierto [5]. Ventas de directivos por 101,5 M USD en 12 meses (87,4 M de Brown al ejercer opciones antiguas), ninguna compra [22].</w:t>
      </w:r>
    </w:p>
    <w:p>
      <w:pPr>
        <w:spacing w:after="100"/>
      </w:pPr>
      <w:r>
        <w:rPr>
          <w:b/>
        </w:rPr>
        <w:t xml:space="preserve">Valoración.</w:t>
      </w:r>
      <w:r>
        <w:t xml:space="preserve"> El DCF da 264,80 USD (−43 %); el precio descuenta un 14,8 % de crecimiento anual frente al 5,1 % de nuestro base. Con la prima del mercado, 325,65. El PER actual (24,4 veces) está sobre la mediana adelantada de cinco años (22,6) y los comparables (19,6); la regla lo deja en 23,5 en el base y 18,8 en el bajista.</w:t>
      </w:r>
    </w:p>
    <w:p>
      <w:pPr>
        <w:spacing w:after="100"/>
      </w:pPr>
      <w:r>
        <w:rPr>
          <w:b/>
        </w:rPr>
        <w:t xml:space="preserve">Riesgos y catalizadores.</w:t>
      </w:r>
      <w:r>
        <w:t xml:space="preserve"> El mayor riesgo es el múltiplo. Después, el gasto público (la mayor parte de las ventas va a administraciones; 8 % federal), la competencia de Axon y Flock en vídeo y de L3Harris en P25, las compras caras (Silvus, D-Fend) y la memoria. La IA ayuda más de lo que quita (software de 911 y vídeo), con riesgo de rivales nativos de la nube. Hytera es un cobro al alza. Catalizador: resultados del 3T26 el 4-nov-2026.</w:t>
      </w:r>
    </w:p>
    <w:p>
      <w:pPr>
        <w:spacing w:after="100"/>
      </w:pPr>
      <w:r>
        <w:rPr>
          <w:b/>
        </w:rPr>
        <w:t xml:space="preserve">Qué cambiaría la decisión.</w:t>
      </w:r>
      <w:r>
        <w:t xml:space="preserve"> Comprar exige que el precio baje al valor intrínseco (≈ 276 USD) además de una ponderada del 15 %; vender por encima de ≈ 519 USD. Una guía de 2027 por encima de 20 USD con orgánico ≥ 6 % mejoraría el caso; un recorte de presupuestos o una cartera a la baja lo empeoraría.</w:t>
      </w:r>
    </w:p>
    <w:p>
      <w:r>
        <w:br w:type="page"/>
      </w:r>
    </w:p>
    <w:p>
      <w:pPr>
        <w:pStyle w:val="Heading1"/>
      </w:pPr>
      <w:r>
        <w:t xml:space="preserve">Resumen ejecutivo</w:t>
      </w:r>
    </w:p>
    <w:p>
      <w:pPr>
        <w:spacing w:after="100"/>
      </w:pPr>
      <w:r>
        <w:rPr>
          <w:b/>
          <w:bCs/>
        </w:rPr>
        <w:t xml:space="preserve">Recomendación: Mantener</w:t>
      </w:r>
      <w:r>
        <w:t xml:space="preserve"> · Convicción: Media · Horizonte: 12 meses · Objetivo a 12 meses: </w:t>
      </w:r>
      <w:r>
        <w:rPr>
          <w:b/>
          <w:bCs/>
        </w:rPr>
        <w:t xml:space="preserve">462,65 USD</w:t>
      </w:r>
      <w:r>
        <w:t xml:space="preserve"> (rentabilidad +0,9 % (base +7,2 %)) · Valor intrínseco: 276,30 USD (-40,4 % sobre 463,46) · con la prima implícita del mercado: 326,44 (-29,6 %)</w:t>
      </w:r>
    </w:p>
    <w:p>
      <w:pPr>
        <w:spacing w:after="100"/>
      </w:pPr>
      <w:r>
        <w:t xml:space="preserve">Motorola Solutions es el estándar de las comunicaciones de policía y emergencias: casi la mitad del mercado mundial de radio crítica, redes que duran 10-20 años y contratos de servicio a diez, sobre las que vende software de 911, vídeo y ahora redes para drones y defensa. Gana un 30 % de margen operativo no GAAP, un ROIC operativo ≈ 20 % y ha batido su guía siete de ocho años. Pero a 24,4 veces el BPA de los próximos 12 meses el precio paga ya ese historial y algo más: el DCF da 265 USD y el precio descuenta un crecimiento que la empresa no tiene sin compras.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462,65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 × 18,71 = 351,75 · 23,5x × 20,93 = 491,86 · 23,5x × 21,92 = 515,12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 /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526,91 (nuestro base -6,7 %)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276,30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-36,2 % / -61,7 %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 frente a 9,3 % y 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326,44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 frente a 10,4 %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276,30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276,30 y 519,43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519,43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en torno al valor intrínseco (≈ 276 USD): Comprar si la ponderada a 12 meses supera el 15 %.</w:t>
      </w:r>
    </w:p>
    <w:p>
      <w:pPr>
        <w:pStyle w:val="ListParagraph"/>
        <w:numPr>
          <w:ilvl w:val="0"/>
          <w:numId w:val="2"/>
        </w:numPr>
        <w:spacing w:after="60"/>
      </w:pPr>
      <w:r>
        <w:t xml:space="preserve">Precio por encima de ≈ 519 USD: Vender.</w:t>
      </w:r>
    </w:p>
    <w:p>
      <w:pPr>
        <w:pStyle w:val="ListParagraph"/>
        <w:numPr>
          <w:ilvl w:val="0"/>
          <w:numId w:val="2"/>
        </w:numPr>
        <w:spacing w:after="60"/>
      </w:pPr>
      <w:r>
        <w:t xml:space="preserve">Guía de 2027 (febrero) por encima de 20 USD con orgánico ≥ 6 %: revisar al alza.</w:t>
      </w:r>
    </w:p>
    <w:p>
      <w:pPr>
        <w:pStyle w:val="ListParagraph"/>
        <w:numPr>
          <w:ilvl w:val="0"/>
          <w:numId w:val="2"/>
        </w:numPr>
        <w:spacing w:after="60"/>
      </w:pPr>
      <w:r>
        <w:t xml:space="preserve">Cartera a la baja dos trimestres o recortes de fondos públicos: revisar a la baja.</w:t>
      </w:r>
    </w:p>
    <w:p>
      <w:pPr>
        <w:pStyle w:val="ListParagraph"/>
        <w:numPr>
          <w:ilvl w:val="0"/>
          <w:numId w:val="2"/>
        </w:numPr>
        <w:spacing w:after="60"/>
      </w:pPr>
      <w:r>
        <w:t xml:space="preserve">Deterioro de Silvus o D-Fend: reforzar la cautela sobre las compras.</w:t>
      </w:r>
    </w:p>
    <w:p>
      <w:pPr>
        <w:pStyle w:val="Heading2"/>
      </w:pPr>
      <w:r>
        <w:t xml:space="preserve">Dónde discrepamos del mercado</w:t>
      </w:r>
    </w:p>
    <w:p>
      <w:pPr>
        <w:keepNext/>
        <w:spacing w:after="100"/>
      </w:pPr>
      <w:r>
        <w:rPr>
          <w:b/>
          <w:bCs/>
        </w:rPr>
        <w:t xml:space="preserve">Lo que descuenta el precio.</w:t>
      </w:r>
    </w:p>
    <w:p>
      <w:pPr>
        <w:spacing w:after="100"/>
      </w:pPr>
      <w:r>
        <w:t xml:space="preserve">Que Motorola es un compuesto de calidad que crece el BPA ≈ 10 % al año durante años con defensa y software, y que 24-27 veces es su múltiplo normal; los analistas esperan ≈ 527 USD.</w:t>
      </w:r>
    </w:p>
    <w:p>
      <w:pPr>
        <w:keepNext/>
        <w:spacing w:after="100"/>
      </w:pPr>
      <w:r>
        <w:rPr>
          <w:b/>
          <w:bCs/>
        </w:rPr>
        <w:t xml:space="preserve">Lo que creemos nosotros.</w:t>
      </w:r>
    </w:p>
    <w:p>
      <w:pPr>
        <w:spacing w:after="100"/>
      </w:pPr>
      <w:r>
        <w:t xml:space="preserve">Coincidimos en el BPA (19,34 frente a 19,43 en 2027e) y discrepamos en el múltiplo y en la calidad del crecimiento: el orgánico va al 2-4 %, el resto lo compran (Silvus, D-Fend) y el BPA no GAAP no cuenta ≈ 410 M de pagos en acciones.</w:t>
      </w:r>
    </w:p>
    <w:p>
      <w:pPr>
        <w:keepNext/>
        <w:spacing w:after="100"/>
      </w:pPr>
      <w:r>
        <w:rPr>
          <w:b/>
          <w:bCs/>
        </w:rPr>
        <w:t xml:space="preserve">Por qué podemos tener razón.</w:t>
      </w:r>
    </w:p>
    <w:p>
      <w:pPr>
        <w:spacing w:after="100"/>
      </w:pPr>
      <w:r>
        <w:t xml:space="preserve">La historia adelantada da una mediana de 22,6 veces; el PER de 30 veces de 2024 fue el máximo, y en 2025 la acción cayó un 17 %. La compra del convertible y las compras con deuda han subido el BPA más que el negocio.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463,4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Foso amplio</w:t>
      </w:r>
      <w:r>
        <w:t xml:space="preserve">: ≈ 46 % del LMR mundial, redes de 10-20 años y contratos de servicio a diez.</w:t>
      </w:r>
    </w:p>
    <w:p>
      <w:pPr>
        <w:pStyle w:val="ListParagraph"/>
        <w:numPr>
          <w:ilvl w:val="0"/>
          <w:numId w:val="2"/>
        </w:numPr>
        <w:spacing w:after="60"/>
      </w:pPr>
      <w:r>
        <w:rPr>
          <w:b/>
        </w:rPr>
        <w:t xml:space="preserve">Calidad</w:t>
      </w:r>
      <w:r>
        <w:t xml:space="preserve">: margen operativo no GAAP del 30 % y ROIC operativo ≈ 20 % (+10 puntos sobre el WACC).</w:t>
      </w:r>
    </w:p>
    <w:p>
      <w:pPr>
        <w:pStyle w:val="ListParagraph"/>
        <w:numPr>
          <w:ilvl w:val="0"/>
          <w:numId w:val="2"/>
        </w:numPr>
        <w:spacing w:after="60"/>
      </w:pPr>
      <w:r>
        <w:rPr>
          <w:b/>
        </w:rPr>
        <w:t xml:space="preserve">Guía cumplida</w:t>
      </w:r>
      <w:r>
        <w:t xml:space="preserve">: siete de ocho años batiendo la guía inicial de BPA; 2026 subida dos veces.</w:t>
      </w:r>
    </w:p>
    <w:p>
      <w:pPr>
        <w:pStyle w:val="ListParagraph"/>
        <w:numPr>
          <w:ilvl w:val="0"/>
          <w:numId w:val="2"/>
        </w:numPr>
        <w:spacing w:after="60"/>
      </w:pPr>
      <w:r>
        <w:rPr>
          <w:b/>
        </w:rPr>
        <w:t xml:space="preserve">Cartera récord</w:t>
      </w:r>
      <w:r>
        <w:t xml:space="preserve">: 15.600 M USD (+11 %) en el 2T26.</w:t>
      </w:r>
    </w:p>
    <w:p>
      <w:pPr>
        <w:pStyle w:val="ListParagraph"/>
        <w:numPr>
          <w:ilvl w:val="0"/>
          <w:numId w:val="2"/>
        </w:numPr>
        <w:spacing w:after="60"/>
      </w:pPr>
      <w:r>
        <w:rPr>
          <w:b/>
        </w:rPr>
        <w:t xml:space="preserve">Hytera</w:t>
      </w:r>
      <w:r>
        <w:t xml:space="preserve">: condena con cobros de 100 M USD al año, al alza.</w:t>
      </w:r>
    </w:p>
    <w:p>
      <w:pPr>
        <w:pStyle w:val="Heading2"/>
      </w:pPr>
      <w:r>
        <w:t xml:space="preserve">En contra</w:t>
      </w:r>
    </w:p>
    <w:p>
      <w:pPr>
        <w:pStyle w:val="ListParagraph"/>
        <w:numPr>
          <w:ilvl w:val="0"/>
          <w:numId w:val="2"/>
        </w:numPr>
        <w:spacing w:after="60"/>
      </w:pPr>
      <w:r>
        <w:rPr>
          <w:b/>
        </w:rPr>
        <w:t xml:space="preserve">Caro</w:t>
      </w:r>
      <w:r>
        <w:t xml:space="preserve">: 24,4 veces el BPA adelantado frente a una mediana de 22,6 y a 19,6 de los comparables; DCF de 265 USD.</w:t>
      </w:r>
    </w:p>
    <w:p>
      <w:pPr>
        <w:pStyle w:val="ListParagraph"/>
        <w:numPr>
          <w:ilvl w:val="0"/>
          <w:numId w:val="2"/>
        </w:numPr>
        <w:spacing w:after="60"/>
      </w:pPr>
      <w:r>
        <w:rPr>
          <w:b/>
        </w:rPr>
        <w:t xml:space="preserve">Crecimiento comprado</w:t>
      </w:r>
      <w:r>
        <w:t xml:space="preserve">: orgánico del −1,3 % y +4,5 % en el 1T26 y 2T26; 5.900 M USD en Silvus y D-Fend.</w:t>
      </w:r>
    </w:p>
    <w:p>
      <w:pPr>
        <w:pStyle w:val="ListParagraph"/>
        <w:numPr>
          <w:ilvl w:val="0"/>
          <w:numId w:val="2"/>
        </w:numPr>
        <w:spacing w:after="60"/>
      </w:pPr>
      <w:r>
        <w:rPr>
          <w:b/>
        </w:rPr>
        <w:t xml:space="preserve">Gasto público</w:t>
      </w:r>
      <w:r>
        <w:t xml:space="preserve">: la mayor parte de las ventas va a administraciones, con contratos cancelables.</w:t>
      </w:r>
    </w:p>
    <w:p>
      <w:pPr>
        <w:pStyle w:val="ListParagraph"/>
        <w:numPr>
          <w:ilvl w:val="0"/>
          <w:numId w:val="2"/>
        </w:numPr>
        <w:spacing w:after="60"/>
      </w:pPr>
      <w:r>
        <w:rPr>
          <w:b/>
        </w:rPr>
        <w:t xml:space="preserve">Competencia en vídeo</w:t>
      </w:r>
      <w:r>
        <w:t xml:space="preserve">: Axon crece tres veces más rápido.</w:t>
      </w:r>
    </w:p>
    <w:p>
      <w:pPr>
        <w:pStyle w:val="ListParagraph"/>
        <w:numPr>
          <w:ilvl w:val="0"/>
          <w:numId w:val="2"/>
        </w:numPr>
        <w:spacing w:after="60"/>
      </w:pPr>
      <w:r>
        <w:rPr>
          <w:b/>
        </w:rPr>
        <w:t xml:space="preserve">Pagos en acciones y ventas de directivos</w:t>
      </w:r>
      <w:r>
        <w:t xml:space="preserve">: ≈ 410 M USD al año fuera del BPA no GAAP; 101,5 M vendidos, ninguna compra.</w:t>
      </w:r>
    </w:p>
    <w:p>
      <w:pPr>
        <w:pStyle w:val="Heading2"/>
      </w:pPr>
      <w:r>
        <w:t xml:space="preserve">Qué tiene que pasar para que la tesis funcione</w:t>
      </w:r>
    </w:p>
    <w:p>
      <w:pPr>
        <w:spacing w:after="100"/>
      </w:pPr>
      <w:r>
        <w:t xml:space="preserve">La tesis depende de que el orgánico vuelva al 5-6 % y de que el software y el vídeo ganen peso sin que Axon les quite los concursos. La señal en contra sería una cartera a la baja, un orgánico por debajo del 3 % en el 3T26-4T26 o una guía de 2027 por debajo de 19 USD.</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no GAAP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17,62-17,72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17,50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objetivo.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negocio de 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15.600 M USD (+11 %)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las ventas de 12-24 meses.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vídeo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competencia con Axon.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Pagos en acciones /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3,2 % (2026e)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 real fuera del BPA no GAAP.</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36,5x / 24,3x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 · 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Motorola nació en Chicago en 1928 como Galvin Manufacturing, fabricó radios para coches y, en la Segunda Guerra Mundial, los primeros walkie-talkies [1]. En 2011 se dividió: el negocio de móviles salió como Motorola Mobility (luego Google y Lenovo) y la empresa de radios y redes para gobiernos y empresas siguió como Motorola Solutions [1]. Desde 2011, con Greg Brown al frente, vendió negocios no estratégicos (Enterprise a Zebra en 2014), entró en servicios gestionados (Airwave, 2016), en vídeo (Avigilon 2018, WatchGuard 2019, Pelco 2020) y en software de emergencias (Spillman, Rave, RapidDeploy), y desde 2025 en defensa y drones (Silvus, D-Fend) [1,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1928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Galvin Manufacturing en Chicago.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Motorola Mobility; nace Motorola Solutions.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negocio Enterprise a Zebra Technologies.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Airwave, la red de emergencias del Reino Unido.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Avigilon (vídeo con analítica).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Jurado de EE. UU. condena a Hytera por robo de secretos (764,6 M USD).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del contrato ESN del Reino Unido; compra de Rave Mobile Safety.</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Silvus Technologies por 4.400 M USD (MANET para drones y defensa).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D-Fend (antidrones, 1.500 M USD); Hytera condenada en lo penal.</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Motorola Solutions fabrica y mantiene las radios y redes de comunicaciones que usan policías, bomberos, ejércitos y empresas para hablar cuando el móvil falla, y vende el software de los centros de emergencia (911 y despacho), cámaras de vigilancia y corporales con analítica, y control de accesos [1]. Organiza la oferta en tres tecnologías: Mission Critical Networks (MCN: radios P25, TETRA y DMR, redes y, desde 2025, las redes MANET de Silvus para drones y defensa), Video Security and Access Control y Command Center [1]. Vende sobre todo directamente (74 %) y a través de distribuidores; Norteamérica es el 72 % de las ventas y el Gobierno federal de EE. UU. el ≈ 8 % [1]. Tiene ≈ 23.000 empleados, el 40 % en I+D e ingeniería [1].</w:t>
      </w:r>
    </w:p>
    <w:p>
      <w:pPr>
        <w:pStyle w:val="Heading2"/>
      </w:pPr>
      <w:r>
        <w:t xml:space="preserve">Cómo gana dinero</w:t>
      </w:r>
    </w:p>
    <w:p>
      <w:pPr>
        <w:spacing w:after="100"/>
      </w:pPr>
      <w:r>
        <w:t xml:space="preserve">Dos motores. Products and Systems Integration (62 % de las ventas de 2025, margen operativo GAAP del 24 %) vende terminales y construye redes por proyecto, con ingresos al cumplir hitos [1]. Software and Services (38 %, margen del 28 % GAAP y 32,5 % no GAAP) cobra contratos plurianuales de mantenimiento, ciberseguridad, actualizaciones, servicios gestionados y software por suscripción [1, 3]. La base instalada de radio alimenta el segundo durante 10-20 años [1]. El margen depende de la mezcla (más software, más margen), del coste de componentes (memoria, aranceles) y del apalancamiento operativo; el cuarto trimestre es el más fuerte por los presupuestos públicos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Products and Systems Integration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Software and Services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Products and Systems Integration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Software and Services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muy fragmentados: miles de agencias federales, estatales, de condado y municipales de policía, bomberos y emergencias, ejércitos y empresas (escuelas, hospitales, servicios públicos) [1]. El mayor cliente es el Gobierno federal de EE. UU., con ≈ 8 % de las ventas, y todos los contratos públicos de EE. UU. se pueden cancelar a conveniencia del cliente [1]. El 74 % de las ventas es venta directa [1]. Los sistemas de radio duran 10-20 años y generan servicios, actualizaciones y ciberseguridad recurrentes: la cartera de servicios y software es de 11.930 M USD (2,7 veces sus ventas anuales) y Maryland renovó diez años de servicios P25 por 201 M [1, 5]. Poder de precios demostrado: el margen bruto subió del 49,8 % en 2023 al 51,7 % en 2025 pese a aranceles, y en 2026 la empresa sube precios en productos con mucha memoria [1, 12]. El precio de Airwave en el Reino Unido lo fija desde 2023 un control del regulador (CMA), que redujo sus ventas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15.600 M a 4-jul-2026 (+11 %); ≈ 4.800 M se facturan en 2026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no GAAP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17,62-17,72 [3,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Software and Services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4.429</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no GAAP del 32,5 %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vídeo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Cámaras, control de accesos y software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Command Center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de 911 y despacho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 menos inversión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de Silvus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475 (2025, año completo)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850 (guía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+80 %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Drones y defensa; earnout ligado a sus ventas [12, 14].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comunicaciones críticas de radio (LMR: P25, TETRA, DMR, redes y terminales, más sus servicios), que es el 74 % de las ventas de la empresa (MCN, 8.647 M USD en 2025) [1]. Se usa la serie de Fortune Business Insights (18.640 M en 2025) porque da el año y la previsión a 2034; MarketsandMarkets da 17.890 M en 2024 y 32.240 M en 2030 (+10,7 % anual), coherente con la primera [15, 16]. Las dos incluyen terminales comerciales de gama baja y crecen más de lo que ha crecido la empresa (+6 % anual en MCN): se toman como techo. Vídeo (2.120 M) y Command Center (915 M) compiten en mercados de seguridad física y de software público mucho mayores y más fragmentados, sin una cifra comparable gratuita.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18.640 M USD en 2025 [15]; 17.890 M en 2024 según MarketsandMarkets [16]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Renovación de redes P25 y TETRA de policía y emergencias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110 M (Colorado), 84 M (Tennessee) y 180 M (Tennessee) en 2025; ciclos de 10-20 años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defensa y drones (MANET, antidrones)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Silvus pasa de ≈ 475 M USD en 2025 a ≈ 850 M guiados en 2026; compra de D-Fend por 1.500 M [3, 12,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Presupuestos públicos de EE. UU. (federal, estatal y local) y subvenciones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federal ≈ 8 % de las ventas; la OBBBA aporta fondos de seguridad fronteriza y nacional a cuatro años; los contratos se pueden cancelar a conveniencia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Vídeo y analítica con IA en seguridad pública y empresas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Vídeo +10 % en 2025 (2.120 M USD); todas las ventas de VESTA del 2T26 con IA [1,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memoria y aranceles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Memoria ≈ 150 M USD en 2026 frente a 50 M en 2025 por la demanda de la IA [3,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Banda ancha (LTE/5G para emergencias) como sustituto parcial de la radio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vende terminales LTE y aplicaciones que unen radio y banda ancha; la voz crítica sigue en LMR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P25 de EE. UU. compiten sobre todo Motorola y L3Harris; en TETRA, Airbus, Sepura y Hytera. Márgenes no GAAP del 30 % frente al 18 % de L3Harris [1,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Gobiernos con concursos públicos, presupuestos y cancelación a conveniencia; pero cambiar de red cuesta años y cientos de millones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Memoria y semiconductores: la demanda de la IA triplica el gasto en memoria en 2026 [3,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Certificaciones (P25, TETRA), relaciones de décadas y base instalada; las chinas (Hytera) están vetadas en EE. UU. y condenadas por robo de secretos [1,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Banda ancha comercial y FirstNet para datos; en vídeo y software, rivales nativos de la nube (Axon, Flock, Verkada) [1].</w:t>
            </w:r>
          </w:p>
        </w:tc>
      </w:tr>
    </w:tbl>
    <w:p>
      <w:pPr>
        <w:spacing w:after="160" w:before="0"/>
      </w:pPr>
    </w:p>
    <w:p>
      <w:pPr>
        <w:pStyle w:val="Heading2"/>
      </w:pPr>
      <w:r>
        <w:t xml:space="preserve">Ciclo</w:t>
      </w:r>
    </w:p>
    <w:p>
      <w:pPr>
        <w:spacing w:after="100"/>
      </w:pPr>
      <w:r>
        <w:t xml:space="preserve">Gasto en seguridad pública y defensa al alza: pedidos récord y cartera de 15.600 M USD (+11 %) en el 2T26 [3]. El sector es defensivo: en 2020 las ventas de la empresa cayeron un 6 % (retrasos de concursos por la COVID) y en 2009 su predecesora sufrió más por los móviles que por la radio; en 2022 la escasez de chips retrasó entregas pero subió la cartera [1]. El riesgo cíclico es presupuestario: recortes federales o estatales, o cierres del Gobierno que retrasan adjudicaciones.</w:t>
      </w:r>
    </w:p>
    <w:p>
      <w:pPr>
        <w:pStyle w:val="Heading2"/>
      </w:pPr>
      <w:r>
        <w:t xml:space="preserve">Regulación</w:t>
      </w:r>
    </w:p>
    <w:p>
      <w:pPr>
        <w:spacing w:after="100"/>
      </w:pPr>
      <w:r>
        <w:t xml:space="preserve">Espectro: las redes funcionan en bandas asignadas por la FCC y sus equivalentes; la banda T (470-512 MHz) y la de 800 MHz son debates recurrentes [1]. EE. UU. prohíbe equipos de Hytera, Hikvision y Dahua para usos de seguridad, lo que protege a los fabricantes occidentales [1]. Privacidad: la BIPA de Illinois y las leyes estatales de lectura de matrículas (ALPR) dan acción privada a los afectados y crecen en número [1]. Reino Unido: control de precios del regulador (CMA) sobre Airwave desde 2023 [9]. Contratos públicos de EE. UU.: auditorías y cancelación a conveniencia [1].</w:t>
      </w:r>
    </w:p>
    <w:p>
      <w:pPr>
        <w:pStyle w:val="Heading2"/>
      </w:pPr>
      <w:r>
        <w:t xml:space="preserve">Tendencias y disrupción</w:t>
      </w:r>
    </w:p>
    <w:p>
      <w:pPr>
        <w:spacing w:after="100"/>
      </w:pPr>
      <w:r>
        <w:t xml:space="preserve">Tres cambios. Primero, la radio se integra con vídeo, datos y software en un «ecosistema» (centros de mando, cámaras corporales, IA); la empresa gana porque tiene la base instalada de radio [1]. Segundo, la defensa y los drones abren un mercado nuevo (MANET, antidrones) donde la empresa entra comprando (Silvus, D-Fend) [3, 14]. Tercero, la IA: asistentes en 911 y despacho (Hyper, VESTA con IA en todas las ventas del 2T26) y analítica de vídeo; ayuda a vender software, pero también abre la puerta a rivales de software y encarece la memoria [3, 12].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comunicaciones críticas de radio (LMR): ventas de MCN de 8.647 M USD frente a un mercado de ≈ 18.640 M en 2025 (≈ 46 %, estimación propia) [1, 15]. En vídeo de seguridad y en software de 911 y despacho es uno de varios grandes, sin cuota publicada.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L3Harris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LHX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en P25 en EE. UU. (radios de seguridad pública) y fuerte en radios tácticas militares; grupo de defensa diversificado [1,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Axon Enterprise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AXON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cámaras corporales, pistolas eléctricas y evidencias en la nube; compite en vídeo y en centros de mando; crece ≈ 35 % [1,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Hytera Communications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002583.SZ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Tercero mundial en radios profesionales (DMR, TETRA); vetado en EE. UU. y condenado por robo de secretos de Motorola [2,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Zebra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ZBRA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Terminales robustos para empresas; compite en comunicaciones de trabajadores de primera línea [1,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Tyler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TYL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para administraciones (incluido despacho y registros policiales) [1,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JVCKenwood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6632.T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Radios profesionales (incluido P25 de gama media) dentro de un grupo de electrónica de consumo [1, 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interoperabilidad entre agencias favorece al proveedor dominante de la región, pero P25 es un estándar abierto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Redes de 10-20 años, integradas con centros de 911 y despacho; servicios renovados a diez años (Maryland, 201 M USD) y cartera de servicios de 2,7 veces sus ventas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6.630 patentes; certificaciones; condena de Hytera por robar su código y sus secretos [1,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I+D (970 M USD en 2025) frente a rivales de radio más pequeños; margen no GAAP del 30 %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nicho con dos proveedores en P25 en EE. UU.; ≈ 46 % del LMR mundial [1, 2].</w:t>
            </w:r>
          </w:p>
        </w:tc>
      </w:tr>
    </w:tbl>
    <w:p>
      <w:pPr>
        <w:spacing w:after="160" w:before="0"/>
      </w:pPr>
    </w:p>
    <w:p>
      <w:pPr>
        <w:pStyle w:val="Heading2"/>
      </w:pPr>
      <w:r>
        <w:t xml:space="preserve">Amenazas</w:t>
      </w:r>
    </w:p>
    <w:p>
      <w:pPr>
        <w:spacing w:after="100"/>
      </w:pPr>
      <w:r>
        <w:t xml:space="preserve">Tres amenazas, en orden. (1) Rivales de software y vídeo nativos de la nube (Axon, Flock, Verkada) que crecen más deprisa en las partes que más crecen (vídeo y centros de mando) y que la IA puede reforzar; probabilidad media [1, 17]. (2) La banda ancha y los móviles robustos sustituyen parte de la radio para datos; la voz crítica aguanta por fiabilidad, probabilidad baja a cinco años [1]. (3) Presupuestos públicos y controles de precios (Airwave) que limitan precios; probabilidad media en el Reino Unido, baja en EE. UU. [1, 9].</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t xml:space="preserve">Crecimiento anual compuesto 2019-2025: ingresos </w:t>
      </w:r>
      <w:r>
        <w:rPr>
          <w:b/>
          <w:bCs/>
        </w:rPr>
        <w:t xml:space="preserve">6,8 %</w:t>
      </w:r>
      <w:r>
        <w:t xml:space="preserve">, EBITDA </w:t>
      </w:r>
      <w:r>
        <w:rPr>
          <w:b/>
          <w:bCs/>
        </w:rPr>
        <w:t xml:space="preserve">8,7 %</w:t>
      </w:r>
      <w:r>
        <w:t xml:space="preserve">, BPA </w:t>
      </w:r>
      <w:r>
        <w:rPr>
          <w:b/>
          <w:bCs/>
        </w:rPr>
        <w:t xml:space="preserve">17,1 %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pasan de 7.887 M USD en 2019 a 11.682 M en 2025 (+6,6 % anual) y a 12.237 M en los últimos doce meses [1, 2]. El crecimiento de 2025 (+8 %) lleva 382 M de compras y 35 M de divisa: el orgánico fue ≈ +4 % [5]. En 2026 la empresa espera 12.975 M (+11 %), con Silvus (≈ 850 M) como principal motor; el orgánico del primer semestre fue de solo +1,7 % (5.382 M frente a 5.290 M) [3, 12]. El margen operativo GAAP sube del 20,0 % en 2019 al 25,6 % en 2025 por la mezcla hacia software y servicios, la caída del coste de materiales de 2023 y el apalancamiento operativo; el no GAAP de la empresa, del 25,0 % al 30,3 % [5, 8]. Años no comparables: 2022 (deterioro de 147 M por la salida de ESN en el Reino Unido), 2024 (pérdida de 585 M por la recompra del convertible de Silver Lake, bajo el EBIT) y 2025 (Silvus) [5, 9]. Los pagos en acciones crecen más que el negocio: de 118 M en 2019 a 293 M en 2025 y ≈ 410 M en 2026 (204 M en el primer semestre) [3, 11].</w:t>
      </w:r>
    </w:p>
    <w:p>
      <w:pPr>
        <w:pStyle w:val="Heading2"/>
      </w:pPr>
      <w:r>
        <w:t xml:space="preserve">Ajustes y partidas no recurrentes</w:t>
      </w:r>
    </w:p>
    <w:p>
      <w:pPr>
        <w:spacing w:after="100"/>
      </w:pPr>
      <w:r>
        <w:t xml:space="preserve">El BPA no GAAP de la empresa excluye los pagos en acciones, la amortización de intangibles comprados y las «partidas destacadas» (reestructuración, gastos de compras, ajustes del earnout, litigios, Hytera, deuda) [3]. En 2025 fue de 15,38 USD frente a 12,75 GAAP (2,63 de diferencia) y en el primer semestre de 2026 de 7,78 frente a 5,51 [3, 5]. En las cuentas del informe solo se tratan como no recurrentes el deterioro de ESN (2022) y las ganancias de Hytera (61 M en 2024, 157 M en 2025, 60 M en el 1S26) más el earnout de Silvus del 1S26 (91 M): son partidas que no se repiten con el negocio. La reestructuración (≈ 60 M al año), los gastos de compras y los pagos en acciones se repiten y se quedan como coste. Las devoluciones de aranceles IEEPA (60 M en el 2T26) mejoran el margen de 2026 y no se repetirán [3].</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Dos conferencias con mensajes distintos. En la del 1T26 (7-may) la dirección subió la guía anual a 12.800 M USD de ventas y 16,87-16,99 USD de BPA no GAAP con Silvus en ≈ 750 M, pero el trimestre mostró la debilidad que el mercado castigó: ventas orgánicas −1,3 % (2.714 M con 219 M de compras), Products and Systems Integration +1 % con MCN a la baja y margen operativo GAAP del 19,3 % por el ajuste del earnout de Silvus (75 M) y la amortización de intangibles [4]. En la del 2T26 (5-ago) el tono cambió: ventas +13 % (orgánico ≈ +4,5 %), margen no GAAP del 32,9 % (190 pb por las devoluciones de aranceles IEEPA), cartera récord de 15.600 M y guía subida a 12.975 M y 17,62-17,72 USD [3]. Silvus vendió ≈ 230 M en el trimestre y su guía anual pasa a ≈ 850 M; la memoria (por la demanda de la IA) costará ≈ 150 M en 2026 frente a 50 M en 2025, y la empresa sube precios «quirúrgicamente» en servidores de vídeo [12]. Los analistas preguntaron por la memoria, por el margen bruto y por la deuda de D-Fend; la dirección promete pedidos de dos dígitos en el segundo semestre pero no cuantificó 2027 ni el efecto neto de D-Fend [3, 12].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19.389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Silvus Technologies (4.400 M USD), consolidada desde el 6-ago-2025: entra entera en el balance (fondo de comercio de 3.526 a 6.800 M) y solo cinco meses en la cuenta (≈ 185 M de ventas).).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pasa de 6.018 M USD en 2023 a 9.162 M en 2025 por Silvus (2.000 M de bonos y 1.500 M de préstamo) y a 10.467 M tras D-Fend en agosto de 2026 [1, 13]. Deuda neta / EBITDA ≈ 2,4 veces en el LTM y ≈ 2,7 tras D-Fend, con un flujo libre de ≈ 2.700 M que la baja en un año [2, 13]. El patrimonio era negativo hasta 2021 (−40 M) por décadas de recompras y la escisión de 2011, y hoy es de 2.672 M: el ROE no significa nada [1, 2]. El circulante comercial sube en 2026 por las existencias (de 983 a 1.333 M) para asegurar memoria y componentes ante aranceles [3]. Los pasivos de contrato (anticipos de clientes, 2.341 M) superan a los activos de contrato (1.455 M)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12.588</w:t>
      </w:r>
      <w:r>
        <w:t xml:space="preserve">, conversión </w:t>
      </w:r>
      <w:r>
        <w:rPr>
          <w:b/>
          <w:bCs/>
        </w:rPr>
        <w:t xml:space="preserve">128 %</w:t>
      </w:r>
      <w:r>
        <w:t xml:space="preserve"> del beneficio neto; adquisiciones 8.080, dividendos 3.798, recompras 4.493.</w:t>
      </w:r>
    </w:p>
    <w:p>
      <w:pPr>
        <w:spacing w:after="100"/>
      </w:pPr>
      <w:r>
        <w:t xml:space="preserve">La conversión en caja es alta y estable: flujo operativo de 2.837 M USD en 2025 frente a un beneficio de 2.154 M, y flujo libre (operativo menos inversión) de 2.572 M, el 22 % de las ventas [5]. El capex es pequeño (265 M, el 2,3 % de las ventas) y casi todo de mantenimiento; en 2026 sube por la nueva fábrica de Salt Lake City (≈ 300 M) [1, 12]. 2019 y 2020 llevan pagos a la seguridad social de pensiones y la COVID; 2024 el pago del convertible de Silver Lake [1, 8]. Usos de la caja en 2019-2025: 8.080 M en compras (4.916 M en 2025), 4.033 M en recompras y 3.798 M en dividendos frente a 14.368 M de flujo operativo [1, 9, 10]. Los pagos en acciones (293 M en 2025) no consumen caja pero diluyen: las recompras netas los compensan [11].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2025, también sobre el control interno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limpias con dos matices. El primero, la distancia entre el BPA no GAAP y el GAAP crece: 2,63 USD en 2025 y 2,27 en el primer semestre de 2026, por la amortización de Silvus (≈ 370 M al año) y los pagos en acciones (≈ 410 M) [3, 5]. Los pagos en acciones son coste real; el informe los resta en el DCF aunque la regla a 12 meses usa el BPA no GAAP (la misma base que la historia y el consenso). El segundo, los ingresos de Hytera (157 M en 2025) entran como menor gasto en «Other charges» y la empresa los excluye del no GAAP; aquí también se excluyen [1]. La asignación del precio de Silvus (820 M de relaciones con clientes y 920 M de tecnología) es una cuestión crítica de auditoría [1]. Indicadores del motor: el Altman y el Beneish pierden sentido con el patrimonio que fue negativo hasta 2021 y con el salto del balance de 2025 por Silvus; se leen con cuidado.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no GAAP muy por encima del GAAP</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15,38 frente a 12,75 USD en 2025; la diferencia sube con la amortización de Silvus y los pagos en acciones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crecientes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118 M USD en 2019 a 293 M en 2025 y 204 M solo en el 1S26 (≈ 3 % de las ventas) [3, 11].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Earnout de Silvus que sube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37 a 127 M USD en seis meses; hasta 600 M en acciones (≈ 1,3 M de acciones)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de Hytera dentro del resultado operativo GAAP</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M (2024), 157 M (2025) y 60 M (1S26) como menor gasto; no recurrentes [1, 3].</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3.586,8 %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328,99x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8.019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6.800 M en 2025 (el 64 % del capital invertido medio); ha subido más de un 5 % en 4 de 6 años: comprador en serie. ROIC publicado 27,1 %; sin fondo de comercio, 76,1 %.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17,5 % · </w:t>
      </w:r>
      <w:r>
        <w:rPr>
          <w:b/>
          <w:bCs/>
        </w:rPr>
        <w:t xml:space="preserve">WACC</w:t>
      </w:r>
      <w:r>
        <w:t xml:space="preserve">: 9,3 %.</w:t>
      </w:r>
    </w:p>
    <w:p>
      <w:pPr>
        <w:spacing w:after="100"/>
      </w:pPr>
      <w:r>
        <w:t xml:space="preserve">La rentabilidad que publica el motor engaña por el balance: las recompras (programas por 20.000 M USD desde 2011) dejan un patrimonio de 2.410 M (negativo hasta 2021), así que el ROIC «por el pasivo» (27,1 % en 2025, ≈ 37-40 % en 2019-2024) y el ROE (104,7 %) están inflados [1]. Sobre el capital invertido operativo (inmovilizado, intangibles, fondo de comercio y circulante operativo: 12.427 M a cierre de 2025), el ROIC es del 22,8 % sobre el capital medio de 2025 y del 17,5 % sobre el de cierre, ≈ 20 % en 2026e con Silvus todo el año y ≈ 18 % si se suma D-Fend. Antes de Silvus, con 6.655 M de capital operativo en 2024, rendía ≈ 32 %: el negocio orgánico es excelente y las compras (11.000 M USD desde 2019, 4.400 M en Silvus a 20,6 veces el EBITDA) lo diluyen. El ROIC incremental histórico es del 17,5 %. Frente al WACC del 9,35 %, la diferencia es de +8 a +10 puntos: pasa el filtro de calidad (≥ 5), con la tendencia a la baja por las compras [1, 2, 14].</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4 jul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8.322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8.771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710 M USD a 4-jul-2026 y línea de crédito no dispuesta de 2.250 M hasta abril de 2030, que respalda un programa de papel comercial de hasta 2.200 M [1, 2]. En agosto de 2026 emitió 950 M de bonos (350 M al 4,85 % a 2029 y 600 M al 5,65 % a 2036) y un préstamo de 300 M para pagar D-Fend (1.500 M)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Grado de inversión en las tres agencias (la empresa no publica la nota en el 10-K)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déficit neto de 418 M USD a cierre de 2025 (EE. UU. −416, fuera de EE. UU. −39 y sanidad de jubilados +37), ≈ 322 M después de impuestos; el gasto contable de los planes es un ingreso (−79 M en EE. UU.) por la rentabilidad esperada de los activos [1]. Earnout de Silvus: hasta 600 M USD en acciones (150 M por el año jul-26/jul-27 y 450 M por jul-27/jul-28), valorado en 127 M a 4-jul-2026 tras subirlo 91 M en el semestre porque Silvus va por encima del plan [2]. Hytera: el tribunal le ordenó pagar 100 M al año desde 2026 hasta saldar la condena civil (407 M confirmados más costas e intereses; 232 M cobrados); es un activo contingente que no está en el balance [2]. Garantías y avales de contratos de varios años con gobiernos [1].</w:t>
      </w:r>
    </w:p>
    <w:p>
      <w:pPr>
        <w:pStyle w:val="Heading1"/>
      </w:pPr>
      <w:r>
        <w:t xml:space="preserve">12. Asignación de capital</w:t>
      </w:r>
    </w:p>
    <w:p>
      <w:pPr>
        <w:pStyle w:val="Confianza"/>
        <w:spacing w:after="100"/>
      </w:pPr>
      <w:r>
        <w:t xml:space="preserve">Confianza: Alta</w:t>
      </w:r>
    </w:p>
    <w:p>
      <w:pPr>
        <w:spacing w:after="100"/>
      </w:pPr>
      <w:r>
        <w:t xml:space="preserve">Prioridades declaradas: inversión en el negocio, compras que amplíen el ecosistema (comunicaciones críticas, vídeo, centros de mando, defensa), dividendo creciente (1,21 USD trimestrales desde 2026, +11 %) y recompras oportunistas [3, 5]. El consejo amplió el programa de recompras en 2.000 M el 9-sep-2026 (20.000 M acumulados desde 2011); quedaban ≈ 600 M antes de la ampliación [3]. En 2025 recompró 1.154 M a 420,21 USD de media y en el 1S26, 449 M (326 M a 413,53 en el 2T26) [3,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Silvus Technologies (redes MANET para drones y defensa)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2.000 M de bonos, 1.500 M de préstamo y 900 M de caja y papel comercial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encima del plan: ≈ 850 M de ventas guiadas en 2026 frente a ≈ 475 M en 2025; earnout de hasta 600 M en acciones [2, 12, 14].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RapidDeploy (911 en la nube) y Theatro (voz e IA para trabajadores)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en Command Center, que crece un 15 %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D-Fend Solutions (antidrones por radiofrecuencia)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950 M de bonos, 300 M de préstamo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20-ago-2026; sin cifras de ventas publicadas [13].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de redes LMR de Bell Canada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de cierre en el 4T26 (675 M CAD)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Rave Mobile Safety, Calipsa, TETRA Ireland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Rave reforzó Command Center; sin deterioros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WatchGuard (cámaras de policía)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del vídeo móvil, hoy 21 % de Software and Services [1, 10].</w:t>
            </w:r>
          </w:p>
        </w:tc>
      </w:tr>
    </w:tbl>
    <w:p>
      <w:pPr>
        <w:spacing w:after="160" w:before="0"/>
      </w:pPr>
    </w:p>
    <w:p>
      <w:pPr>
        <w:spacing w:after="100"/>
      </w:pPr>
      <w:r>
        <w:t xml:space="preserve">Buena asignadora de capital con historial: ha convertido una empresa de radios en un ecosistema de seguridad comprando vídeo (Avigilon, WatchGuard, Pelco) y software (Rave, RapidDeploy) sin deterioros relevantes, y el margen no GAAP subió 5 puntos en seis años [1, 8]. Las acciones diluidas bajan de 176 M en 2019 a 169 M en 2025 pese a los pagos en acciones [1]. El giro reciente es más caro y más arriesgado: 5.900 M en Silvus y D-Fend en un año, a ≈ 20 veces el EBITDA de Silvus, en defensa y drones, un mercado nuevo para la empresa, financiado con deuda (≈ 2,7 veces el EBITDA tras D-Fend) [13, 14]. Silvus va por encima del plan; D-Fend está por probar.</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Gregory Q. Brown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desde 2008 y presidente desde 2011; antes dirigió Micromuse. Llevó la escisión de 2011 y la transformación hacia software, vídeo y defensa; la acción ha rendido ≈ 22 % anual en diez años [1,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Jason J. Winkler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2020, antes responsable de finanzas de las divisiones; financió Silvus y D-Fend con grado de inversión [1,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P. (Jack) Molloy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ventas y operaciones mundiales; candidato natural a la sucesión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Mahesh Saptharishi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de tecnología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con Avigilon (vídeo e IA) y dirige la tecnología y la IA del grupo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Kenneth D. Denman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Coordinador independiente desde 2019; antes consejero delegado de Emotient (IA, comprada por Apple), Openwave e iPass [18].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no GAAP 7,55-7,70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7,96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no GAAP 8,65-8,80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7,69 (COVID)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no GAAP 8,50-8,62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9,15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no GAAP 9,80-9,95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10,36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no GAAP 11,10-11,22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11,95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no GAAP 12,62-12,72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13,84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no GAAP 14,64-14,74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15,38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no GAAP 16,70-16,85 USD (feb-26)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subida a 17,62-17,72 (ago-26)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Credibilidad alta: en siete de los ocho últimos años la empresa batió la guía inicial de BPA, y la única vez que no lo hizo fue 2020 (COVID) [3, 5]. Equipo estable: Brown lleva 18 años como consejero delegado, Winkler seis como director financiero [18]. La sucesión es el punto débil: Brown tiene 65 años, es a la vez presidente y consejero delegado, y no hay sucesor anunciado; Molloy (operaciones) es el candidato interno más visible [18]. Las ventas de Brown en 12 meses (87 M USD) son ejercicios de opciones de 2016-2017 a 71-81 USD cerca de su vencimiento; conserva ≈ 384.000 acciones y 1,19 millones de opciones [18, 22].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Gregory Q. Brown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Kenneth D. Denman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Gobierno y nombramientos (presidente);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Nicole Anasenes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Ayanna M. Howard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E. Lashier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A. Leav</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Elizabeth D. 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Joseph M. Tucci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 (presidente); Gobierno y nombramientos; Ejecutiva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88 %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2025, también sobre el control interno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100,96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(índices)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 octubre de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(índices)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 abril de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(16 personas, con opciones)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netas en 12 meses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BROWN GREGORY Q (Chairman and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185.855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YAZDI CYNTHIA (SVP, COS to the Chairman &amp;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WINKLER JASON J (EVP and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SAPTHARISHI MAHESH (EVP and CTO)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MAHER KATHERINE A (CVP and CAO)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MOORE KATHRYN A (SVP, HUMAN RESOURCES)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0,67</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34,45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Brown cobró 34,5 M USD en 2025 (30,9 M en 2024): 1,35 M de sueldo, 4,5 M de variable anual y 28,1 M en acciones y opciones [18]. El variable a largo plazo es 100 % por resultados: unidades y opciones que se ganan según la rentabilidad total para el accionista frente al S&amp;P 500 (pago objetivo solo por encima de la mediana; máximo del 250 % en el percentil 90) y unidades ligadas al precio [18]. El variable anual mide ventas, resultado operativo y flujo [18]. El ratio frente al empleado medio es de 322 veces [18]. En la junta de 2025 el 19,6 % votó en contra de la remuneración (80,0 % a favor), un aviso; en 2026 el rechazo bajó al 8,5 % [19, 20]. No mide el ROIC.</w:t>
      </w:r>
    </w:p>
    <w:p>
      <w:pPr>
        <w:pStyle w:val="Heading2"/>
      </w:pPr>
      <w:r>
        <w:t xml:space="preserve">Operaciones vinculadas, estructura de control y defensas</w:t>
      </w:r>
    </w:p>
    <w:p>
      <w:pPr>
        <w:spacing w:after="100"/>
      </w:pPr>
      <w:r>
        <w:t xml:space="preserve">Sin accionista de control: los dos mayores son gestoras de índices (21 % juntas) [18]. Una acción, un voto; consejo elegido cada año por mayoría [19]. El presidente es el consejero delegado, con un consejero coordinador independiente con funciones reales (evaluación del consejo, agenda) [18]. Sin operaciones vinculadas relevantes en el proxy [18]. Siete de ocho consejeros son independientes; dos entraron en 2025-2026 (Lashier y Leav) y salió Mondre (Silver Lake) [18, 23, 24].</w:t>
      </w:r>
    </w:p>
    <w:p>
      <w:pPr>
        <w:pStyle w:val="Heading2"/>
      </w:pPr>
      <w:r>
        <w:t xml:space="preserve">Señales de alerta</w:t>
      </w:r>
    </w:p>
    <w:p>
      <w:pPr>
        <w:pStyle w:val="ListParagraph"/>
        <w:numPr>
          <w:ilvl w:val="0"/>
          <w:numId w:val="2"/>
        </w:numPr>
        <w:spacing w:after="60"/>
      </w:pPr>
      <w:r>
        <w:t xml:space="preserve">Presidente y consejero delegado en la misma persona desde 2011, con 65 años y sin sucesor anunciado [18].</w:t>
      </w:r>
    </w:p>
    <w:p>
      <w:pPr>
        <w:pStyle w:val="ListParagraph"/>
        <w:numPr>
          <w:ilvl w:val="0"/>
          <w:numId w:val="2"/>
        </w:numPr>
        <w:spacing w:after="60"/>
      </w:pPr>
      <w:r>
        <w:t xml:space="preserve">Voto en contra de la remuneración del 19,6 % en 2025 [20].</w:t>
      </w:r>
    </w:p>
    <w:p>
      <w:pPr>
        <w:pStyle w:val="ListParagraph"/>
        <w:numPr>
          <w:ilvl w:val="0"/>
          <w:numId w:val="2"/>
        </w:numPr>
        <w:spacing w:after="60"/>
      </w:pPr>
      <w:r>
        <w:t xml:space="preserve">Ventas de directivos por 101,5 M USD en 12 meses sin ninguna compra (87,4 M de Brown, por ejercicio de opciones antiguas) [22].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subida dos veces: en febrero, ventas de ≈ 12.700 M USD y BPA no GAAP de 16,70-16,85; en mayo, 12.800 M y 16,87-16,99; el 5-ago-2026, 12.975 M (+11 %) y 17,62-17,72 USD, con ≈ 168 M de acciones y un tipo no GAAP del 22-22,5 % [3, 4, 5]. Para el 3T26: ventas +8 % y BPA no GAAP de 4,39-4,44 USD [3]. Silvus ≈ 850 M de ventas en 2026. La empresa no da objetivos a medio plazo. La guía incluye 60 M de devoluciones de aranceles IEEPA (0,25 USD por acción) que no se repetirán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5 analistas, BPA no GAAP [27]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14.184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5 analistas, BPA no GAAP [27]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13.887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14.184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526,91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476,00 – 550,00</w:t>
            </w:r>
          </w:p>
        </w:tc>
      </w:tr>
    </w:tbl>
    <w:p>
      <w:pPr>
        <w:spacing w:after="160" w:before="0"/>
      </w:pPr>
    </w:p>
    <w:p>
      <w:pPr>
        <w:pStyle w:val="Heading2"/>
      </w:pPr>
      <w:r>
        <w:t xml:space="preserve">Revisiones de estimaciones</w:t>
      </w:r>
    </w:p>
    <w:p>
      <w:pPr>
        <w:spacing w:after="100"/>
      </w:pPr>
      <w:r>
        <w:t xml:space="preserve">El BPA de 2026 del consenso subió de 16,98 USD hace 90 días a 17,72 hoy y el de 2027 de 18,52 a 19,43, tras el 2T26 [27]. Objetivos al alza: Evercore 525 → 550 USD (8-oct), Piper Sandler 530 → 531 (22-sep), Northcoast 510 → 525, Truist 525 → 545, JPMorgan 525 → 545, Barclays 509 → 529, UBS 510 → 520, Raymond James 530 → 550 y Morgan Stanley 470 → 476 tras el 2T26; Zacks bajó de «compra fuerte» a «mantener» el 18-ago [28]. MarketBeat da 13 analistas (12 comprar, 1 mantener) con objetivo medio de 530,10 USD; Yahoo, 11 objetivos con media 526,91 USD (476-550) [27, 28]. El consenso de 2027 incluye D-Fend y Bell Canada; sin consenso gratuito de 2028.</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r>
    </w:tbl>
    <w:p>
      <w:pPr>
        <w:spacing w:after="160" w:before="0"/>
      </w:pPr>
    </w:p>
    <w:p>
      <w:pPr>
        <w:spacing w:after="100"/>
      </w:pPr>
      <w:r>
        <w:t xml:space="preserve">La acción ha batido al índice a diez años (+22,0 % anual frente a +15,5 % del SPY) y a cinco, pero no en el último año (+4,5 % frente a +15,8 %) ni a tres (+19,4 % frente a +23,7 %) [26]. En 2025 cayó un 16,2 % con el mercado al alza: el múltiplo se desinfló desde ≈ 30 veces el BPA adelantado a finales de 2024 y la compra de Silvus abrió dudas; en 2026 recupera un 21,9 % por los resultados del 2T26 [3, 26]. Beta baja (0,88 mensual a cinco años; 0,49 semanal a dos) y volatilidad del 26 % en el último año, con dos caídas de más del 5 % en un día tras resultados [26].</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 / +14,3 % / +5,3 % / +3,7 %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 / +27,8 %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5,8 % el 31-oct-2025 tras el 3T25: BPA no GAAP de 4,06 USD por encima de la guía, pero guía de ventas de 2025 sin cambios (11.650 M) y orgánico de solo +3 %; la acción ya bajaba desde máximos [6,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11,4 % el 8-may-2026 (−13,2 % en un mes) tras el 1T26: margen operativo GAAP del 19,3 % frente al 23,0 % por el earnout de Silvus y la amortización, flujo libre más bajo y ventas orgánicas en negativo (−1,3 %), aunque subió la guía [4,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Subida del 18,4 % en un mes hasta el 19-ago tras el 2T26 (5-ago): ventas +13 %, BPA no GAAP de 4,41 USD frente a una guía de 3,82-3,88, cartera récord y guía anual subida a 17,62-17,72 USD [3,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el 4-nov-2026 (guía: ventas +8 % y BPA no GAAP de 4,39-4,44 USD) [3,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Evercore sube el objetivo de 525 a 550 USD; consenso de 12 «comprar» y 1 «mantener» con objetivo medio de 530 USD (MarketBeat)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del programa de recompras en 2.000 M USD (≈ 2,6 % de la capitalización)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directivos por 101,5 M USD en 12 meses y ninguna compra; 87,4 M de Brown, casi todo al ejercer opciones de 2016-2017 a 71-81 USD antes de su vencimiento (motivo declarado en el Form 4); conserva ≈ 384.000 acciones y 1,19 M de opciones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D-Fend (antidrones) por 1.500 M USD, pagada con 950 M de bonos, 300 M de préstamo y caja; deuda bruta ajustada de 10.467 M [13,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Zacks baja de «compra fuerte» a «mantener»; el resto de casas suben objetivos tras el 2T26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para comprar los servicios de redes LMR de Bell Canada por 675 M CAD (≈ 500 M USD), con cierre previsto en el 4T26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2026-03-05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Hytera condenada en lo penal: deberá pagar 100 M USD al año a Motorola hasta saldar la condena civil (232 M cobrados); Motorola recurre la sentencia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sube un 14,3 % en tres meses y está un 5,3 % por debajo de su máximo de 52 semanas y un 7,8 % del histórico, con tendencia alcista (6,7 % sobre la media de 200 sesiones) y sin avisos P [26]. Los tres movimientos fuertes tienen causa en resultados de la propia empresa: el castigo del 1T26 por el margen GAAP y el orgánico negativo, y la recuperación con el 2T26 [3, 4]. No hay colocaciones, ampliaciones ni decisiones judiciales con fecha que puedan mover el precio más de un 5 % en contra: Hytera es un cobro, no un pago, y el earnout de Silvus se paga en acciones (hasta ≈ 1,3 M, 0,8 % del capital) [2]. Las ventas de Brown son ejercicio de opciones con vencimiento, no una salida sin motivo. Los resultados del 4-nov no retrasan nada (regla 11).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 de cierre de cada año de Yahoo [26]. Con el BPA GAAP del mismo año el PER va de ≈ 33 veces (2019) a ≈ 50 (2024, por la pérdida del convertible de Silver Lake) y ≈ 30 en 2025; en base no GAAP adelantada (la de la regla a 12 meses) pasa de ≈ 14 veces a finales de 2018 a 21-23 en 2021-2023, ≈ 30 a finales de 2024 y ≈ 22 a finales de 2025 [26, 33]. El mercado revalorizó la empresa por la mezcla hacia software y servicios recurrentes y un crecimiento del BPA no GAAP del 11-15 % anual desde 2021; en 2025 devolvió parte de la subida.</w:t>
      </w:r>
    </w:p>
    <w:p>
      <w:pPr>
        <w:pStyle w:val="Heading1"/>
      </w:pPr>
      <w:r>
        <w:t xml:space="preserve">18. Comparables cotizados</w:t>
      </w:r>
    </w:p>
    <w:p>
      <w:pPr>
        <w:pStyle w:val="Confianza"/>
        <w:spacing w:after="100"/>
      </w:pPr>
      <w:r>
        <w:t xml:space="preserve">Confianza: Media</w:t>
      </w:r>
    </w:p>
    <w:p>
      <w:pPr>
        <w:spacing w:after="100"/>
      </w:pPr>
      <w:r>
        <w:t xml:space="preserve">Ocho cotizadas de EE. UU. con negocio de seguridad, comunicaciones críticas o software para gobiernos y calidad parecida: L3Harris (radio P25 y defensa), Axon (vídeo y software policial), Teledyne (vídeo térmico, FLIR), Zebra (terminales robustos), Tyler (software público), Allegion (control de accesos), Roper (software vertical, comprador en serie) y Cisco (redes) [27]. Fuera Hytera y JVCKenwood (sin consenso fiable o márgenes de electrónica de consumo) y Hexagon (cifras en dos divisas en Yahoo). Ninguna es un comparable puro: Motorola es la única con radio crítica, vídeo y software de emergencias juntos.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Motorola Solutions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L3Harris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Axon Enterprise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Teledyne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Zebra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Tyler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Allegion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Roper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Cisco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422.704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 / 18,6x / 26,2x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497,69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 / 19,6x / 24,5x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468,37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12.237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 / 5,5x / 6,6x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435,99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r>
    </w:tbl>
    <w:p>
      <w:pPr>
        <w:spacing w:after="160" w:before="0"/>
      </w:pPr>
    </w:p>
    <w:p>
      <w:pPr>
        <w:spacing w:after="100"/>
      </w:pPr>
      <w:r>
        <w:t xml:space="preserve">Motorola cotiza a ≈ 24 veces el BPA no GAAP de los próximos 12 meses, por encima de la mediana de los comparables (19,6x) y al nivel de Teledyne y Tyler; solo Axon (crecimiento del 30 %) cotiza mucho más caro [27]. La prima frente a L3Harris (≈ 18x) se apoya en un margen EBITDA del 31 % frente al 18 % y en más ingresos recurrentes; frente a Roper (≈ 16x), en más crecimiento orgánico. El EV/EBITDA LTM (22,8x) no es comparable entre todas porque mezcla EBITDA con y sin pagos en acciones; el PER es la referencia. Múltiplo de referencia: la mediana (19,6x), que el motor usa como suelo del alcista; aplicada al BPA de Motorola da un valor claramente inferior al precio.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Silvus Technologies (MANET para drones y defensa)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Motorola Solutions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Sobre ventas de ≈ 475 M USD y margen EBITDA ajustado del ≈ 45 % previstos para 2025; más un earnout de hasta 600 M [14].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FLIR Systems (imagen térmica y vídeo)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Teledyne Technologies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1.924 M USD y EBITDA GAAP de 412 M en 2020 (resultado operativo 317 + amortizaciones 95) [32, 34].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Everbridge (gestión de emergencias críticas, software)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449 M USD en 2023; EBITDA GAAP negativo (−3 M) [33, 34].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D-Fend Solutions (antidrones)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Motorola Solutions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ventas publicadas [13].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Servicios de redes LMR de Bell Canada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Motorola Solutions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675 M CAD; cierre previsto en el 4T26 [4].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261,49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252,32 – 444,79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Las compras del sector se pagan a 4-9 veces las ventas y ≈ 20 veces el EBITDA cuando el negocio es de crecimiento (Silvus, FLIR); Motorola cotiza a ≈ 7,0 veces las ventas y ≈ 23 veces el EBITDA LTM, en la parte alta de ese rango, sin prima de control [27]. Con ≈ 77.000 M USD de capitalización y sin accionista de control, no es objetivo realista de una compra: el valor de control no cuenta en la tesis.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(+11,1 %, fijo) es la guía de ventas de 12.975 M USD del 5-ago-2026 (orgánico ≈ +5 % y Silvus ≈ 850 M todo el año frente a 185 M en 2025) [3]. 2027e (+7 %) queda por debajo del consenso (+8,9 %, que ya incluye D-Fend y Bell Canada) [27] y apoyado en la cartera récord de 15.600 M USD (+11 %) [3]. Después bajamos medio punto al año hasta el 3,5 %: el LMR crece ≈ 10 % según las consultoras, pero la empresa ha crecido ≈ 6 % en MCN y ≈ 4 % orgánico; el vídeo y los centros de mando (+10-15 %) suben la media y la radio madura la baja [1, 15].</w:t>
      </w:r>
    </w:p>
    <w:p>
      <w:pPr>
        <w:keepNext/>
        <w:spacing w:after="100"/>
      </w:pPr>
      <w:r>
        <w:rPr>
          <w:b/>
          <w:bCs/>
        </w:rPr>
        <w:t xml:space="preserve">Márgenes.</w:t>
      </w:r>
    </w:p>
    <w:p>
      <w:pPr>
        <w:spacing w:after="100"/>
      </w:pPr>
      <w:r>
        <w:t xml:space="preserve">Margen EBITDA GAAP recurrente (con los pagos en acciones y la reestructuración como coste): 30,1 % en 2026e, calibrado con la guía de BPA no GAAP (17,62-17,72 USD), hasta el 31,5 % en 2030e por la mezcla hacia software y servicios (42 % de las ventas y más margen) [1, 3]. El margen operativo no GAAP de la empresa equivale al nuestro + 1,95 puntos (30,3 % en 2025). Restan el coste de la memoria (≈ 150 M USD en 2026 frente a 50 M en 2025) y los pagos en acciones, que crecen más que las ventas (293 M en 2025, ≈ 410 M en 2026) [3, 11].</w:t>
      </w:r>
    </w:p>
    <w:p>
      <w:pPr>
        <w:keepNext/>
        <w:spacing w:after="100"/>
      </w:pPr>
      <w:r>
        <w:rPr>
          <w:b/>
          <w:bCs/>
        </w:rPr>
        <w:t xml:space="preserve">Inversión y circulante.</w:t>
      </w:r>
    </w:p>
    <w:p>
      <w:pPr>
        <w:spacing w:after="100"/>
      </w:pPr>
      <w:r>
        <w:t xml:space="preserve">Capex del 2,4 % de las ventas (256 M USD en 2025) [1]. Amortización del 4,5 % en 2026e (depreciación ≈ 1,7 % + intangibles comprados de Silvus, Avigilon y el resto) bajando al 2,4 % a medida que se agotan los intangibles; al final igual al capex. Circulante del 12 % de las ventas (11,6 % en 2025: clientes y activos de contrato menos proveedores y anticipos) [1].</w:t>
      </w:r>
    </w:p>
    <w:p>
      <w:pPr>
        <w:keepNext/>
        <w:spacing w:after="100"/>
      </w:pPr>
      <w:r>
        <w:rPr>
          <w:b/>
          <w:bCs/>
        </w:rPr>
        <w:t xml:space="preserve">Coste del capital.</w:t>
      </w:r>
    </w:p>
    <w:p>
      <w:pPr>
        <w:spacing w:after="100"/>
      </w:pPr>
      <w:r>
        <w:t xml:space="preserve">Tasa libre del 5,12 % (bono del Tesoro a 10 años, 20-oct-2026 [30]); beta de 0,90, entre la mensual a 5 años (0,88; ajustada 0,92) y la semanal a 2 años (0,49) [26]; prima del 5,5 %; coste de la deuda del 5,3 % (los bonos de agosto de 2026 pagan 4,85-5,65 % [13]); peso de la deuda del 12 % a precios de mercado (≈ 10.500 M de deuda bruta tras D-Fend frente a 77.400 M de capitalización). WACC del 9,35 %. Con la prima implícita del mercado (4,2 % [31]) sería del 8,3 %.</w:t>
      </w:r>
    </w:p>
    <w:p>
      <w:pPr>
        <w:keepNext/>
        <w:spacing w:after="100"/>
      </w:pPr>
      <w:r>
        <w:rPr>
          <w:b/>
          <w:bCs/>
        </w:rPr>
        <w:t xml:space="preserve">Valor terminal.</w:t>
      </w:r>
    </w:p>
    <w:p>
      <w:pPr>
        <w:spacing w:after="100"/>
      </w:pPr>
      <w:r>
        <w:t xml:space="preserve">Crecimiento a perpetuidad del 3,0 %, por debajo de la tasa libre: la seguridad pública y la defensa crecen con el PIB nominal y la base instalada renueva servicios. Múltiplo de salida de contraste de 16 veces el EBITDA, por debajo de las 24,6 actuales.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250,24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281,23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323,02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M (-1 %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 (reinvierte el 14 %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 (histórico: 17,5 %)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 frente al 5,8 %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-209 M, con un capex bruto medio del 2,4 % de las ventas). En un negocio de activos ligeros, el crecimiento medio del 5,8 %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[3]: volumen ≈ 3 % (pedidos récord; 1T26 orgánico −1,3 % y 2T26 +4,5 %), precio ≈ 2,4 % (subidas por memoria y aranceles, servicios indexados) y 5,7 puntos de perímetro (Silvus todo el año).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5 % (cartera de 15.600 M USD, defensa y drones con Silvus, vídeo) y precio del 2 %; sin D-Fend ni Bell Canada.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4 % y precio del 2 %: renovación de redes P25 y TETRA y crecimiento del software.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3,5 % y precio del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3 % y precio del 2 %: converge hacia el gasto público nominal.</w:t>
            </w:r>
          </w:p>
        </w:tc>
      </w:tr>
    </w:tbl>
    <w:p>
      <w:pPr>
        <w:spacing w:after="160" w:before="0"/>
      </w:pPr>
    </w:p>
    <w:p>
      <w:pPr>
        <w:spacing w:after="100"/>
      </w:pPr>
      <w:r>
        <w:t xml:space="preserve">El crecimiento proyectado (5,8 % medio en 2026e-2033e; 4,9 % sin el perímetro de Silvus en 2026) está por debajo del histórico (6,8 % anual en 2019-2025) y del mercado de comunicaciones críticas (+10,4 % anual previsto [15]), y no necesita capital: el capex es del 2,4 % de las ventas y el circulante crece con ellas. Cuota: MCN vende 8.647 M USD frente a un LMR de 18.640 M (≈ 46 %); con nuestro crecimiento la cuota bajaría hacia el 40 % en 2030 si el mercado creciera lo que dicen las consultoras, así que no hace falta ganar cuota [1, 15]. Precio: los contratos de servicio a diez años y la condena de Hytera protegen el precio; el control de precios de Airwave en el Reino Unido es la excepción [9]. El ROIC operativo (≈ 20 %) supera al WACC en ≈ 10 puntos. El motor también da «Sí».</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14,8 % (base: 5,1 %)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49,6 % (base: 31,5 %)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 (WACC: 9,3 %)</w:t>
            </w:r>
          </w:p>
        </w:tc>
      </w:tr>
    </w:tbl>
    <w:p>
      <w:pPr>
        <w:spacing w:after="160" w:before="0"/>
      </w:pPr>
    </w:p>
    <w:p>
      <w:pPr>
        <w:spacing w:after="100"/>
      </w:pPr>
      <w:r>
        <w:t xml:space="preserve">El DCF da 264,80 USD por acción, un 42,9 % bajo el precio, con un WACC del 9,35 % y un valor terminal que pesa el 65 %. El DCF inverso dice que el precio descuenta un crecimiento del 14,8 % anual en 2027e-2033e con nuestro margen, frente al 5,1 % de nuestro base y al 10,4 % previsto para su mercado: el precio pide que Motorola crezca más que el mercado durante siete años. La rentabilidad implícita en el precio es del 6,9 % anual, por debajo del 9,35 % que pedimos y del 8,3 % que pide el mercado. Con la prima implícita del mercado (4,2 %) el DCF sube a 325,65 USD, aún un 30 % bajo el precio. El DCF castiga a Motorola por dos cosas que el BPA no GAAP no ve: los pagos en acciones (≈ 410 M USD al año, 2,4 USD por acción después de impuestos) y una tasa libre del 5,1 %.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Recortes o retrasos de presupuestos públicos (federal, estatal y fuera de EE. UU.), Axon y Flock ganan los concursos de vídeo y centros de mando, la memoria y los aranceles no se repercuten y Silvus se frena cuando baje el gasto en drones: tres puntos menos de crecimiento y 1,5 puntos menos de margen.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264,80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2026 cumplida, crecimiento del 7 % en 2027e bajando al 3,5 %, margen que sube 1,4 puntos hasta el 31,5 % por la mezcla de software y servicios.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295,71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Defensa y antidrones (Silvus, D-Fend) crecen a doble dígito, el software con IA (VESTA, Assist) acelera y la memoria se abarata: 1,5 puntos más de crecimiento y medio punto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USD) · precio actual 463,4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250,71 USD (-45,9 %).</w:t>
      </w:r>
    </w:p>
    <w:p>
      <w:pPr>
        <w:spacing w:after="100"/>
      </w:pPr>
      <w:r>
        <w:t xml:space="preserve">Los tres escenarios del DCF quedan muy por debajo del precio: bajista 177,52 USD (−61,7 %), base 264,80 (−42,9 %) y alcista 295,71 (−36,2 %). El valor intrínseco ponderado (276,30 USD) es un 40 % inferior al precio. Con la prima del mercado el alcista llega a 363,47 USD, aún un 22 % bajo el precio. El mercado no paga a Motorola por su flujo descontado sino por la seguridad de su BPA: lo valora como un activo de calidad a 24 veces el beneficio.</w:t>
      </w:r>
    </w:p>
    <w:p>
      <w:pPr>
        <w:pStyle w:val="Heading1"/>
      </w:pPr>
      <w:r>
        <w:t xml:space="preserve">22. Suma de partes</w:t>
      </w:r>
    </w:p>
    <w:p>
      <w:pPr>
        <w:pStyle w:val="Confianza"/>
        <w:spacing w:after="100"/>
      </w:pPr>
      <w:r>
        <w:t xml:space="preserve">Confianza: Media</w:t>
      </w:r>
    </w:p>
    <w:p>
      <w:pPr>
        <w:spacing w:after="100"/>
      </w:pPr>
      <w:r>
        <w:t xml:space="preserve">No aplica como método de valoración: los dos segmentos (Productos e Integración de Sistemas, 58 % de las ventas de 2025, y Software y Servicios, 42 %) venden a los mismos clientes (policía, bomberos, emergencias, administraciones) y los servicios y el software se apoyan en la base instalada de radios y redes ASTRO y TETRA [1]. Separarlos daría un resultado parecido al DCF con más supuestos.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USD) · precio actual 463,4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494,85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444,79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465,78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276,30 USD (-40,4 % sobre 463,46).</w:t>
      </w:r>
    </w:p>
    <w:p>
      <w:pPr>
        <w:spacing w:after="100"/>
      </w:pPr>
      <w:r>
        <w:t xml:space="preserve">Pesos: DCF 50 %, escenarios 35 % y comparables 15 %. El DCF es el método más completo, pero con una tasa libre del 5,1 % y los pagos en acciones como coste da valores muy bajos para una empresa de esta calidad; los comparables (PER de 19,6 veces) también quedan por debajo del precio. Las transacciones (Silvus a 20,6 veces el EBITDA, FLIR a 19,9, Everbridge a 4,0 veces las ventas) no se ponderan: son compras de partes más pequeñas con prima de control. Todos los métodos dan menos que el precio: Motorola cotiza por encima de cualquier valor de fundamentales salvo el de su propio múltiplo histórico.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351,75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(24.4x) a mitad de camino hacia abajo, hacia la mediana de 5 años (22.6x)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491,86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515,12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r>
    </w:tbl>
    <w:p>
      <w:pPr>
        <w:spacing w:after="160" w:before="0"/>
      </w:pPr>
    </w:p>
    <w:p>
      <w:pPr>
        <w:spacing w:after="100"/>
      </w:pPr>
      <w:r>
        <w:rPr>
          <w:b/>
          <w:bCs/>
        </w:rPr>
        <w:t xml:space="preserve">Objetivo a 12 meses (ponderado):</w:t>
      </w:r>
      <w:r>
        <w:t xml:space="preserve"> 462,65 USD · rentabilidad +0,9 % (base +7,2 %) · señal Mantener.</w:t>
      </w:r>
    </w:p>
    <w:p>
      <w:pPr>
        <w:spacing w:after="100"/>
      </w:pPr>
      <w:r>
        <w:t xml:space="preserve">Para comparar, con la regla v2 (historia al cierre, mismo precio): 20,7x / 24,4x / 24,7x, 6,2 %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no GAAP de 2026e (17,64 USD) y de 2027e (19,34) coinciden con el consenso (17,72 y 19,43) [27]: el de 2027e lleva menos ventas (13.887 M frente a 14.184 M, porque no incluimos D-Fend ni Bell Canada) y algo más de margen. Para 2028e no hay consenso público. Nuestro objetivo base (491,86 USD) queda un 6,7 % bajo el objetivo medio de los analistas (526,91; 476-550) porque aplicamos un PER de 23,5 veces y ellos ≈ 25-27 veces el BPA de 2027e.</w:t>
      </w:r>
    </w:p>
    <w:p>
      <w:pPr>
        <w:keepNext/>
        <w:spacing w:after="100"/>
      </w:pPr>
      <w:r>
        <w:rPr>
          <w:b/>
          <w:bCs/>
        </w:rPr>
        <w:t xml:space="preserve">Del valor intrínseco al objetivo a 12 meses.</w:t>
      </w:r>
    </w:p>
    <w:p>
      <w:pPr>
        <w:spacing w:after="100"/>
      </w:pPr>
      <w:r>
        <w:t xml:space="preserve">El objetivo a 12 meses (462,65 USD, ponderado 25/50/25) deja una rentabilidad del 0,9 % con el dividendo, y el base (491,86 USD) del 7,2 %: Mantener. El PER actual (24,4 veces el BPA de los próximos 12 meses) está por encima de la mediana adelantada de cinco años (22,6): la regla lo acerca a 23,5 en el base. El bajista (−24 %) pesa más que el alcista (+12 %). El BPA base crece un 10,8 % anual de 2025 a 2028e, dentro de su historia (+11,6 % anual en 2019-2025) y de la guía. Para Comprar haría falta, además de una ponderada del 15 %, que el precio bajara al valor intrínseco (276,30 USD): es esta segunda condición la que manda.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3T26: ventas +8 % y BPA no GAAP de 4,39-4,44 USD; primera lectura de D-Fend y de la guía para el 4T26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los servicios LMR de Bell Canada (675 M CAD)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Suma servicios recurrentes en Canadá; más deuda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frente a los 19,43 USD del consenso; efecto del coste de la memoria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Presupuesto federal de EE. UU. 2027 y fondos de la OBBBA para seguridad fronteriza y defensa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Silvus, D-Fend y radios federales (≈ 8 % de las ventas)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Cobros de Hytera (100 M USD al año ordenados por el tribunal)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no recurrentes y caja; 232 M ya cobrados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(2.000 M USD añadidos el 9-sep-2026)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 de BPA al año si se usan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Sucesión de Greg Brown (65 años, consejero delegado desde 2008)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de ejecución y de asignación de capital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24,4 veces el BPA no GAAP de los próximos 12 meses frente a una mediana adelantada de cinco años de 22,6 y a 19,6 de los comparables; el DCF da 265 USD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a −25 % si el PER vuelve a 19-21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que crece ≈ 10-11 % al año con la guía batida siete de ocho años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2027 por debajo de 19 USD o rotación fuera de defensivas de calidad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del gasto público en seguridad: la mayor parte de las ventas va a administraciones (el 10-K no da la cifra total; Gobierno federal de EE. UU. ≈ 8 %, estatales y locales la mayor parte); 28 % fuera de Norteamérica (Reino Unido con Airwave bajo control de precios). Contratos cancelables a conveniencia, cierres del Gobierno que retrasan adjudicaciones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y presupuestos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 de seguridad prioritario y poco cíclico (en 2020 las ventas solo cayeron un 6 %); cartera de 15.600 M USD; fondos de la OBBBA a cuatro años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que cae dos trimestres seguidos o pedidos de radio federales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L3Harris en P25 (radio de EE. UU.) y radios tácticas; Axon (cámaras corporales, evidencias en la nube, Draft One con IA), Flock y Verkada en vídeo, matrículas y centros de mando, que crecen 3-4 veces más rápido que el vídeo de Motorola (≈ 35 % frente a ≈ 10 %)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instalada de radio (≈ 46 % del LMR mundial) que abre la puerta al software; L3Harris se centra en defensa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Vídeo creciendo por debajo del 8 % o pérdida de concursos estatales de P25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caras y deuda: Silvus (4.400 M USD a 20,6 veces el EBITDA), D-Fend (1.500 M) y Bell Canada (≈ 500 M) en 14 meses; deuda bruta de ≈ 10.500 M, 2,8 veces el EBITDA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Silvus va por encima del plan (≈ 850 M de ventas en 2026 frente a 475 M); grado de inversión; flujo libre de ≈ 2.700 M al año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 fondo de comercio o ventas de Silvus por debajo de 800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memoria y aranceles (memoria ≈ 150 M USD en 2026 frente a 50 M en 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Repercusión de precios y diseño de producto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Productos por debajo del de 2025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Hytera y otros litigios (privacidad BIPA, matrículas)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Litigios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Condena penal y civil a favor de Motorola: los cobros son al alza; las demandas de privacidad son pequeñas frente al grupo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Hytera deja de pagar o nuevas demandas colectivas de privacidad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crecientes (293 M USD en 2025, ≈ 410 M en 2026) que el BPA no GAAP excluye, y ventas de directivos (101,5 M USD en 12 meses, ninguna compra)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del consejero delegado son ejercicios de opciones de 2016-2017 antes de su vencimiento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en acciones por encima del 3,5 % de las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rivales de software nativos de la nube con IA en vídeo y 911, y coste de la memoria; a la vez, la IA ayuda a vender software de emergencias y analítica de vídeo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radio crítica (74 % de las ventas) no la sustituye la IA; Motorola ya vende IA en VESTA, Assist y Avigilon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 de concursos de 911 o de vídeo frente a Axon o rivales con IA</w:t>
            </w:r>
          </w:p>
        </w:tc>
      </w:tr>
    </w:tbl>
    <w:p>
      <w:pPr>
        <w:spacing w:after="160" w:before="0"/>
      </w:pPr>
    </w:p>
    <w:p>
      <w:pPr>
        <w:pStyle w:val="Heading2"/>
      </w:pPr>
      <w:r>
        <w:t xml:space="preserve">Pre-mortem</w:t>
      </w:r>
    </w:p>
    <w:p>
      <w:pPr>
        <w:spacing w:after="100"/>
      </w:pPr>
      <w:r>
        <w:t xml:space="preserve">Octubre de 2028: la acción ha perdido un 30 %. El negocio no se hundió, pero se juntaron tres cosas. El Congreso recortó y retrasó fondos federales y varios estados aplazaron renovaciones de P25 por sus déficits; Silvus y D-Fend frenaron cuando el gasto en drones se normalizó tras los conflictos de 2025-2026, y hubo un deterioro de fondo de comercio. Axon y Flock, con IA generativa en informes y despacho, ganaron los grandes concursos de vídeo y centros de mando de las ciudades, y el mercado dejó de pagar 24 veces por un crecimiento del 5 %. Con el PER en 19 veces y un BPA plano en 2027, el precio cayó a 360 USD.</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±3 % a 3-5 años</w:t>
      </w:r>
    </w:p>
    <w:p>
      <w:pPr>
        <w:spacing w:after="100"/>
      </w:pPr>
      <w:r>
        <w:t xml:space="preserve">La IA puede ayudar a Motorola en lo que más crece: el software de los centros de emergencia (VESTA con IA en todas las ventas del 2T26, transcripción y traducción de llamadas al 911, el asistente Assist para policías y despachadores) y la analítica de vídeo (Avigilon, detección de matrículas y de incidentes), donde la IA vende más software y servicios sobre su base instalada [1, 12]. La radio crítica (74 % de las ventas) no la sustituye la IA: es hardware certificado, redes de 10-20 años y fiabilidad cuando el móvil falla. El riesgo está en dos sitios: rivales nativos de la nube con IA (Axon con Draft One y sus centros de mando, Flock, Verkada) que pueden quitarle concursos de vídeo y software, y el coste de la memoria, que la demanda de la IA triplica (≈ 150 M USD en 2026). En conjunto, exposición media y sentido mixto, más a favor que en contra mientras la base de radio le dé la puerta de entrada [1, 3].</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para las cifras es la privacidad y el uso de la IA en vídeo: la BIPA de Illinois y las leyes estatales de lectura de matrículas dan derecho de demanda a los particulares y crecen en número; el uso policial de reconocimiento facial y matrículas es un riesgo de reputación y de contratos [1]. Segundo, la ciberseguridad de redes críticas: un fallo en una red de emergencias costaría contratos [1]. Tercero, la cadena de suministro (subcontratistas en Asia, minerales) [1].</w:t>
      </w:r>
    </w:p>
    <w:p>
      <w:pPr>
        <w:pStyle w:val="Heading2"/>
      </w:pPr>
      <w:r>
        <w:t xml:space="preserve">Controversias</w:t>
      </w:r>
    </w:p>
    <w:p>
      <w:pPr>
        <w:spacing w:after="100"/>
      </w:pPr>
      <w:r>
        <w:t xml:space="preserve">Sin sanciones relevantes en tres años en los documentos leídos. Litigio activo como demandante contra Hytera (condena penal en marzo de 2026) [2]. Debate público sobre la vigilancia policial con lectores de matrículas y vídeo con IA, que afecta al sector (Flock, Axon)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crecerán las ventas orgánicas en 2027 sin Silvus, D-Fend ni Bell Canada, tras un −1,3 % en el 1T26 y un +4,5 % en el 2T26?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un 14,8 % anual; el orgánico reciente va al 2-4 %.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público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de 15.600 M USD depende de fondos federales (OBBBA, subvenciones) y cuánto se ha retrasado por presupuestos o cierres del Gobierno?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escenario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Vídeo frente a Axon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vídeo crece ≈ 10 % mientras Axon crece ≈ 35 %, y qué cuota de concursos de cámaras corporales y centros de mando gana Motorola?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parte de más crecimiento y donde la IA cambia el reparto.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Silvus y D-Fend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tienen Silvus y D-Fend, qué parte es defensa extranjera (Ucrania, Israel) y cuánto se repite si baja el gasto en drones?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5.900 M USD invertidos; Silvus aporta ≈ 5 puntos del crecimiento de 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los pagos en acciones pasan de 293 a ≈ 410 M USD en 2026 y cuánto es el earnout de Silvus en acciones (hasta 600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BPA no GAAP los excluye; son un coste real del 3 % de las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Hytera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queda por cobrar de la condena y qué garantías hay de que Hytera siga pagando 100 M USD al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caja al alza no incluida en el valor.</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Mayoría alcista desde el 2T26 («vuelta a máximos», «objetivo 500») y comparaciones con Axon tras publicar el mismo día; algún bajista aislado que abre cortos o rota a Cisco [36].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Artículos favorables («rentabilidad futura atractiva tras un trimestre fuerte», «infravalorada para inversores de dividendo») junto a dudas sobre la apuesta de 1.500 M en antidrones y una lista de «gigantes que no se han movido en un año»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MarketBeat (artículos y titulares)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que la ven a la vez «infravalorada un 11 %» y «sobrevalorada frente a su valor razonable»; atención a las ventas del consejero delegado y a la demanda de defensa [29].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y guía tras el 2T26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BPA no GAAP de 4,41 USD frente a una guía de 3,82-3,88 y guía anual subida; pero 0,25 USD vinieron de las devoluciones IEEPA, que no se repiten [36, 37].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con Axon y Flock en vídeo y matrículas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vídeo de Motorola crece ≈ 10 % frente a ≈ 35 % de Axon: gana dinero pero pierde peso en la parte de más crecimiento [29, 36].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en defensa y drones (Silvus, D-Fend)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Silvus va por encima del plan (≈ 850 M USD en 2026); D-Fend no tiene cifras publicadas y sube la deuda [37].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 24 veces el BPA no GAAP adelantado, por encima de los comparables; el informe le da un valor intrínseco inferior al precio [29].</w:t>
            </w:r>
          </w:p>
        </w:tc>
      </w:tr>
    </w:tbl>
    <w:p>
      <w:pPr>
        <w:spacing w:after="160" w:before="0"/>
      </w:pPr>
    </w:p>
    <w:p>
      <w:pPr>
        <w:spacing w:after="100"/>
      </w:pPr>
      <w:r>
        <w:t xml:space="preserve">El inversor particular está más contento que hace seis meses (tras el castigo de mayo), pero sin euforia: los temas que preocupan (competencia en vídeo, deuda por compras, valoración) son los mismos que recoge el informe. Nada en los foros contradice las cifras ni señala un riesgo nuevo; el sentimiento no aporta a la decisión más allá de confirmar que el mercado ya descuenta un buen 2T26 y espera más subidas de guía.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39 (24 primarias); citas distintas en el texto: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12,0 % frente a 11,6 % real: genera una variación de circulante de 199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39 fuentes (24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 21, 39.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3T24 y comparación con el consenso del 3T24-2T25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del 3T25 y 2T25 (solo dan el año anterior del propio trimestre); 2) 10-K 2025 (sin trimestres); 3) titulares de Seeking Alpha (solo desde el 1T26)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Años de PwC como 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(no lo dice); 2) proxy 2026 (ratificación sin antigüedad); 3) búsqueda no hecha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conjunta de los cinco primeros (CR5) y TCAC histórica del LMR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Fortune Business Insights (sin cuotas); 2) MarketsandMarkets (solo lista de empresas); 3) 10-K 2025 (sin cuota)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(MSCI,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no descargado (presupuesto); 2) proxy 2026 (sin notas); 3) páginas de MSCI y Sustainalytics requieren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del consenso y BPA de 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quoteSummary (solo 2026 y 2027, sin EBITDA); 2) MarketBeat (objetivos, sin estimaciones a 2028); 3) MarketScreener no abre sin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 homogéneo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(no lo da); 2) Stock Analysis (no consultado por presupuesto); 3) cálculo propio no homogéneo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y foros de particulares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(403); 2) foros de Yahoo (requiere sesión); 3) Motley Fool (sin hilos recientes de MSI)</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cuentas, segmentos, ventas por región y tecnología, cartera, deuda, pensiones, Silvus, Hytera, riesgos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Motorola Solutions,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https://www.sec.gov/Archives/edgar/data/68505/000006850526000010/msi-20251231.htm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10-Q del 2T26 (a 4-jul-2026): balance, earnout de Silvus, Hytera (civil y penal), recompras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Motorola Solutions,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https://www.sec.gov/Archives/edgar/data/68505/000006850526000028/msi-20260704.htm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Motorola Solutions Reports Second-Quarter 2026 Financial Results (conciliaciones no GAAP, guía 2026, D-Fend)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Motorola Solutions,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https://www.sec.gov/Archives/edgar/data/68505/000006850526000027/msiq22026pressrelease.htm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Motorola Solutions Reports First-Quarter 2026 Financial Results (earnout, Exacom, Hyper, Bell Canada)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Motorola Solutions,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https://www.sec.gov/Archives/edgar/data/68505/000006850526000018/msiq12026pressrelease.htm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Motorola Solutions Reports Fourth-Quarter and Full-Year 2025 Financial Results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Motorola Solutions,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https://www.sec.gov/Archives/edgar/data/68505/000006850526000006/msiq42025pressrelease.htm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Motorola Solutions Reports Third-Quarter 2025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Motorola Solutions,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https://www.sec.gov/Archives/edgar/data/68505/000006850525000050/msiq32025pressrelease.htm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Motorola Solutions Reports Second-Quarter 2025 Financial Results (financiación de Silvus)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Motorola Solutions,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https://www.sec.gov/Archives/edgar/data/68505/000006850525000038/msiq22025pressrelease.htm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anuales 2017-2024 (resultado operativo y BPA no GAAP, guías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Motorola Solutions,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https://www.sec.gov/Archives/edgar/data/68505/000006850525000008/msiq42024pressrelease.htm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2023 (segmentos 2021-2023, salida de ESN)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Motorola Solutions,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https://www.sec.gov/Archives/edgar/data/68505/000006850524000008/msi-20231231.htm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2021 (segmentos 2019-2021, compras)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Motorola Solutions,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https://www.sec.gov/Archives/edgar/data/68505/000006850522000010/msi-20211231.htm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Motorola Solutions (pagos en acciones, amortización de intangibles, depreciación)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https://data.sec.gov/api/xbrl/companyfacts/CIK0000068505.json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Motorola Solutions Q2 2026 Earnings Call Highlights (Silvus 850 M, memoria 150 M, VESTA con IA, fábrica de Salt Lake City)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https://www.gurufocus.com/news/9009623/motorola-solutions-inc-msi-q2-2026-earnings-call-highlights-record-sales-and-raised-guidance-signal-strong-momentum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Folleto 424B2: bonos de 950 M USD (4,85 % 2029 y 5,65 % 2036), compra de D-Fend y capitalización a 4-jul-2026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Motorola Solutions,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https://www.sec.gov/Archives/edgar/data/68505/000119312526342454/d162983d424b2.htm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del anuncio de la compra de Silvus (≈ 475 M USD de ventas 2025 y ≈ 45 % de margen EBITDA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Motorola Solutions,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https://www.sec.gov/Archives/edgar/data/68505/000119312525127588/d934424dex992.htm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Land Mobile Radio Market Size, Share &amp; Industry Analysis (18.640 M USD en 2025; 45.180 M en 2034; TCAC 10,4 %)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Fortune Business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https://www.fortunebusinessinsights.com/land-mobile-radio-market-113222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Land Mobile Radio Market worth $32.24 billion by 2030 (17.890 M USD en 2024; TCAC 10,7 % 2025-2030)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 (nota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https://www.webull.com/news/13878805249434624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ventas, márgenes y capitalización de L3Harris, Axon, Zebra, Tyler, Hytera, JVCKenwood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https://finance.yahoo.com/quote/MSI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comisiones, remuneración, accionistas, ratio de pago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Motorola Solutions,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https://www.sec.gov/Archives/edgar/data/68505/000119312526139004/d50373ddef14a.htm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2026 (18-may-2026)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Motorola Solutions,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https://www.sec.gov/Archives/edgar/data/68505/000119312526232694/d107048d8k.htm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Motorola Solutions,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https://www.sec.gov/Archives/edgar/data/68505/000119312525122455/d928031d8k.htm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Motorola Solutions,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https://www.sec.gov/Archives/edgar/data/68505/000119312524141186/d841624d8k.htm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directivos y consejeros (21-oct-2025 a 21-oct-2026), herramienta 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https://www.sec.gov/cgi-bin/browse-edgar?action=getcompany&amp;CIK=0000068505&amp;type=4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Mark Lashier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Motorola Solutions,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https://www.sec.gov/Archives/edgar/data/68505/000119312525286239/d36380dex991.htm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Peter Leav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Motorola Solutions,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https://www.sec.gov/Archives/edgar/data/68505/000119312526104278/d53953dex991.htm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Motorola Solutions Announces Increase to Share Repurchase Program (2.000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Motorola Solutions,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https://www.sec.gov/Archives/edgar/data/68505/000119312526386490/d492220dex991.htm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(MSI, SPY, XLK) con herramientas/bolsa.mjs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https://finance.yahoo.com/quote/MSI/history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consenso de BPA y ventas, objetivos, recomendaciones y comparables (21-oct-2026, 15:18 UTC)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https://finance.yahoo.com/quote/MSI/analysis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Motorola Solutions price target, forecast and analyst ratings (cambios de recomendación y objetivo de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https://www.marketbeat.com/stocks/NYSE/MSI/forecast/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Motorola Solutions (fecha de resultados del 3T26 el 4-nov, cierre de D-Fend, contrato de Luisiana)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https://www.marketbeat.com/stocks/NYSE/MSI/news/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5,12 % el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Teledyne Completes Acquisition of FLIR (≈ 8.200 M USD con deuda neta)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Teledyne Technologies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https://www.sec.gov/Archives/edgar/data/1094285/000119312521161542/d494339dex991.htm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Thoma Bravo completes acquisition of Everbridge (≈ 1.800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Everbridge,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https://www.sec.gov/Archives/edgar/data/1437352/000119312524173902/d804733dex991.htm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FLIR Systems (2020) y Everbridge (2023): ventas, resultado operativo y amortizaciones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https://data.sec.gov/api/xbrl/companyfacts/CIK0000354908.json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Motorola Solutions (MSI) shares are falling today (8-may-2026)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StockStory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https://stocks.observer-reporter.com/observerreporter/article/stockstory-2026-5-8-why-motorola-solutions-msi-shares-are-falling-today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$MSI (30 mensajes, agosto-octubre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https://stocktwits.com/symbol/MSI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artículos y noticias de MSI (RSS, mayo-octubre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https://seekingalpha.com/symbol/MSI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5,12 % el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89,7 %</w:t>
      </w:r>
      <w:r>
        <w:t xml:space="preserve"> · Secciones con menos del 60 % de campos cubiertos: </w:t>
      </w:r>
      <w:r>
        <w:rPr>
          <w:b/>
          <w:bCs/>
        </w:rPr>
        <w:t xml:space="preserve">ninguna</w:t>
      </w:r>
      <w:r>
        <w:t xml:space="preserve"> · Generado el 21 oct 2026.</w:t>
      </w:r>
    </w:p>
    <w:p>
      <w:pPr>
        <w:pStyle w:val="Nota"/>
        <w:spacing w:after="100"/>
      </w:pPr>
      <w:r>
        <w:t xml:space="preserve">Cifras en millones de USD, ejercicio a 31 de diciembre. Último ejercicio auditado: 2025 (10-K de febrero de 2026); último trimestre: 2T26, cerrado el 4-jul-2026 (10-Q de agosto) [1, 2]. El 3T26 se publica el 4-nov-2026, catorce días después del corte. Precio: cierre del 20-oct-2026 (463,46 USD); la sesión del 21-oct estaba abierta al hacer el análisis (465,40 USD a las 15:18 UTC [27]) y la decisión se comprueba con ese precio en las pruebas de robustez. El BPA de la regla a 12 meses y su historia están en la base NO GAAP de la empresa (sin pagos en acciones, amortización de intangibles comprados ni partidas destacadas), la misma que la guía y el consenso; el DCF, en cambio, resta los pagos en acciones (≈ 3,2 % de las ventas en 2026) y la reestructuración como coste. El BPA de 2026e incluye 0,25 USD de devoluciones de aranceles IEEPA que no se repiten [3]. D-Fend (1.500 M USD, cerrada el 20-ago-2026, después de la fecha del puente) y los servicios LMR de Bell Canada (≈ 500 M USD, cierre previsto en el 4T26) no están ni en la proyección ni en el puente: se tratan como neutras (lo pagado ≈ lo que valen). Si D-Fend valiera la mitad de lo pagado, el valor por acción bajaría ≈ 4,5 USD. Los cobros pendientes de Hytera (condena de 100 M USD al año, 232 M cobrados) no se suman: son un potencial al alza. La ficha sectorial corta no se ha hecho porque este análisis corre en paralelo con otros y no puede escribir en sectores/: el perímetro y el mercado salen de la nota B. Calificaciones de S&amp;P y Moody's y ESG sin comprobar.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Motorola Solutions, Inc. (MSI)</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463,46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(359,36 – 494,85)</c:v>
                </c:pt>
                <c:pt idx="1">
                  <c:v>Precio objetivo de los analistas (476,00 – 550,00)</c:v>
                </c:pt>
                <c:pt idx="2">
                  <c:v>Comparables: PER NTM (331,34 – 468,37)</c:v>
                </c:pt>
                <c:pt idx="3">
                  <c:v>Transacciones precedentes (EV/ventas) (252,32 – 444,79)</c:v>
                </c:pt>
                <c:pt idx="4">
                  <c:v>DCF (WACC y g ± 0,5) (228,48 – 314,49)</c:v>
                </c:pt>
                <c:pt idx="5">
                  <c:v>Escenarios (bajista – alcista) (177,52 – 295,71)</c:v>
                </c:pt>
                <c:pt idx="6">
                  <c:v>DCF con la prima implícita del mercado (4,2 %)</c:v>
                </c:pt>
                <c:pt idx="7">
                  <c:v>Precio actual (463,46)</c:v>
                </c:pt>
              </c:strCache>
            </c:strRef>
          </c:cat>
          <c:val>
            <c:numRef>
              <c:f>Hoja1!$B$2:$B$9</c:f>
              <c:numCache>
                <c:formatCode>#,##0</c:formatCode>
                <c:ptCount val="8"/>
                <c:pt idx="0">
                  <c:v>359.36</c:v>
                </c:pt>
                <c:pt idx="1">
                  <c:v>476</c:v>
                </c:pt>
                <c:pt idx="2">
                  <c:v>331.34</c:v>
                </c:pt>
                <c:pt idx="3">
                  <c:v>252.32</c:v>
                </c:pt>
                <c:pt idx="4">
                  <c:v>228.48</c:v>
                </c:pt>
                <c:pt idx="5">
                  <c:v>177.52</c:v>
                </c:pt>
                <c:pt idx="6">
                  <c:v>293.4</c:v>
                </c:pt>
                <c:pt idx="7">
                  <c:v>461.14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(359,36 – 494,85)</c:v>
                </c:pt>
                <c:pt idx="1">
                  <c:v>Precio objetivo de los analistas (476,00 – 550,00)</c:v>
                </c:pt>
                <c:pt idx="2">
                  <c:v>Comparables: PER NTM (331,34 – 468,37)</c:v>
                </c:pt>
                <c:pt idx="3">
                  <c:v>Transacciones precedentes (EV/ventas) (252,32 – 444,79)</c:v>
                </c:pt>
                <c:pt idx="4">
                  <c:v>DCF (WACC y g ± 0,5) (228,48 – 314,49)</c:v>
                </c:pt>
                <c:pt idx="5">
                  <c:v>Escenarios (bajista – alcista) (177,52 – 295,71)</c:v>
                </c:pt>
                <c:pt idx="6">
                  <c:v>DCF con la prima implícita del mercado (4,2 %)</c:v>
                </c:pt>
                <c:pt idx="7">
                  <c:v>Precio actual (463,46)</c:v>
                </c:pt>
              </c:strCache>
            </c:strRef>
          </c:cat>
          <c:val>
            <c:numRef>
              <c:f>Hoja1!$C$2:$C$9</c:f>
              <c:numCache>
                <c:formatCode>#,##0</c:formatCode>
                <c:ptCount val="8"/>
                <c:pt idx="0">
                  <c:v>135.49</c:v>
                </c:pt>
                <c:pt idx="1">
                  <c:v>74</c:v>
                </c:pt>
                <c:pt idx="2">
                  <c:v>137.03000000000003</c:v>
                </c:pt>
                <c:pt idx="3">
                  <c:v>192.47000000000003</c:v>
                </c:pt>
                <c:pt idx="4">
                  <c:v>86.01000000000002</c:v>
                </c:pt>
                <c:pt idx="5">
                  <c:v>118.18999999999997</c:v>
                </c:pt>
                <c:pt idx="6">
                  <c:v>71.24000000000001</c:v>
                </c:pt>
                <c:pt idx="7">
                  <c:v>4.639999999999986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Products and Systems Integration</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5329</c:v>
                </c:pt>
                <c:pt idx="1">
                  <c:v>4634</c:v>
                </c:pt>
                <c:pt idx="2">
                  <c:v>5033</c:v>
                </c:pt>
                <c:pt idx="3">
                  <c:v>5728</c:v>
                </c:pt>
                <c:pt idx="4">
                  <c:v>6242</c:v>
                </c:pt>
                <c:pt idx="5">
                  <c:v>6883</c:v>
                </c:pt>
                <c:pt idx="6">
                  <c:v>7253</c:v>
                </c:pt>
              </c:numCache>
            </c:numRef>
          </c:val>
        </c:ser>
        <c:ser>
          <c:idx val="1"/>
          <c:order val="1"/>
          <c:tx>
            <c:strRef>
              <c:f>Hoja1!$C$1</c:f>
              <c:strCache>
                <c:ptCount val="1"/>
                <c:pt idx="0">
                  <c:v>Software and Services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2558</c:v>
                </c:pt>
                <c:pt idx="1">
                  <c:v>2780</c:v>
                </c:pt>
                <c:pt idx="2">
                  <c:v>3138</c:v>
                </c:pt>
                <c:pt idx="3">
                  <c:v>3384</c:v>
                </c:pt>
                <c:pt idx="4">
                  <c:v>3736</c:v>
                </c:pt>
                <c:pt idx="5">
                  <c:v>3934</c:v>
                </c:pt>
                <c:pt idx="6">
                  <c:v>4429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Products and Systems Integration</c:v>
                </c:pt>
                <c:pt idx="1">
                  <c:v>Software and Services</c:v>
                </c:pt>
              </c:strCache>
            </c:strRef>
          </c:cat>
          <c:val>
            <c:numRef>
              <c:f>Hoja1!$B$2:$B$3</c:f>
              <c:numCache>
                <c:formatCode>General</c:formatCode>
                <c:ptCount val="2"/>
                <c:pt idx="0">
                  <c:v>62.1</c:v>
                </c:pt>
                <c:pt idx="1">
                  <c:v>37.9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Norteamérica</c:v>
                </c:pt>
                <c:pt idx="1">
                  <c:v>Internacional</c:v>
                </c:pt>
              </c:strCache>
            </c:strRef>
          </c:cat>
          <c:val>
            <c:numRef>
              <c:f>Hoja1!$B$2:$B$3</c:f>
              <c:numCache>
                <c:formatCode>0"%"</c:formatCode>
                <c:ptCount val="2"/>
                <c:pt idx="0">
                  <c:v>71.6</c:v>
                </c:pt>
                <c:pt idx="1">
                  <c:v>28.4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2024</c:v>
                </c:pt>
                <c:pt idx="1">
                  <c:v>2025</c:v>
                </c:pt>
                <c:pt idx="2">
                  <c:v>2026e</c:v>
                </c:pt>
                <c:pt idx="3">
                  <c:v>2030e</c:v>
                </c:pt>
                <c:pt idx="4">
                  <c:v>2034e</c:v>
                </c:pt>
              </c:strCache>
            </c:strRef>
          </c:cat>
          <c:val>
            <c:numRef>
              <c:f>Hoja1!$B$2:$B$6</c:f>
              <c:numCache>
                <c:formatCode>#,##0</c:formatCode>
                <c:ptCount val="5"/>
                <c:pt idx="0">
                  <c:v>17890</c:v>
                </c:pt>
                <c:pt idx="1">
                  <c:v>18640</c:v>
                </c:pt>
                <c:pt idx="2">
                  <c:v>20480</c:v>
                </c:pt>
                <c:pt idx="3">
                  <c:v>30420</c:v>
                </c:pt>
                <c:pt idx="4">
                  <c:v>45180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Motorola Solutions</c:v>
                </c:pt>
                <c:pt idx="1">
                  <c:v>L3Harris Technologies</c:v>
                </c:pt>
                <c:pt idx="2">
                  <c:v>Axon Enterprise</c:v>
                </c:pt>
                <c:pt idx="3">
                  <c:v>Hytera Communications</c:v>
                </c:pt>
                <c:pt idx="4">
                  <c:v>Zebra Technologies</c:v>
                </c:pt>
                <c:pt idx="5">
                  <c:v>Tyler Technologies</c:v>
                </c:pt>
                <c:pt idx="6">
                  <c:v>JVCKenwood</c:v>
                </c:pt>
              </c:strCache>
            </c:strRef>
          </c:cat>
          <c:val>
            <c:numRef>
              <c:f>Hoja1!$B$2:$B$8</c:f>
              <c:numCache>
                <c:formatCode>0.0"%"</c:formatCode>
                <c:ptCount val="7"/>
                <c:pt idx="0">
                  <c:v>24.2</c:v>
                </c:pt>
                <c:pt idx="1">
                  <c:v>12.6</c:v>
                </c:pt>
                <c:pt idx="2">
                  <c:v>5.2</c:v>
                </c:pt>
                <c:pt idx="3">
                  <c:v>8.4</c:v>
                </c:pt>
                <c:pt idx="4">
                  <c:v>21.3</c:v>
                </c:pt>
                <c:pt idx="5">
                  <c:v>14.7</c:v>
                </c:pt>
                <c:pt idx="6">
                  <c:v>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5</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strCache>
            </c:strRef>
          </c:cat>
          <c:val>
            <c:numRef>
              <c:f>Hoja1!$B$2:$B$16</c:f>
              <c:numCache>
                <c:formatCode>#,##0</c:formatCode>
                <c:ptCount val="15"/>
                <c:pt idx="0">
                  <c:v>7887</c:v>
                </c:pt>
                <c:pt idx="1">
                  <c:v>7414</c:v>
                </c:pt>
                <c:pt idx="2">
                  <c:v>8171</c:v>
                </c:pt>
                <c:pt idx="3">
                  <c:v>9112</c:v>
                </c:pt>
                <c:pt idx="4">
                  <c:v>9978</c:v>
                </c:pt>
                <c:pt idx="5">
                  <c:v>10817</c:v>
                </c:pt>
                <c:pt idx="6">
                  <c:v>11682</c:v>
                </c:pt>
                <c:pt idx="7">
                  <c:v>12979</c:v>
                </c:pt>
                <c:pt idx="8">
                  <c:v>13887</c:v>
                </c:pt>
                <c:pt idx="9">
                  <c:v>14720</c:v>
                </c:pt>
                <c:pt idx="10">
                  <c:v>15530</c:v>
                </c:pt>
                <c:pt idx="11">
                  <c:v>16307</c:v>
                </c:pt>
                <c:pt idx="12">
                  <c:v>17040</c:v>
                </c:pt>
                <c:pt idx="13">
                  <c:v>17722</c:v>
                </c:pt>
                <c:pt idx="14">
                  <c:v>18342</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strCache>
            </c:strRef>
          </c:cat>
          <c:val>
            <c:numRef>
              <c:f>Hoja1!$C$2:$C$16</c:f>
              <c:numCache>
                <c:formatCode>#,##0</c:formatCode>
                <c:ptCount val="15"/>
                <c:pt idx="0">
                  <c:v>1975</c:v>
                </c:pt>
                <c:pt idx="1">
                  <c:v>1792</c:v>
                </c:pt>
                <c:pt idx="2">
                  <c:v>2105</c:v>
                </c:pt>
                <c:pt idx="3">
                  <c:v>2233</c:v>
                </c:pt>
                <c:pt idx="4">
                  <c:v>2650</c:v>
                </c:pt>
                <c:pt idx="5">
                  <c:v>2963</c:v>
                </c:pt>
                <c:pt idx="6">
                  <c:v>3256</c:v>
                </c:pt>
                <c:pt idx="7">
                  <c:v>3907</c:v>
                </c:pt>
                <c:pt idx="8">
                  <c:v>4249</c:v>
                </c:pt>
                <c:pt idx="9">
                  <c:v>4563</c:v>
                </c:pt>
                <c:pt idx="10">
                  <c:v>4861</c:v>
                </c:pt>
                <c:pt idx="11">
                  <c:v>5137</c:v>
                </c:pt>
                <c:pt idx="12">
                  <c:v>5368</c:v>
                </c:pt>
                <c:pt idx="13">
                  <c:v>5582</c:v>
                </c:pt>
                <c:pt idx="14">
                  <c:v>5778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49.8</c:v>
                </c:pt>
                <c:pt idx="1">
                  <c:v>48.7</c:v>
                </c:pt>
                <c:pt idx="2">
                  <c:v>49.4</c:v>
                </c:pt>
                <c:pt idx="3">
                  <c:v>46.4</c:v>
                </c:pt>
                <c:pt idx="4">
                  <c:v>49.8</c:v>
                </c:pt>
                <c:pt idx="5">
                  <c:v>51</c:v>
                </c:pt>
                <c:pt idx="6">
                  <c:v>51.7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25</c:v>
                </c:pt>
                <c:pt idx="1">
                  <c:v>24.2</c:v>
                </c:pt>
                <c:pt idx="2">
                  <c:v>25.8</c:v>
                </c:pt>
                <c:pt idx="3">
                  <c:v>24.5</c:v>
                </c:pt>
                <c:pt idx="4">
                  <c:v>26.6</c:v>
                </c:pt>
                <c:pt idx="5">
                  <c:v>27.4</c:v>
                </c:pt>
                <c:pt idx="6">
                  <c:v>27.9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20</c:v>
                </c:pt>
                <c:pt idx="1">
                  <c:v>18.7</c:v>
                </c:pt>
                <c:pt idx="2">
                  <c:v>20.4</c:v>
                </c:pt>
                <c:pt idx="3">
                  <c:v>19.7</c:v>
                </c:pt>
                <c:pt idx="4">
                  <c:v>23</c:v>
                </c:pt>
                <c:pt idx="5">
                  <c:v>24.3</c:v>
                </c:pt>
                <c:pt idx="6">
                  <c:v>24.2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11</c:v>
                </c:pt>
                <c:pt idx="1">
                  <c:v>12.8</c:v>
                </c:pt>
                <c:pt idx="2">
                  <c:v>15.2</c:v>
                </c:pt>
                <c:pt idx="3">
                  <c:v>15</c:v>
                </c:pt>
                <c:pt idx="4">
                  <c:v>17.1</c:v>
                </c:pt>
                <c:pt idx="5">
                  <c:v>14.6</c:v>
                </c:pt>
                <c:pt idx="6">
                  <c:v>18.4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1">
                  <c:v>5.7</c:v>
                </c:pt>
                <c:pt idx="2">
                  <c:v>5.8</c:v>
                </c:pt>
                <c:pt idx="3">
                  <c:v>5.2</c:v>
                </c:pt>
                <c:pt idx="4">
                  <c:v>7.8</c:v>
                </c:pt>
                <c:pt idx="5">
                  <c:v>12.3</c:v>
                </c:pt>
                <c:pt idx="6">
                  <c:v>7.4</c:v>
                </c:pt>
                <c:pt idx="7">
                  <c:v>13.3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3">
                  <c:v>3.7</c:v>
                </c:pt>
                <c:pt idx="4">
                  <c:v>3.4</c:v>
                </c:pt>
                <c:pt idx="5">
                  <c:v>6</c:v>
                </c:pt>
                <c:pt idx="6">
                  <c:v>-1.3</c:v>
                </c:pt>
                <c:pt idx="7">
                  <c:v>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65</c:v>
                </c:pt>
                <c:pt idx="1">
                  <c:v>68</c:v>
                </c:pt>
                <c:pt idx="2">
                  <c:v>62</c:v>
                </c:pt>
                <c:pt idx="3">
                  <c:v>61</c:v>
                </c:pt>
                <c:pt idx="4">
                  <c:v>63</c:v>
                </c:pt>
                <c:pt idx="5">
                  <c:v>66</c:v>
                </c:pt>
                <c:pt idx="6">
                  <c:v>69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41</c:v>
                </c:pt>
                <c:pt idx="1">
                  <c:v>49</c:v>
                </c:pt>
                <c:pt idx="2">
                  <c:v>70</c:v>
                </c:pt>
                <c:pt idx="3">
                  <c:v>79</c:v>
                </c:pt>
                <c:pt idx="4">
                  <c:v>60</c:v>
                </c:pt>
                <c:pt idx="5">
                  <c:v>53</c:v>
                </c:pt>
                <c:pt idx="6">
                  <c:v>64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57</c:v>
                </c:pt>
                <c:pt idx="1">
                  <c:v>59</c:v>
                </c:pt>
                <c:pt idx="2">
                  <c:v>75</c:v>
                </c:pt>
                <c:pt idx="3">
                  <c:v>79</c:v>
                </c:pt>
                <c:pt idx="4">
                  <c:v>64</c:v>
                </c:pt>
                <c:pt idx="5">
                  <c:v>70</c:v>
                </c:pt>
                <c:pt idx="6">
                  <c:v>73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1561</c:v>
                </c:pt>
                <c:pt idx="1">
                  <c:v>1384</c:v>
                </c:pt>
                <c:pt idx="2">
                  <c:v>1583</c:v>
                </c:pt>
                <c:pt idx="3">
                  <c:v>1563</c:v>
                </c:pt>
                <c:pt idx="4">
                  <c:v>1791</c:v>
                </c:pt>
                <c:pt idx="5">
                  <c:v>2134</c:v>
                </c:pt>
                <c:pt idx="6">
                  <c:v>2572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868</c:v>
                </c:pt>
                <c:pt idx="1">
                  <c:v>949</c:v>
                </c:pt>
                <c:pt idx="2">
                  <c:v>1245</c:v>
                </c:pt>
                <c:pt idx="3">
                  <c:v>1363</c:v>
                </c:pt>
                <c:pt idx="4">
                  <c:v>1709</c:v>
                </c:pt>
                <c:pt idx="5">
                  <c:v>1577</c:v>
                </c:pt>
                <c:pt idx="6">
                  <c:v>2154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39.9</c:v>
                </c:pt>
                <c:pt idx="1">
                  <c:v>32.9</c:v>
                </c:pt>
                <c:pt idx="2">
                  <c:v>37.4</c:v>
                </c:pt>
                <c:pt idx="3">
                  <c:v>37.6</c:v>
                </c:pt>
                <c:pt idx="4">
                  <c:v>37.1</c:v>
                </c:pt>
                <c:pt idx="5">
                  <c:v>39.5</c:v>
                </c:pt>
                <c:pt idx="6">
                  <c:v>27.1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9.4</c:v>
                </c:pt>
                <c:pt idx="1">
                  <c:v>9.4</c:v>
                </c:pt>
                <c:pt idx="2">
                  <c:v>9.4</c:v>
                </c:pt>
                <c:pt idx="3">
                  <c:v>9.4</c:v>
                </c:pt>
                <c:pt idx="4">
                  <c:v>9.4</c:v>
                </c:pt>
                <c:pt idx="5">
                  <c:v>9.4</c:v>
                </c:pt>
                <c:pt idx="6">
                  <c:v>9.4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-124</c:v>
                </c:pt>
                <c:pt idx="1">
                  <c:v>-150.9</c:v>
                </c:pt>
                <c:pt idx="2">
                  <c:v>-416.4</c:v>
                </c:pt>
                <c:pt idx="3">
                  <c:v>3586.8</c:v>
                </c:pt>
                <c:pt idx="4">
                  <c:v>406.9</c:v>
                </c:pt>
                <c:pt idx="5">
                  <c:v>130</c:v>
                </c:pt>
                <c:pt idx="6">
                  <c:v>104.7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2.09</c:v>
                </c:pt>
                <c:pt idx="1">
                  <c:v>2.19</c:v>
                </c:pt>
                <c:pt idx="2">
                  <c:v>1.81</c:v>
                </c:pt>
                <c:pt idx="3">
                  <c:v>2.1</c:v>
                </c:pt>
                <c:pt idx="4">
                  <c:v>1.63</c:v>
                </c:pt>
                <c:pt idx="5">
                  <c:v>1.31</c:v>
                </c:pt>
                <c:pt idx="6">
                  <c:v>2.46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750</c:v>
                </c:pt>
                <c:pt idx="1">
                  <c:v>0</c:v>
                </c:pt>
                <c:pt idx="2">
                  <c:v>1500</c:v>
                </c:pt>
                <c:pt idx="3">
                  <c:v>1200</c:v>
                </c:pt>
                <c:pt idx="4">
                  <c:v>1500</c:v>
                </c:pt>
                <c:pt idx="5">
                  <c:v>4212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709</c:v>
                </c:pt>
                <c:pt idx="1">
                  <c:v>287</c:v>
                </c:pt>
                <c:pt idx="2">
                  <c:v>521</c:v>
                </c:pt>
                <c:pt idx="3">
                  <c:v>1177</c:v>
                </c:pt>
                <c:pt idx="4">
                  <c:v>180</c:v>
                </c:pt>
                <c:pt idx="5">
                  <c:v>290</c:v>
                </c:pt>
                <c:pt idx="6">
                  <c:v>4916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379</c:v>
                </c:pt>
                <c:pt idx="1">
                  <c:v>436</c:v>
                </c:pt>
                <c:pt idx="2">
                  <c:v>482</c:v>
                </c:pt>
                <c:pt idx="3">
                  <c:v>530</c:v>
                </c:pt>
                <c:pt idx="4">
                  <c:v>589</c:v>
                </c:pt>
                <c:pt idx="5">
                  <c:v>654</c:v>
                </c:pt>
                <c:pt idx="6">
                  <c:v>728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315</c:v>
                </c:pt>
                <c:pt idx="1">
                  <c:v>612</c:v>
                </c:pt>
                <c:pt idx="2">
                  <c:v>528</c:v>
                </c:pt>
                <c:pt idx="3">
                  <c:v>836</c:v>
                </c:pt>
                <c:pt idx="4">
                  <c:v>804</c:v>
                </c:pt>
                <c:pt idx="5">
                  <c:v>244</c:v>
                </c:pt>
                <c:pt idx="6">
                  <c:v>1154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The Vanguard Group</c:v>
                </c:pt>
                <c:pt idx="1">
                  <c:v>BlackRock, Inc.</c:v>
                </c:pt>
                <c:pt idx="2">
                  <c:v>Consejeros y directivos (16 personas, con opciones)</c:v>
                </c:pt>
              </c:strCache>
            </c:strRef>
          </c:cat>
          <c:val>
            <c:numRef>
              <c:f>Hoja1!$B$2:$B$4</c:f>
              <c:numCache>
                <c:formatCode>0.0"%"</c:formatCode>
                <c:ptCount val="3"/>
                <c:pt idx="0">
                  <c:v>13.34</c:v>
                </c:pt>
                <c:pt idx="1">
                  <c:v>8.02</c:v>
                </c:pt>
                <c:pt idx="2">
                  <c:v>1.28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23.9</c:v>
                </c:pt>
                <c:pt idx="1">
                  <c:v>11.4</c:v>
                </c:pt>
                <c:pt idx="2">
                  <c:v>29.6</c:v>
                </c:pt>
                <c:pt idx="3">
                  <c:v>42.2</c:v>
                </c:pt>
                <c:pt idx="4">
                  <c:v>7.4</c:v>
                </c:pt>
                <c:pt idx="5">
                  <c:v>61.9</c:v>
                </c:pt>
                <c:pt idx="6">
                  <c:v>-3.8</c:v>
                </c:pt>
                <c:pt idx="7">
                  <c:v>23</c:v>
                </c:pt>
                <c:pt idx="8">
                  <c:v>49.1</c:v>
                </c:pt>
                <c:pt idx="9">
                  <c:v>-16.2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16.4</c:v>
                </c:pt>
                <c:pt idx="1">
                  <c:v>18.7</c:v>
                </c:pt>
                <c:pt idx="2">
                  <c:v>24.2</c:v>
                </c:pt>
                <c:pt idx="3">
                  <c:v>21.9</c:v>
                </c:pt>
                <c:pt idx="4">
                  <c:v>22</c:v>
                </c:pt>
                <c:pt idx="5">
                  <c:v>28</c:v>
                </c:pt>
                <c:pt idx="6">
                  <c:v>22.4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22</c:v>
                </c:pt>
                <c:pt idx="1">
                  <c:v>22</c:v>
                </c:pt>
                <c:pt idx="2">
                  <c:v>22</c:v>
                </c:pt>
                <c:pt idx="3">
                  <c:v>22</c:v>
                </c:pt>
                <c:pt idx="4">
                  <c:v>22</c:v>
                </c:pt>
                <c:pt idx="5">
                  <c:v>22</c:v>
                </c:pt>
                <c:pt idx="6">
                  <c:v>22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Silvus Technologies (MANET para drones y defensa)</c:v>
                </c:pt>
                <c:pt idx="1">
                  <c:v>FLIR Systems (imagen térmica y vídeo)</c:v>
                </c:pt>
                <c:pt idx="2">
                  <c:v>Everbridge (gestión de emergencias críticas, software)</c:v>
                </c:pt>
                <c:pt idx="3">
                  <c:v>D-Fend Solutions (antidrones)</c:v>
                </c:pt>
                <c:pt idx="4">
                  <c:v>Servicios de redes LMR de Bell Canada</c:v>
                </c:pt>
              </c:strCache>
            </c:strRef>
          </c:cat>
          <c:val>
            <c:numRef>
              <c:f>Hoja1!$B$2:$B$6</c:f>
              <c:numCache>
                <c:formatCode>0.0"x"</c:formatCode>
                <c:ptCount val="5"/>
                <c:pt idx="0">
                  <c:v>20.6</c:v>
                </c:pt>
                <c:pt idx="1">
                  <c:v>19.9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2631</c:v>
                </c:pt>
                <c:pt idx="1">
                  <c:v>2964</c:v>
                </c:pt>
                <c:pt idx="2">
                  <c:v>3189</c:v>
                </c:pt>
                <c:pt idx="3">
                  <c:v>3394</c:v>
                </c:pt>
                <c:pt idx="4">
                  <c:v>3583</c:v>
                </c:pt>
                <c:pt idx="5">
                  <c:v>3742</c:v>
                </c:pt>
                <c:pt idx="6">
                  <c:v>3893</c:v>
                </c:pt>
                <c:pt idx="7">
                  <c:v>4036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18285</c:v>
                </c:pt>
                <c:pt idx="1">
                  <c:v>34398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463,46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177.52</c:v>
                </c:pt>
                <c:pt idx="1">
                  <c:v>264.8</c:v>
                </c:pt>
                <c:pt idx="2">
                  <c:v>295.71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463,46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(359,36 – 494,85)</c:v>
                </c:pt>
                <c:pt idx="1">
                  <c:v>Precio objetivo de los analistas (476,00 – 550,00)</c:v>
                </c:pt>
                <c:pt idx="2">
                  <c:v>Comparables: PER NTM (331,34 – 468,37)</c:v>
                </c:pt>
                <c:pt idx="3">
                  <c:v>Transacciones precedentes (EV/ventas) (252,32 – 444,79)</c:v>
                </c:pt>
                <c:pt idx="4">
                  <c:v>DCF (WACC y g ± 0,5) (228,48 – 314,49)</c:v>
                </c:pt>
                <c:pt idx="5">
                  <c:v>Escenarios (bajista – alcista) (177,52 – 295,71)</c:v>
                </c:pt>
                <c:pt idx="6">
                  <c:v>DCF con la prima implícita del mercado (4,2 %)</c:v>
                </c:pt>
                <c:pt idx="7">
                  <c:v>Precio actual (463,46)</c:v>
                </c:pt>
              </c:strCache>
            </c:strRef>
          </c:cat>
          <c:val>
            <c:numRef>
              <c:f>Hoja1!$B$2:$B$9</c:f>
              <c:numCache>
                <c:formatCode>#,##0</c:formatCode>
                <c:ptCount val="8"/>
                <c:pt idx="0">
                  <c:v>359.36</c:v>
                </c:pt>
                <c:pt idx="1">
                  <c:v>476</c:v>
                </c:pt>
                <c:pt idx="2">
                  <c:v>331.34</c:v>
                </c:pt>
                <c:pt idx="3">
                  <c:v>252.32</c:v>
                </c:pt>
                <c:pt idx="4">
                  <c:v>228.48</c:v>
                </c:pt>
                <c:pt idx="5">
                  <c:v>177.52</c:v>
                </c:pt>
                <c:pt idx="6">
                  <c:v>293.4</c:v>
                </c:pt>
                <c:pt idx="7">
                  <c:v>461.14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(359,36 – 494,85)</c:v>
                </c:pt>
                <c:pt idx="1">
                  <c:v>Precio objetivo de los analistas (476,00 – 550,00)</c:v>
                </c:pt>
                <c:pt idx="2">
                  <c:v>Comparables: PER NTM (331,34 – 468,37)</c:v>
                </c:pt>
                <c:pt idx="3">
                  <c:v>Transacciones precedentes (EV/ventas) (252,32 – 444,79)</c:v>
                </c:pt>
                <c:pt idx="4">
                  <c:v>DCF (WACC y g ± 0,5) (228,48 – 314,49)</c:v>
                </c:pt>
                <c:pt idx="5">
                  <c:v>Escenarios (bajista – alcista) (177,52 – 295,71)</c:v>
                </c:pt>
                <c:pt idx="6">
                  <c:v>DCF con la prima implícita del mercado (4,2 %)</c:v>
                </c:pt>
                <c:pt idx="7">
                  <c:v>Precio actual (463,46)</c:v>
                </c:pt>
              </c:strCache>
            </c:strRef>
          </c:cat>
          <c:val>
            <c:numRef>
              <c:f>Hoja1!$C$2:$C$9</c:f>
              <c:numCache>
                <c:formatCode>#,##0</c:formatCode>
                <c:ptCount val="8"/>
                <c:pt idx="0">
                  <c:v>135.49</c:v>
                </c:pt>
                <c:pt idx="1">
                  <c:v>74</c:v>
                </c:pt>
                <c:pt idx="2">
                  <c:v>137.03000000000003</c:v>
                </c:pt>
                <c:pt idx="3">
                  <c:v>192.47000000000003</c:v>
                </c:pt>
                <c:pt idx="4">
                  <c:v>86.01000000000002</c:v>
                </c:pt>
                <c:pt idx="5">
                  <c:v>118.18999999999997</c:v>
                </c:pt>
                <c:pt idx="6">
                  <c:v>71.24000000000001</c:v>
                </c:pt>
                <c:pt idx="7">
                  <c:v>4.639999999999986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