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Philip Morris International Inc.</w:t>
      </w:r>
    </w:p>
    <w:p>
      <w:pPr>
        <w:spacing w:after="60"/>
        <w:rPr>
          <w:color w:val="52514E"/>
          <w:sz w:val="22"/>
          <w:szCs w:val="22"/>
        </w:rPr>
      </w:pPr>
      <w:r>
        <w:rPr>
          <w:color w:val="52514E"/>
          <w:sz w:val="22"/>
          <w:szCs w:val="22"/>
        </w:rPr>
        <w:t xml:space="preserve">PM · New York Stock Exchange · ISIN US7181721090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201,05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182,15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-6,5 % (base +1,8 %)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132,89 USD · mercado 151,83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313.437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Philip Morris International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PM / US7181721090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Tabaco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Stamford, Connecticut (EE. UU.) · 1847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https://www.pmi.com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201,05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142,11 – 210,45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313.437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361.639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899 M USD/día (4,7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182,15 USD</w:t>
      </w:r>
      <w:r>
        <w:t xml:space="preserve"> frente a 201,05 · Rentabilidad a 12 meses </w:t>
      </w:r>
      <w:r>
        <w:rPr>
          <w:b/>
          <w:bCs/>
        </w:rPr>
        <w:t xml:space="preserve">-6,5 % (base +1,8 %)</w:t>
      </w:r>
      <w:r>
        <w:t xml:space="preserve"> · Valor intrínseco 132,89 USD · con la prima implícita del mercado: 151,83 (-24,5 %) · Alcista / bajista -24,9 % / -54,5 %</w:t>
      </w:r>
    </w:p>
    <w:p>
      <w:pPr>
        <w:spacing w:after="100"/>
      </w:pPr>
      <w:r>
        <w:rPr>
          <w:b/>
        </w:rPr>
        <w:t xml:space="preserve">La recomendación y por qué.</w:t>
      </w:r>
      <w:r>
        <w:t xml:space="preserve"> Mantener, con convicción media. El objetivo a 12 meses es de 182,15 USD (nuestro BPA ajustado de 2028e × el PER de la regla común), un −6,5 % de rentabilidad ponderada con el dividendo y un +1,8 % en el caso base, frente a un precio de 201,05 USD (cierre del 19-oct-2026). El valor intrínseco (132,89 USD) queda un 34 % por debajo: es una gran empresa a un precio que ya descuenta casi todo. La convicción es media porque la regla a 12 meses, que manda, da Mantener sin dudas (la v2 de control daría Vender, como las dos reglas del valor intrínseco), y el precio está lejos de comprar (−34 %) pero cerca de vender (+3,9 %): un trimestre flojo de ZYN o una subida del precio por encima de 208,94 USD subirían la convicción hacia Vender; una guía de 2027 con recompras y ILUMA autorizado la bajarían.</w:t>
      </w:r>
    </w:p>
    <w:p>
      <w:pPr>
        <w:spacing w:after="100"/>
      </w:pPr>
      <w:r>
        <w:rPr>
          <w:b/>
        </w:rPr>
        <w:t xml:space="preserve">El negocio.</w:t>
      </w:r>
      <w:r>
        <w:t xml:space="preserve"> La mayor tabaquera cotizada fuera de China: Marlboro y otros cigarrillos fuera de EE. UU. (58 % de los ingresos), IQOS (el 76 % del tabaco calentado del mundo) y ZYN (líder de las bolsas de nicotina en EE. UU.) [1, 2]. 40.648 M USD de ingresos en 2025, margen operativo ajustado del 40,4 % y un 42 % de los ingresos en productos sin humo. Gana con el precio: sube un 6-8 % al año lo que vende mientras el volumen de cigarrillos cae un 1-3 %.</w:t>
      </w:r>
    </w:p>
    <w:p>
      <w:pPr>
        <w:spacing w:after="100"/>
      </w:pPr>
      <w:r>
        <w:rPr>
          <w:b/>
        </w:rPr>
        <w:t xml:space="preserve">Finanzas.</w:t>
      </w:r>
      <w:r>
        <w:t xml:space="preserve"> El BPA ajustado creció un 7,8 % anual de 2020 a 2025 (de 5,17 a 7,54 USD) y la guía de 2026 es de 8,35-8,50 (+11-13 %) [2, 13]. Flujo de caja libre de ≈ 10.700 M en 2025, casi todo al dividendo (6,40 USD anuales desde septiembre, +8,8 %). La deuda (49.113 M brutos tras la compra de Swedish Match) baja hacia 2 veces el EBITDA; el patrimonio es negativo por 18 años de reparto. ROIC operativo del 26,8 % frente a un WACC del 8,6 %.</w:t>
      </w:r>
    </w:p>
    <w:p>
      <w:pPr>
        <w:spacing w:after="100"/>
      </w:pPr>
      <w:r>
        <w:rPr>
          <w:b/>
        </w:rPr>
        <w:t xml:space="preserve">Equipo y gobierno.</w:t>
      </w:r>
      <w:r>
        <w:t xml:space="preserve"> Jacek Olczak, consejero delegado desde 2021, ha cumplido la guía de BPA y ha llevado los productos sin humo del 29 % al 42 % de los ingresos [23]. El presidente es su antecesor (André Calantzopoulos, no independiente), con una consejera independiente coordinadora; ocho de diez consejeros independientes y voto de remuneración del 92 % a favor [23, 24]. Debilidades: ventas de directivos por 28,8 M USD en febrero sin ninguna compra, y relevo del director financiero en agosto [27, 29].</w:t>
      </w:r>
    </w:p>
    <w:p>
      <w:pPr>
        <w:spacing w:after="100"/>
      </w:pPr>
      <w:r>
        <w:rPr>
          <w:b/>
        </w:rPr>
        <w:t xml:space="preserve">Valoración.</w:t>
      </w:r>
      <w:r>
        <w:t xml:space="preserve"> El DCF da 139,04 USD (−31 %) y el DCF inverso descuenta un 10,9 % de crecimiento anual frente al 4,4 % de nuestro base. Ni con la prima del mercado (162,32 USD) llega al precio. La regla a 12 meses baja el PER de 22,7 a 20,6 veces (tope de ÷1,1); el bajista es el PER de 2023 (14,3 veces). Los comparables (mediana de 13,5 veces) y la historia (16,0) están muy por debajo.</w:t>
      </w:r>
    </w:p>
    <w:p>
      <w:pPr>
        <w:spacing w:after="100"/>
      </w:pPr>
      <w:r>
        <w:rPr>
          <w:b/>
        </w:rPr>
        <w:t xml:space="preserve">Riesgos y catalizadores.</w:t>
      </w:r>
      <w:r>
        <w:t xml:space="preserve"> El mayor riesgo es el múltiplo: volver a 16-17 veces costaría un 25-30 %. Después, los impuestos (directiva europea, Japón), el estancamiento de ZYN en EE. UU. frente a Velo y on!, las prohibiciones (Reino Unido, sabores), la divisa y Rusia. La IA no es un riesgo material. Catalizadores: resultados del 3T26 (21-oct), guía de 2027 con recompras y la autorización de ILUMA en EE. UU.</w:t>
      </w:r>
    </w:p>
    <w:p>
      <w:pPr>
        <w:spacing w:after="100"/>
      </w:pPr>
      <w:r>
        <w:rPr>
          <w:b/>
        </w:rPr>
        <w:t xml:space="preserve">Qué cambiaría la decisión.</w:t>
      </w:r>
      <w:r>
        <w:t xml:space="preserve"> Comprar por debajo de 132,89 USD (valor intrínseco; la regla a 12 meses sola pediría 163,6); Mantener hasta 208,94; vender por encima de 208,94 (un 3,9 % sobre el cierre del 19-oct). Una guía de 2027 con BPA por encima de 9,50 USD o la autorización de ILUMA mejorarían el base; una directiva europea aprobada o un ZYN a la baja en el 3T26 lo empeorarían.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182,15 USD</w:t>
      </w:r>
      <w:r>
        <w:t xml:space="preserve"> (rentabilidad -6,5 % (base +1,8 %)) · Valor intrínseco: 132,89 USD (-33,9 % sobre 201,05) · con la prima implícita del mercado: 151,83 (-24,5 %)</w:t>
      </w:r>
    </w:p>
    <w:p>
      <w:pPr>
        <w:spacing w:after="100"/>
      </w:pPr>
      <w:r>
        <w:t xml:space="preserve">PMI es la tabaquera que mejor ha hecho la transición: IQOS domina el tabaco calentado y ZYN las bolsas de nicotina en EE. UU., y los productos sin humo, con más margen, ya son el 42 % de los ingresos. Sube precios por encima de la inflación, crea valor con un ROIC operativo del 27 % y paga un dividendo creciente. El problema es el precio: el mercado ya paga 22,7 veces el beneficio, el máximo de su historia y un 65 % más que las demás tabaqueras.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8,67 = 123,98 · 20,6x × 9,65 = 198,79 · 20,6x × 10,05 = 207,03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208,71 (nuestro base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 / -54,5 %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8,6 %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132,89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132,89 y 208,94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208,94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132,89 USD: Comprar (ponderada ≥ 15 %, base ≥ 12 % y valor intrínseco por encima).</w:t>
      </w:r>
    </w:p>
    <w:p>
      <w:pPr>
        <w:pStyle w:val="ListParagraph"/>
        <w:numPr>
          <w:ilvl w:val="0"/>
          <w:numId w:val="2"/>
        </w:numPr>
        <w:spacing w:after="60"/>
      </w:pPr>
      <w:r>
        <w:t xml:space="preserve">Precio por encima de 208,94 USD: Vender (ponderada ≤ −10 %).</w:t>
      </w:r>
    </w:p>
    <w:p>
      <w:pPr>
        <w:pStyle w:val="ListParagraph"/>
        <w:numPr>
          <w:ilvl w:val="0"/>
          <w:numId w:val="2"/>
        </w:numPr>
        <w:spacing w:after="60"/>
      </w:pPr>
      <w:r>
        <w:t xml:space="preserve">Guía de BPA ajustado de 2027 por encima de 9,50 USD sin recompras: revisar al alza.</w:t>
      </w:r>
    </w:p>
    <w:p>
      <w:pPr>
        <w:pStyle w:val="ListParagraph"/>
        <w:numPr>
          <w:ilvl w:val="0"/>
          <w:numId w:val="2"/>
        </w:numPr>
        <w:spacing w:after="60"/>
      </w:pPr>
      <w:r>
        <w:t xml:space="preserve">Envíos de ZYN en EE. UU. a la baja otra vez en el 3T26 o el 4T26: reforzar la cautela.</w:t>
      </w:r>
    </w:p>
    <w:p>
      <w:pPr>
        <w:pStyle w:val="ListParagraph"/>
        <w:numPr>
          <w:ilvl w:val="0"/>
          <w:numId w:val="2"/>
        </w:numPr>
        <w:spacing w:after="60"/>
      </w:pPr>
      <w:r>
        <w:t xml:space="preserve">Acuerdo en el Consejo de la UE sobre la directiva de impuestos con mínimos para el calentado: rebajar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crece al 10-12 % al año durante muchos años (IQOS, ZYN, recompras) y que PMI merece un múltiplo de empresa de consumo de crecimiento, no de tabaquera; los analistas esperan ≈ 209 USD, un 4 % sobre el precio.</w:t>
      </w:r>
    </w:p>
    <w:p>
      <w:pPr>
        <w:keepNext/>
        <w:spacing w:after="100"/>
      </w:pPr>
      <w:r>
        <w:rPr>
          <w:b/>
          <w:bCs/>
        </w:rPr>
        <w:t xml:space="preserve">Lo que creemos nosotros.</w:t>
      </w:r>
    </w:p>
    <w:p>
      <w:pPr>
        <w:spacing w:after="100"/>
      </w:pPr>
      <w:r>
        <w:t xml:space="preserve">Coincidimos en el beneficio (nuestro 2026e de 8,35 USD frente a 8,41) y discrepamos en el múltiplo: la empresa es mejor que hace cinco años, pero la mejora ya está pagada, y los riesgos (impuestos al calentado, ZYN estancado, regulación) caen dentro de la vida del múltiplo que hoy se paga.</w:t>
      </w:r>
    </w:p>
    <w:p>
      <w:pPr>
        <w:keepNext/>
        <w:spacing w:after="100"/>
      </w:pPr>
      <w:r>
        <w:rPr>
          <w:b/>
          <w:bCs/>
        </w:rPr>
        <w:t xml:space="preserve">Por qué podemos tener razón.</w:t>
      </w:r>
    </w:p>
    <w:p>
      <w:pPr>
        <w:spacing w:after="100"/>
      </w:pPr>
      <w:r>
        <w:t xml:space="preserve">La historia adelantada muestra 13-17 veces entre 2018 y 2024, con IQOS ya creciendo. En 2017 PMI llegó a 20,7 veces con la euforia de IQOS en Japón y cayó un 37 % al año siguiente cuando el crecimiento se frenó; hoy el motor de crecimiento que se frena es ZYN en EE. UU.</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0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Líder de la transición</w:t>
      </w:r>
      <w:r>
        <w:t xml:space="preserve">: el 42 % de los ingresos en productos sin humo, con IQOS (76 % del calentado) y ZYN.</w:t>
      </w:r>
    </w:p>
    <w:p>
      <w:pPr>
        <w:pStyle w:val="ListParagraph"/>
        <w:numPr>
          <w:ilvl w:val="0"/>
          <w:numId w:val="2"/>
        </w:numPr>
        <w:spacing w:after="60"/>
      </w:pPr>
      <w:r>
        <w:rPr>
          <w:b/>
        </w:rPr>
        <w:t xml:space="preserve">Poder de precios</w:t>
      </w:r>
      <w:r>
        <w:t xml:space="preserve">: +6-8 % de precio al año en cigarrillos con volumen a la baja.</w:t>
      </w:r>
    </w:p>
    <w:p>
      <w:pPr>
        <w:pStyle w:val="ListParagraph"/>
        <w:numPr>
          <w:ilvl w:val="0"/>
          <w:numId w:val="2"/>
        </w:numPr>
        <w:spacing w:after="60"/>
      </w:pPr>
      <w:r>
        <w:rPr>
          <w:b/>
        </w:rPr>
        <w:t xml:space="preserve">ROIC operativo del 26,8 %</w:t>
      </w:r>
      <w:r>
        <w:t xml:space="preserve">: ≈ 18 puntos sobre el WACC.</w:t>
      </w:r>
    </w:p>
    <w:p>
      <w:pPr>
        <w:pStyle w:val="ListParagraph"/>
        <w:numPr>
          <w:ilvl w:val="0"/>
          <w:numId w:val="2"/>
        </w:numPr>
        <w:spacing w:after="60"/>
      </w:pPr>
      <w:r>
        <w:rPr>
          <w:b/>
        </w:rPr>
        <w:t xml:space="preserve">Guía cumplida</w:t>
      </w:r>
      <w:r>
        <w:t xml:space="preserve">: BPA ajustado +14,8 % en 2025 y guía de 2026 de +11-13 %.</w:t>
      </w:r>
    </w:p>
    <w:p>
      <w:pPr>
        <w:pStyle w:val="ListParagraph"/>
        <w:numPr>
          <w:ilvl w:val="0"/>
          <w:numId w:val="2"/>
        </w:numPr>
        <w:spacing w:after="60"/>
      </w:pPr>
      <w:r>
        <w:rPr>
          <w:b/>
        </w:rPr>
        <w:t xml:space="preserve">Dividendo</w:t>
      </w:r>
      <w:r>
        <w:t xml:space="preserve">: 6,40 USD anuales (2,9 %), subido un 8,8 % en septiembre.</w:t>
      </w:r>
    </w:p>
    <w:p>
      <w:pPr>
        <w:pStyle w:val="Heading2"/>
      </w:pPr>
      <w:r>
        <w:t xml:space="preserve">En contra</w:t>
      </w:r>
    </w:p>
    <w:p>
      <w:pPr>
        <w:pStyle w:val="ListParagraph"/>
        <w:numPr>
          <w:ilvl w:val="0"/>
          <w:numId w:val="2"/>
        </w:numPr>
        <w:spacing w:after="60"/>
      </w:pPr>
      <w:r>
        <w:rPr>
          <w:b/>
        </w:rPr>
        <w:t xml:space="preserve">Caro frente a su historia y al sector</w:t>
      </w:r>
      <w:r>
        <w:t xml:space="preserve">: 22,7 veces frente a 16,0 de mediana y 13,5 de los comparables; DCF −31 %.</w:t>
      </w:r>
    </w:p>
    <w:p>
      <w:pPr>
        <w:pStyle w:val="ListParagraph"/>
        <w:numPr>
          <w:ilvl w:val="0"/>
          <w:numId w:val="2"/>
        </w:numPr>
        <w:spacing w:after="60"/>
      </w:pPr>
      <w:r>
        <w:rPr>
          <w:b/>
        </w:rPr>
        <w:t xml:space="preserve">ZYN estancado en EE. UU.</w:t>
      </w:r>
      <w:r>
        <w:t xml:space="preserve">: envíos −10 % en el 1S26 frente a Velo Plus y on!.</w:t>
      </w:r>
    </w:p>
    <w:p>
      <w:pPr>
        <w:pStyle w:val="ListParagraph"/>
        <w:numPr>
          <w:ilvl w:val="0"/>
          <w:numId w:val="2"/>
        </w:numPr>
        <w:spacing w:after="60"/>
      </w:pPr>
      <w:r>
        <w:rPr>
          <w:b/>
        </w:rPr>
        <w:t xml:space="preserve">Impuestos y prohibiciones</w:t>
      </w:r>
      <w:r>
        <w:t xml:space="preserve">: directiva europea, Japón, Reino Unido, sabores.</w:t>
      </w:r>
    </w:p>
    <w:p>
      <w:pPr>
        <w:pStyle w:val="ListParagraph"/>
        <w:numPr>
          <w:ilvl w:val="0"/>
          <w:numId w:val="2"/>
        </w:numPr>
        <w:spacing w:after="60"/>
      </w:pPr>
      <w:r>
        <w:rPr>
          <w:b/>
        </w:rPr>
        <w:t xml:space="preserve">Divisa y Rusia</w:t>
      </w:r>
      <w:r>
        <w:t xml:space="preserve">: el 90 % de los ingresos fuera del USD; Rusia ≈ 6 %.</w:t>
      </w:r>
    </w:p>
    <w:p>
      <w:pPr>
        <w:pStyle w:val="ListParagraph"/>
        <w:numPr>
          <w:ilvl w:val="0"/>
          <w:numId w:val="2"/>
        </w:numPr>
        <w:spacing w:after="60"/>
      </w:pPr>
      <w:r>
        <w:rPr>
          <w:b/>
        </w:rPr>
        <w:t xml:space="preserve">Sentimiento eufórico</w:t>
      </w:r>
      <w:r>
        <w:t xml:space="preserve">: máximos históricos y ventas de directivos sin compras.</w:t>
      </w:r>
    </w:p>
    <w:p>
      <w:pPr>
        <w:pStyle w:val="Heading2"/>
      </w:pPr>
      <w:r>
        <w:t xml:space="preserve">Qué tiene que pasar para que la tesis funcione</w:t>
      </w:r>
    </w:p>
    <w:p>
      <w:pPr>
        <w:spacing w:after="100"/>
      </w:pPr>
      <w:r>
        <w:t xml:space="preserve">La tesis de la empresa depende de que los productos sin humo sigan subiendo el margen mientras el precio del cigarrillo compensa la caída del volumen, y la de la acción, de que el mercado siga pagando 22-23 veces. La señal en contra sería un ZYN que no vuelve a crecer en EE. UU., una subida de impuestos al calentado en la UE o un trimestre por debajo de la guía con la acción en máximos. A favor: la autorización de ILUMA, recompras en 2027 o una caída del precio hacia 160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8,35-8,50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8,35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Latas de ZYN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Envíos −10 %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más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que justifica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calentado (HTU)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transición y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cigarrillos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(2025); guía −2-3 %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cae más rápido, el precio no compensa.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2,3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Condición para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 17,4x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 / 22,3x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Philip Morris nació en Londres en 1847 como estanco de Philip Morris; la rama estadounidense creó Marlboro, que desde 1972 es la marca de cigarrillos más vendida del mundo. Philip Morris International se separó de Altria en marzo de 2008 con el negocio fuera de EE. UU. y la sede operativa en Lausana. Desde 2014 vende IQOS, el tabaco calentado, y en 2016 anunció su objetivo de dejar los cigarrillos. En 2022 compró Swedish Match (ZYN) y en 2024 recuperó de Altria los derechos de IQOS en EE. UU.; en 2026 se reorganizó en una unidad internacional y otra de EE. UU.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abre su estanco en Londres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Altria: PMI se queda con el negocio fuera de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IQOS en Japón e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RBH (Canadá) entra en concurso por las demandas del tabaco y se desconsolida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IQOS como producto de exposición reducida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Swedish Match (ZYN) por ≈ 16.000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PMI recupera de Altria los derechos de IQOS en EE. UU.; vende Vectura con pérdidas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20 variedades de ZYN; entra en vigor el plan de arreglo de RBH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organización (International y U.S.); ZYN obtiene la declaración de riesgo reducido; Massimo Andolina, director financiero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Philip Morris International vende tabaco y nicotina fuera de EE. UU. desde 2008 (cuando se separó de Altria) y, desde la compra de Swedish Match en 2022, también dentro. Tiene tres negocios: cigarrillos (Marlboro, L&amp;M, Chesterfield, Sampoerna en Indonesia), el 58 % de los ingresos de 2025; productos sin humo internacionales (IQOS, el dispositivo que calienta tabaco sin quemarlo, con sus cartuchos TEREA; ZYN y snus fuera de EE. UU.; vapeo VEEV), el 34 %; y EE. UU. (ZYN, snus, cigarros), el 8 % [1, 6]. Vende en ≈ 170 mercados a distribuidores y mayoristas, con 38 fábricas y 84.900 empleados; 43 millones de adultos usan sus productos sin humo [1, 2]. Sede operativa en Lausana (Suiza); sede legal en Stamford (EE. UU.).</w:t>
      </w:r>
    </w:p>
    <w:p>
      <w:pPr>
        <w:pStyle w:val="Heading2"/>
      </w:pPr>
      <w:r>
        <w:t xml:space="preserve">Cómo gana dinero</w:t>
      </w:r>
    </w:p>
    <w:p>
      <w:pPr>
        <w:spacing w:after="100"/>
      </w:pPr>
      <w:r>
        <w:t xml:space="preserve">Vende un producto de consumo diario y adictivo: los ingresos son casi totalmente recurrentes. El margen depende del precio, no del volumen: en cigarrillos sube precios un 6-8 % al año mientras el volumen cae un 1-3 %, y el impuesto especial (más de la mitad del precio al público, fuera de los ingresos netos) lo paga el fumador [2, 4]. Los productos sin humo tienen más margen bruto que el cigarrillo porque el impuesto suele ser menor (en la UE y Japón, la mitad o menos), y cada punto de mezcla hacia ellos sube el margen [2]. Margen operativo ajustado del 40,4 % en 2025. Apalancamiento operativo moderado y poca estacionalidad (el 1T es el trimestre más flojo). La divisa pesa: el 90 % de los ingresos son en monedas distintas del USD y los costes están en parte en EUR y CHF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Smoke-Free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Combustibles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Smoke-Free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Combustibles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w:t>
            </w:r>
          </w:p>
        </w:tc>
      </w:tr>
    </w:tbl>
    <w:p>
      <w:pPr>
        <w:spacing w:after="160" w:before="0"/>
      </w:pPr>
    </w:p>
    <w:p>
      <w:pPr>
        <w:pStyle w:val="Heading2"/>
      </w:pPr>
      <w:r>
        <w:t xml:space="preserve">Clientes, recurrencia y poder de precios</w:t>
      </w:r>
    </w:p>
    <w:p>
      <w:pPr>
        <w:spacing w:after="100"/>
      </w:pPr>
      <w:r>
        <w:t xml:space="preserve">Vende a distribuidores y mayoristas, no al fumador: en 2025 un distribuidor de Europa y otro de Asia superaron cada uno el 10 % de los ingresos, y Megapolis (participada al 23 %, Rusia) compró 1.487 M USD en el 1S26 [1, 3]. El poder de precios es la clave del negocio: el precio aportó +1.771 M de ingresos en International Combustibles en 2025 con volúmenes a la baja, y el 10 % en el 2T26 [4, 6]. La recurrencia es casi total (consumo diario adictivo). En EE. UU., ZYN mantiene ≈ dos tercios del valor de la categoría en 2025 con precio superior, pero en 2026 tuvo que lanzar ZYN ULTRA a menor precio por bolsa [2,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totales (M de millones de equivalentes)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año seguido de volumen al alza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tabaco calentado (HTU, M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IQOS: 76 % del volumen mundial de la categoría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Cigarrillos (M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25,3 % de la categoría (sin China ni EE. UU.) en el 2T26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Latas de ZYN en EE. UU.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−10 % en envíos y ventas al consumidor planas en el 2T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productos sin humo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en el 2T26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8,35-8,50 [2,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nicotina legal de consumo fuera de China (cigarrillos, tabaco calentado, bolsas de nicotina, snus y vapeo). Hay dos formas de medirlo: en valor de venta al público con impuestos, ≈ 978.000 M USD en 2025 según Reports and Data [17], y en volumen, ≈ 2,9 billones de unidades equivalentes según las estimaciones de PMI (los productos sin humo son el 19 % del volumen y el 32 % del consumo en 2025) [14]. Usamos el volumen como medida principal porque la cifra en valor incluye impuestos especiales (≈ dos tercios del precio en Europa) y PMI publica sus ingresos netos de ellos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978.000 M USD a precio de venta con impuestos en 2025 (Reports and Data) [17]; el tabaco calentado, ≈ 33.300 M USD en 2024 (IMARC)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es de millones de USD (venta al público con impuest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de cigarrillos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sin China ni EE. UU.: −2 % anual en 2022-2025; −3,1 % en los mercados con productos sin humo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productos sin humo (calentado, bolsas, vapeo)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sin humo +19 % anual en 2022-2025; bolsas +54 %, calentado +12 %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 de los cigarrillos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+10 % en International Combustibles en el 2T26 con volumen +1,1 %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especiales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subió el impuesto del calentado el 1-abr-2026; la UE negocia mínimos para calentado y bolsas [4,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FDA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ZYN autorizada en ene-2025 y con declaración de riesgo reducido en jun-2026; ILUMA pendiente desde oct-2023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−0,77 USD de BPA por divisa en 2022 y +0,24 en la guía de 2026 [14].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(PMI, BAT, JT, Imperial) más Altria en EE. UU.; en bolsas de nicotina la rivalidad sube: ZYN ha tenido que bajar precio por bolsa (ZYN ULTRA) ante Velo, on! y productos sin autorizar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es fiel y poco sensible al precio; los distribuidores son muchos y el producto es de marca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Hoja de tabaco y componentes electrónicos de muchos proveedores; PMI fabrica sus dispositivos con contratistas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(autorizaciones de la FDA de años y millones de USD) y de distribución; las bolsas de nicotina sin autorizar bajan la barrera en EE. UU.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vapeo desechable y las bolsas baratas sustituyen al cigarrillo y al calentado; el ilícito es ≈ 10 % del mercado europeo (estimación de la industria) [14].</w:t>
            </w:r>
          </w:p>
        </w:tc>
      </w:tr>
    </w:tbl>
    <w:p>
      <w:pPr>
        <w:spacing w:after="160" w:before="0"/>
      </w:pPr>
    </w:p>
    <w:p>
      <w:pPr>
        <w:pStyle w:val="Heading2"/>
      </w:pPr>
      <w:r>
        <w:t xml:space="preserve">Ciclo</w:t>
      </w:r>
    </w:p>
    <w:p>
      <w:pPr>
        <w:spacing w:after="100"/>
      </w:pPr>
      <w:r>
        <w:t xml:space="preserve">El tabaco es poco cíclico: en 2008-09 PMI mantuvo el volumen y subió precios; en 2020 la pandemia restó viajes y duty-free pero el BPA ajustado solo cayó un 0,4 % (+7 % sin divisa) [14]. En 2022 el golpe vino de la divisa y de Rusia (BPA −2,4 % en USD) [14]. Lo cíclico es el tipo de cambio de los emergentes y, en 2026, los costes de transporte y energía por el conflicto de Oriente Medio [4].</w:t>
      </w:r>
    </w:p>
    <w:p>
      <w:pPr>
        <w:pStyle w:val="Heading2"/>
      </w:pPr>
      <w:r>
        <w:t xml:space="preserve">Regulación</w:t>
      </w:r>
    </w:p>
    <w:p>
      <w:pPr>
        <w:spacing w:after="100"/>
      </w:pPr>
      <w:r>
        <w:t xml:space="preserve">UE: la Comisión propuso en julio de 2025 revisar la directiva de impuestos especiales del tabaco (+139 % en el mínimo de los cigarrillos e inclusión del calentado, el vapeo y las bolsas, con entrada en vigor el 1-ene-2028 y cuatro años de transición), pero exige unanimidad y en agosto de 2026 seguía sin acuerdo en el Consejo ni dictamen del Parlamento [3, 19]. Reino Unido: ley del 29-abr-2026 que prohíbe vender tabaco, también calentado, a los nacidos desde 2009 [3]. EE. UU.: la FDA autorizó 20 variedades de ZYN (ene-2025) y su declaración de riesgo reducido (jun-2026); el 8-may-2026 dijo que no perseguirá productos con solicitudes avanzadas, y ILUMA sigue en revisión [3]. Sabores: prohibidos en el calentado en la UE desde 2023 y en Polonia desde enero de 2026 [4].</w:t>
      </w:r>
    </w:p>
    <w:p>
      <w:pPr>
        <w:pStyle w:val="Heading2"/>
      </w:pPr>
      <w:r>
        <w:t xml:space="preserve">Tendencias y disrupción</w:t>
      </w:r>
    </w:p>
    <w:p>
      <w:pPr>
        <w:spacing w:after="100"/>
      </w:pPr>
      <w:r>
        <w:t xml:space="preserve">El consumo se desplaza hacia productos sin combustión: en 2025 el 32 % de los consumidores de nicotina fuera de China ya usaba alguno [14]. PMI gana con ello en calentado (IQOS supera a Marlboro como primera marca en sus mercados en el 1T26) y en vapeo cerrado (VEEV, primero en Europa), pero pierde terreno relativo en bolsas de EE. UU., la categoría que más crece, donde los rivales venden sabores y potencias que ZYN no tiene autorizados [4]. PMI fabricará cigarrillos para Altria fuera de EE. UU. desde 2027, señal de que los dos optimizan un negocio que se encoge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sin China ni EE. UU.: 25,3 % del volumen de cigarrillos (Marlboro 11,0 %) [4]; ≈ 76 % del tabaco calentado mundial con IQOS [2]; ≈ dos tercios del valor de las bolsas de nicotina de EE. UU. con ZYN en 2025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British American Tobacco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mundial; Velo en bolsas (rival directo de ZYN), glo en calentado y Vuse en vapeo. Ingresos de doce meses de 34.375 M USD y margen EBITDA del 43,4 % (Yahoo)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Marlboro en EE. UU. (licencia de la marca separada de PMI desde 2008) y on! en bolsas. Ingresos de doce meses de 20.444 M USD y margen EBITDA del 77,3 % (Yahoo)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Japan Tobacco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2914</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IQOS en Japón con Ploom; compró Vector Group en 2024. Ingresos de doce meses de 23.568 M USD y margen EBITDA del 32,1 % (Yahoo)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Imperial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Cigarrillos en EE. UU., Reino Unido, Alemania y España; pequeño en productos nuevos. Ingresos de doce meses de 25.880 M USD y margen EBITDA del 20,7 % (Yahoo)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KT&amp;G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033780</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Corea; fabrica lil, el calentado que PMI vende fuera de Corea por acuerdo. Ingresos de doce meses de 5209 M USD y margen EBITDA del 25,9 % (Yahoo)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 cigarrillos en India; conglomerado con alimentación y hoteles. Ingresos de doce meses de 8053 M USD y margen EBITDA del 33,3 % (Yahoo)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Turning Point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Zig-Zag, Stoker's y FRE, bolsas de nicotina que ganan cuota en EE. UU. Ingresos de doce meses de 507 M USD y margen EBITDA del 14,8 % (Yahoo)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relevantes: el dispositivo IQOS crea una base instalada (43 millones de usuarios de productos sin humo) pero no hay red entre usuarios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Dispositivo propio (IQOS solo usa TEREA, SENTIA o LEVIA) y fidelidad a la marca: IQOS gana cuota pese a subir precios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Marlboro con récord del 11,0 % de cuota, IQOS con el 76 % del calentado, ZYN con autorización y declaración de riesgo reducido de la FDA, la primera en bolsas [8, 11,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40,4 % en 2025 frente al 21 % de EBITDA de Imperial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786.500 M de unidades en 2025 y presencia en ≈ 170 mercados; más de 16.000 M USD invertidos en productos sin humo desde 2008 [11, 1].</w:t>
            </w:r>
          </w:p>
        </w:tc>
      </w:tr>
    </w:tbl>
    <w:p>
      <w:pPr>
        <w:spacing w:after="160" w:before="0"/>
      </w:pPr>
    </w:p>
    <w:p>
      <w:pPr>
        <w:pStyle w:val="Heading2"/>
      </w:pPr>
      <w:r>
        <w:t xml:space="preserve">Amenazas</w:t>
      </w:r>
    </w:p>
    <w:p>
      <w:pPr>
        <w:spacing w:after="100"/>
      </w:pPr>
      <w:r>
        <w:t xml:space="preserve">Las amenazas reales son tres. Primera, las bolsas de nicotina en EE. UU.: la categoría crece y ZYN no, porque Velo Plus, on! PLUS y productos importados sin autorizar ofrecen sabores y potencias que ZYN no tiene; la FDA relajó en mayo de 2026 la persecución de productos pendientes, lo que ayuda a ZYN ULTRA pero también a los rivales [3, 4]. Segunda, los impuestos al calentado (Japón en 2026, la UE desde 2028 si hay unanimidad), que estrechan la ventaja fiscal de IQOS frente al cigarrillo [4, 19]. Tercera, prohibiciones de sabores y generacionales (Polonia, Reino Unido) [3]. Probabilidad media; el foso de marca y de autorizaciones aguanta.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2020-2025: ingresos </w:t>
      </w:r>
      <w:r>
        <w:rPr>
          <w:b/>
          <w:bCs/>
        </w:rPr>
        <w:t xml:space="preserve">7,2 %</w:t>
      </w:r>
      <w:r>
        <w:t xml:space="preserve">, EBITDA </w:t>
      </w:r>
      <w:r>
        <w:rPr>
          <w:b/>
          <w:bCs/>
        </w:rPr>
        <w:t xml:space="preserve">6,6 %</w:t>
      </w:r>
      <w:r>
        <w:t xml:space="preserve">, BPA </w:t>
      </w:r>
      <w:r>
        <w:rPr>
          <w:b/>
          <w:bCs/>
        </w:rPr>
        <w:t xml:space="preserve">7,1 %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netos (sin impuestos especiales) pasaron de 28.694 M USD en 2020 a 40.648 M en 2025 (TCAC del 7,2 %) y a 42.545 M en los doce meses a junio de 2026 [1, 3]. El crecimiento orgánico de 2025 fue del 6,5 %: precio de los cigarrillos (+1.771 M en el año en International Combustibles) y mezcla hacia los productos sin humo, que ya son el 41,5 % de los ingresos y el 43 % del margen bruto [2, 6]. Swedish Match aportó desde 2023 el negocio de ZYN en EE. UU. (3.216 M de ingresos en 2025) [6]. El margen operativo ajustado subió del 37,8 % en 2023 al 40,4 % en 2025 y al 41,9 % en el 1S26 por precio, escala de IQOS y productividad [2, 4]. Años no comparables: 2023 (deterioros de 680 M, cargo fiscal en Corea de 204 M y la integración de Swedish Match), 2024 (deterioro de 2.316 M de la participación en RBH, por debajo del resultado operativo, que dejó el BPA publicado en 4,52 USD) y el 2T26 (otro deterioro de RBH de 511 M) [4, 7, 8].</w:t>
      </w:r>
    </w:p>
    <w:p>
      <w:pPr>
        <w:pStyle w:val="Heading2"/>
      </w:pPr>
      <w:r>
        <w:t xml:space="preserve">Ajustes y partidas no recurrentes</w:t>
      </w:r>
    </w:p>
    <w:p>
      <w:pPr>
        <w:spacing w:after="100"/>
      </w:pPr>
      <w:r>
        <w:t xml:space="preserve">El BPA ajustado de la empresa excluye la amortización de intangibles comprados (1.003 M USD en 2025, 0,50 USD por acción, casi toda de Swedish Match), la reestructuración (241 M en 2025, fábricas de Alemania), los deterioros, el litigio de clasificación fiscal en Alemania (176 M), la pérdida por la venta prevista de accesorios (94 M), el efecto fiscal de la financiación de Swedish Match, los ajustes de valor razonable de participaciones y, en 2026, el deterioro de RBH (0,33 USD) [2, 4]. BPA ajustado: 5,17 USD en 2020, 6,08 en 2021, 5,98 en 2022, 6,01 en 2023, 6,57 en 2024 y 7,54 en 2025 (publicado 7,26) [2, 7, 8, 9, 10]. Las partidas excluidas del resultado operativo (sin amortización) sumaron 513, 503, 1.284, 451 y 533 M de 2021 a 2025: casi todos los años hay alguna, así que el DCF resta 0,3 puntos de margen por ellas.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(22-jul-2026) los ingresos superaron por primera vez los 11.000 M USD (+10,4 %, +7,6 % orgánico) y el BPA ajustado fue de 2,20 USD (+15,2 %), por encima de la guía de 1,97-2,02 dada en junio [4]. IQOS creció un 7,6 % en volumen pese a Japón (subida de impuestos del 1 de abril y desalmacenamiento) y a la prohibición de sabores en Polonia; los cigarrillos subieron un 1,1 % con un precio del 10 % [4]. EE. UU. fue lo débil: ingresos −0,7 % y beneficio bruto −9,2 %; las ventas de ZYN al consumidor quedaron planas en una categoría que crece, «por un entorno competitivo desigual» (rivales con sabores y potencias que ZYN no tiene autorizados) [4]. La dirección lanzó ZYN ULTRA (más barata por bolsa) y anunció más inversión en EE. UU. en el 2S [4]. En el 1T26 ya había avisado de que ZYN no tenía acceso a los segmentos más dinámicos [5]. Guía 2026 (8-sep-2026): BPA ajustado de 8,35-8,50 USD (+7,5-9,5 % sin divisa), crecimiento orgánico de ingresos del 5-7 % y del resultado operativo del 7-9 %, flujo operativo ≈ 13.500 M, inversión de 1.400-1.600 M, sin recompras y deuda neta ≈ 2 veces el EBITDA a final de año; 3T26 de 2,29-2,34 USD [4, 13]. Los resultados del 3T26 se publican el 21-oct-2026.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Swedish Match (ZYN, snus, cigarros), consolidada desde el 11-nov-2022 tras una oferta en efectivo de ≈ 16.000 M USD; el balance de 2022 la incluye entera y la cuenta solo siete semanas [1, 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patrimonio atribuido es negativo (−9.994 M USD a 31-dic-2025 y −8.583 M a 30-jun-2026) por 35.459 M de autocartera recomprada antes de 2022 y por los dividendos, no por pérdidas [3]. La deuda financiera subió de 27.806 M en 2021 a 48.835 M en 2025 por la compra de Swedish Match (préstamo en euros de 2022) y los pagos a Altria por los derechos de IQOS en EE. UU.; el préstamo de Swedish Match baja de 2.944 a 1.711 M en el 1S26 tras amortizar 1.000 M EUR por anticipado [3, 15]. Deuda neta a 30-jun-2026: 49.113 − 5.999 = 43.114 M, ≈ 2,3 veces el EBITDA ajustado de doce meses; la empresa apunta a ≈ 2 veces a final de 2026 [3, 13]. El circulante comercial es alto (28,6 % de las ventas: hoja de tabaco que se cura más de un año y producto terminado en 90 mercados)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56.480</w:t>
      </w:r>
      <w:r>
        <w:t xml:space="preserve">, conversión </w:t>
      </w:r>
      <w:r>
        <w:rPr>
          <w:b/>
          <w:bCs/>
        </w:rPr>
        <w:t xml:space="preserve">108 %</w:t>
      </w:r>
      <w:r>
        <w:t xml:space="preserve"> del beneficio neto; adquisiciones 16.087, dividendos 47.541, recompras 984.</w:t>
      </w:r>
    </w:p>
    <w:p>
      <w:pPr>
        <w:spacing w:after="100"/>
      </w:pPr>
      <w:r>
        <w:t xml:space="preserve">El flujo operativo ha ido de 9.812 M USD en 2020 a 12.233 M en 2025 y 14.264 M en los doce meses a junio de 2026; la guía de 2026 es ≈ 13.500 M y la de 2026-2028, ≈ 45.000 M acumulados [1, 3, 14]. La inversión publicada en 2022 (2.079 M) y 2023 (3.096 M) incluye 1.002 y 1.775 M de pagos por intangibles (sobre todo los derechos de IQOS en EE. UU. comprados a Altria); la inversión en inmovilizado fue de 1.321-1.569 M en 2023-2025 y la guía es de 1.300-1.500 M al año en 2026-2028, casi toda para los productos sin humo [12, 14]. Conversión: flujo libre de 10.664 M en 2025 frente a un beneficio atribuido de 11.348 M. Usos de la caja: dividendos (8.624 M en 2025, 70 % del flujo operativo) y reducción de deuda; no hay recompras desde 2022 ni previstas en 2026 [1, 13].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el BPA ajustado se concilia línea a línea [2]. La distancia entre publicado y ajustado es grande en 2024 (4,52 frente a 6,57 USD por el deterioro de RBH) y moderada en 2025 (7,26 frente a 7,54) [2, 7]. Lo que más pesa en el ajuste recurrente es la amortización de intangibles de Swedish Match (≈ 0,50 USD por acción al año): es un coste contable sin salida de caja y los comparables suelen excluirlo. Partidas que se repiten: reestructuraciones (109-241 M al año en 2023-2025) y cargos fiscales y de litigios por país (Corea, Egipto, Alemania, Arabia Saudí) [2, 7, 8, 10]. Riesgo de valoración en participaciones: Megapolis (Rusia), STAEM (Argelia) e Eastern (Egipto) [3]. El patrimonio negativo invalida el ROE y desfigura el Altman Z; el Beneish y el Piotroski se leen con normalidad.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−9.994 M USD en 2025 por recompras y dividendos, no por pérdidas; rating 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RBH (Canadá)</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2.316 M en 2024 y 511 M en el 2T26, por debajo del resultado operativo; quedan 51 M en balance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451 y 1.284 M al año en 2021-2025 (reestructuración, impuestos indirectos, litigios) [2, 7, 8, 9,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en mercados de riesgo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Megapolis (Rusia, 23 %, 0,8 bn) y STAEM (Argelia, 0,7 bn), con pérdidas de conversión acumuladas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 de divisa en el BPA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2026 incluye +0,24 USD de divisa y, en el 2T26, ganancias transaccionales por el rublo en impuestos diferidos [4, 13].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17.264 M en 2025 (el 50 % del capital invertido medio); ha subido más de un 5 % en 2 de 5 años: compra única grande. ROIC publicado 36,7 %; sin fondo de comercio, 73,5 %.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16,0 % · </w:t>
      </w:r>
      <w:r>
        <w:rPr>
          <w:b/>
          <w:bCs/>
        </w:rPr>
        <w:t xml:space="preserve">WACC</w:t>
      </w:r>
      <w:r>
        <w:t xml:space="preserve">: 8,6 %.</w:t>
      </w:r>
    </w:p>
    <w:p>
      <w:pPr>
        <w:spacing w:after="100"/>
      </w:pPr>
      <w:r>
        <w:t xml:space="preserve">El ROIC del motor (36,7 % en 2025) sale inflado: el capital invertido contable (patrimonio + deuda − caja ≈ 35.000 M USD) es bajo porque el patrimonio es negativo (−9.994 M) tras 18 años repartiendo más de lo que gana (dividendos y recompras) [1]. Sobre el capital operativo del activo (inmovilizado, fondo de comercio, intangibles y circulante: 48.188 M), con el resultado operativo ajustado después de impuestos (12.896 M), el ROIC es del 26,8 %; sin el fondo de comercio y los intangibles de Swedish Match, por encima del 60 % (la empresa habla de más del 50 % [14]). Frente a un WACC del 8,6 %, crea valor con ≈ 18 puntos de margen. Tendencia: bajó del ≈ 70 % de 2021 al 29 % de 2023 al sumar los 16.000 M de Swedish Match, y se recupera desde entonces (31 % en 2024, 37 % en 2025 con la medida del motor) porque ZYN y el resultado crecen sobre una base de capital estable. Lo mueve el margen (40 % operativo ajustado), no la rotación.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5.999 M USD a 30-jun-2026; líneas de crédito comprometidas de 6.300 M sin disponer y programas de pagarés de 8.000 M (sin saldo a 31-dic-2025)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(estable), S&amp;P A- (positiva), Fitch A (estable), a 6-feb-2026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déficit neto de 318 M USD en pensiones y 260 M en asistencia médica de jubilados a 31-dic-2025 (el plan suizo es el 71 % de las obligaciones) [1]. RBH (Canadá): desconsolidada desde 2019; el plan de arreglo de las demandas del tabaco canadiense entró en vigor el 29-ago-2025 y RBH paga su parte con sus flujos; PMI la lleva como participación (51 M tras deterioros acumulados de 3.060 M) y no garantiza los pagos [3]. Litigios de ZYN en EE. UU. (cinco demandas colectivas por adicción y publicidad), demandas de salud en otros países y el pleito fiscal de Alemania (176 M provisionados en 2025) [2, 3]. Garantías de deuda de Eastern Company (Egipto) por hasta 385 M hasta 2034 [3]. Participación del 23 % en Megapolis, el distribuidor ruso (0,8 bn de valor contable) [3].</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los productos sin humo (1.300-1.500 M USD al año en 2026-2028), dividendo progresivo (subido todos los años desde 2008; 6,40 USD anuales desde septiembre de 2026, +8,8 %) y reducir deuda hasta ≈ 2 veces el EBITDA ajustado a final de 2026; sin recompras en 2026 [13, 14, 16]. Objetivos 2026-2028: ingresos orgánicos +6-8 % anual, resultado operativo orgánico +8-10 % y BPA ajustado sin divisa +9-11 % (sin recompras y con los tipos fiscales actuales)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Fertin Pharma (chicles y bolsas de nicotina, Dinamarca)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Wellness y oral; parte del bienestar acabó en deterioros (Aspeya)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Vectura Group (inhaladores,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deterioros y venta en 2024 con una pérdida de 199 M USD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Swedish Match (ZYN, snus, cigarros)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en euros, bonos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comercial: ZYN pasó de 385 a 794 M de latas en EE. UU. entre 2023 y 2025; fondo de comercio de ≈ 13.000 M y amortización de 0,50 USD por acción al año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Derechos de IQOS en EE. UU. (fin del acuerdo con Altria)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IQOS ILUMA sigue sin autorización de la FDA (solicitud de oct-2023) [3, 12].</w:t>
            </w:r>
          </w:p>
        </w:tc>
      </w:tr>
    </w:tbl>
    <w:p>
      <w:pPr>
        <w:spacing w:after="160" w:before="0"/>
      </w:pPr>
    </w:p>
    <w:p>
      <w:pPr>
        <w:spacing w:after="100"/>
      </w:pPr>
      <w:r>
        <w:t xml:space="preserve">La asignación de capital se juzga sobre todo por Swedish Match: pagó ≈ 16.000 M USD por un negocio que en 2025 aportó 3.216 M de ingresos en EE. UU. con un resultado operativo ajustado de 1.124 M, y que ahora crece poco [1, 6]. Al precio pagado, el rendimiento antes de impuestos es del 7 %: por debajo de lo prometido, aunque ZYN es la marca líder de la categoría [6]. Vectura fue un error (vendida con pérdidas en 2024) [7]. Los dividendos absorben el 70 % del flujo operativo y no ha habido recompras desde 2022, así que las acciones diluidas apenas se mueven (1.558 M en 2020 y en 2025) [1]. El ROIC operativo (con fondo de comercio) ronda el 25 %: la base sigue siendo excelente.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Jacek Olczak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PMI desde 1993; director financiero (2012-2017) y director de operaciones (2018-2021). Con él al frente, el BPA ajustado pasó de 6,08 USD en 2021 a 7,54 en 2025 y los productos sin humo del 29 % al 41,5 % de los ingresos; compró Swedish Match [2,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Andolina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PMI desde 2008; operaciones globales (2018-2023) y presidente de Europa (2023-2026), la región más avanzada en productos sin humo. Director financiero desde el 1-ago-2026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Calantzopoulos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desde 2024)</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2013 a 2021 y presidente ejecutivo hasta mayo de 2024; lanzó IQOS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Frederic de Wilde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PMI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Asia del Sur y Sudeste, CEI, Oriente Medio y África; responsable de 37.400 M USD de ingresos [23,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Stacey Kennedy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PMI 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ZYN e IQOS en EE. UU.; en su etapa ZYN pasó de 385 a 794 M de latas, pero en 2026 las ventas al consumidor se estancaron [23,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5,90-6,00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6,08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6,12-6,30 USD (6,57-6,75 sin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5,98 USD (+10,1 % sin divisa, dentro del +8-11 %)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6,25-6,37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USD (+11,0 % sin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6,32-6,44 USD (6,43-6,55 sin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7,04-7,17 USD (7,26-7,39 sin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trienales de resultado operativo y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Alcanzados en dos años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de la casa: Olczak lleva 33 años en PMI y el nuevo director financiero, 18 [23, 27]. La guía en divisa local se cumple siempre; en USD falló en 2022-2023 por la divisa y Rusia [2]. El relevo del director financiero (Babeau, tras seis años, sigue de asesor hasta marzo de 2027) es ordenado [27, 30]. Riesgo: la unidad de EE. UU., que concentra la apuesta de crecimiento, ha incumplido sus expectativas en 2026 [28].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Calantzopoulos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Jacek Olczak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A. Hook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 Combes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Werner Geissler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Kalpana Morparia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Remuneración;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B. Polet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Harker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Bonin Bough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Shlomo Yanai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Ciencia y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André Calantzopoulos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28,82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(17)</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28,8 M USD en feb-2026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Jacek Olczak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Emmanuel Babeau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Frederic de Wilde (CEO International)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Stacey Kennedy (CEO U.S.)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Reginaldo Dobrowolski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Yann Guerin (Legal)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29,1 M USD en 2025 (20,2 M en 2024): 1,8 M de fijo, 5,2 M de variable anual, 18,0 M en acciones y 4,0 M de pensión [23]. El 60 % de las acciones son PSU a tres años ligadas al TSR frente a un grupo de comparables (40 %), al crecimiento del BPA sin divisa y a métricas de transformación hacia los productos sin humo; el variable anual mide ingresos, resultado operativo ajustado y flujo de caja, con un modificador que penaliza si el crecimiento en USD queda muy por debajo del de divisa local [23]. Ratio frente al empleado mediano: 672 a 1 sin ajuste de poder adquisitivo [23]. El voto en contra más alto de las tres últimas juntas fue del 7,1 % (2024) [24, 25, 26].</w:t>
      </w:r>
    </w:p>
    <w:p>
      <w:pPr>
        <w:pStyle w:val="Heading2"/>
      </w:pPr>
      <w:r>
        <w:t xml:space="preserve">Operaciones vinculadas, estructura de control y defensas</w:t>
      </w:r>
    </w:p>
    <w:p>
      <w:pPr>
        <w:spacing w:after="100"/>
      </w:pPr>
      <w:r>
        <w:t xml:space="preserve">Sin accionista de control: los cuatro mayores son gestoras (Vanguard 8,6 %, Capital World 8,2 %, Capital International 6,6 %, BlackRock 6,2 %) [23]. Una acción, un voto; sociedad de Virginia; consejo elegido cada año por mayoría; todos los consejeros salvo el presidente y el consejero delegado son independientes, con una consejera coordinadora con poderes amplios [23]. El presidente es el anterior consejero delegado (no ejecutivo desde 2024), lo que resta algo de independencia al consejo [23]. Sin operaciones vinculadas relevantes con consejeros; las ventas a Megapolis (participada) y a socios en Egipto e India se declaran como vinculadas en las cuentas [23].</w:t>
      </w:r>
    </w:p>
    <w:p>
      <w:pPr>
        <w:pStyle w:val="Heading2"/>
      </w:pPr>
      <w:r>
        <w:t xml:space="preserve">Señales de alerta</w:t>
      </w:r>
    </w:p>
    <w:p>
      <w:pPr>
        <w:pStyle w:val="ListParagraph"/>
        <w:numPr>
          <w:ilvl w:val="0"/>
          <w:numId w:val="2"/>
        </w:numPr>
        <w:spacing w:after="60"/>
      </w:pPr>
      <w:r>
        <w:t xml:space="preserve">Ventas de seis directivos por 28,8 M USD el 19-20 de febrero de 2026 a 181-184 USD, sin plan 10b5-1 y sin ninguna compra en 12 meses [29]. Coinciden con la entrega anual de acciones y la ventana tras resultados; el CEO conserva ≈ 500.800 acciones [23].</w:t>
      </w:r>
    </w:p>
    <w:p>
      <w:pPr>
        <w:pStyle w:val="ListParagraph"/>
        <w:numPr>
          <w:ilvl w:val="0"/>
          <w:numId w:val="2"/>
        </w:numPr>
        <w:spacing w:after="60"/>
      </w:pPr>
      <w:r>
        <w:t xml:space="preserve">Cambio de director financiero (1-ago-2026) en un año de presión en EE. UU.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(subida el 8-sep-2026 solo por divisa): BPA ajustado de 8,35-8,50 USD (+10,7-12,7 %; +7,5-9,5 % sin divisa), ingresos orgánicos +5-7 %, resultado operativo orgánico +7-9 %, volumen total estable o algo al alza (cigarrillos −2-3 %, sin humo +alto un dígito), flujo operativo ≈ 13.500 M, inversión 1.400-1.600 M, deuda neta ≈ 2,0 veces el EBITDA a final de año y sin recompras; 3T26 de 2,29-2,34 USD [4]. Objetivos 2026-2028 (CAGNY, 18-feb-2026): ingresos orgánicos +6-8 % anual, resultado operativo +8-10 % y BPA ajustado sin divisa +9-11 %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ajustado, 12 analistas) [32]; MarketScreener (ventas, EBITDA, EBIT y dividendo)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ajustado, 14 analistas) [32]; MarketScreener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[33]; su BPA de 9,60 USD es el publicado (con amortizaciones), no el ajustado</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230,00</w:t>
            </w:r>
          </w:p>
        </w:tc>
      </w:tr>
    </w:tbl>
    <w:p>
      <w:pPr>
        <w:spacing w:after="160" w:before="0"/>
      </w:pPr>
    </w:p>
    <w:p>
      <w:pPr>
        <w:pStyle w:val="Heading2"/>
      </w:pPr>
      <w:r>
        <w:t xml:space="preserve">Revisiones de estimaciones</w:t>
      </w:r>
    </w:p>
    <w:p>
      <w:pPr>
        <w:spacing w:after="100"/>
      </w:pPr>
      <w:r>
        <w:t xml:space="preserve">El BPA ajustado de 2026 apenas se ha movido: 8,39 USD hace 90 días y 8,41 hoy; el de 2027, de 9,14 a 9,18 [32]. Las revisiones de la guía en 2026 fueron solo por divisa: de 8,38-8,53 en febrero a 8,31-8,46 en junio (también por el deterioro de RBH en el publicado), 8,26-8,41 en julio y 8,35-8,50 en septiembre [4]. El 3T: el consenso espera 2,32 USD frente a 2,43 hace 90 días, recorte que sigue al aviso de más inversión en EE. UU. en el 2S [4, 32]. Objetivos: UBS subió a 193 USD (neutral) el 23-sep-2026 [41].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31,7 % en un año con dividendos frente al 15,4 % del S&amp;P 500 y el 12,5 % del consumo básico (XLP), y un 34,9 % anual a tres años [31]. Lo explican tres cosas: el BPA ajustado crece a doble dígito (+14,8 % en 2025, +15,6 % en el 1S26), el paso de IQOS a primera marca en sus mercados y la búsqueda de defensivas cuando el mercado rota fuera de la tecnología (octubre de 2026) [4, 5, 42]. El PER adelantado ha pasado de ≈ 14 veces a final de 2023 a 22 veces: casi toda la subida desde 2024 es expansión del múltiplo. La caída máxima de cinco años es del −22,8 % (feb-sep 2022, Rusia y divisa) [31].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 +4,4 % / +32,3 % / +28,3 %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 +40,5 %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 a 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hacia defensivas y la expectativa de los objetivos 2026-2028; sin noticia concreta de la empresa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(BPA ajustado 7,54 USD, +14,8 %) y objetivos 2026-2028 (6-feb-2026)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Tensión en Oriente Medio y petróleo (5-mar, −5,2 %) y, el 1-abr (−4,8 %), Reuters informa de retrasos de la FDA en las solicitudes de bolsas de nicotina (ZYN y Velo) el mismo día que sube el impuesto del calentado en Japón [20,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(+7,0 % el 22-abr) y guía de la FDA del 8-may-2026 que no perseguirá productos con solicitudes avanzadas (+6,5 % el 11-may) [5,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riesgo reducido de la FDA para ZYN (30-jun) y resultados del 2T26 por encima de la guía (22-jul)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guía de 2,29-2,34 USD y consenso de 2,32 [32,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sube su objetivo de 182 a 193 USD con recomendación neutral; el 4-sep un análisis de Seeking Alpha rebaja a mantener por valoración [41,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+8,8 % a 6,40 USD anuales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fabricación de cigarrillos para Altria fuera de EE. UU. desde 2027; sin efecto material en 2026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511 M USD de la participación en RBH (Canadá) tras el nuevo plan de negocio; sin salida de caja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multa a PMI con 7 M EUR por la publicidad «sin humo»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Massimo Andolina sustituye a Emmanuel Babeau como director financiero desde el 1-ago-2026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directivos venden 28,8 M USD (CEO 14,6 M) a 181-184 USD tras la entrega anual de acciones, sin plan 10b5-1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retrasos en la revisión acelerada de la FDA de bolsas de nicotina (ZYN, Velo); PM −4,8 %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Indonesia (≈ 29 % de la plantilla de PMI) estudia restringir sabores en tabaco y nicotina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cotiza a un 1,4 % de su máximo histórico, 12,5 % por encima de la media de 200 sesiones y en tendencia alcista, sin avisos P1-P5 [38]. Las subidas y bajadas de más de un 10 % en un mes tienen causa conocida (resultados, FDA, Oriente Medio) y ninguna contradice la tesis. No hay colocaciones, ampliaciones ni decisiones regulatorias con fecha que puedan mover el precio más de un 5 % en contra, salvo los resultados de mañana, que por la regla 11 no retrasan. Las ventas de directivos de febrero coinciden con la entrega anual de acciones y no se repitieron.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Los múltiplos adelantados de PMI (cierre ÷ BPA ajustado del año siguiente) se movieron entre 12,9 veces (2018, con IQOS frenado en Japón) y 16,8 (2022) desde 2018, con una mediana de 16,0 en 2021-2025 [2, 31]. El cierre de 2025 (160,40 USD) ya cotizaba a 19,2 veces nuestro BPA de 2026, y hoy (201,05) a 22,7 veces el de los próximos 12 meses: el máximo de la serie, por encima incluso de 2017 (20,7 veces, el pico de la euforia por IQOS que acabó en un −37 % en 2018). La revalorización de 2024-2026 (+110 % desde el cierre de 2023) vino dos tercios del múltiplo y un tercio del beneficio.</w:t>
      </w:r>
    </w:p>
    <w:p>
      <w:pPr>
        <w:pStyle w:val="Heading1"/>
      </w:pPr>
      <w:r>
        <w:t xml:space="preserve">18. Comparables cotizados</w:t>
      </w:r>
    </w:p>
    <w:p>
      <w:pPr>
        <w:pStyle w:val="Confianza"/>
        <w:spacing w:after="100"/>
      </w:pPr>
      <w:r>
        <w:t xml:space="preserve">Confianza: Media</w:t>
      </w:r>
    </w:p>
    <w:p>
      <w:pPr>
        <w:spacing w:after="100"/>
      </w:pPr>
      <w:r>
        <w:t xml:space="preserve">Las grandes tabaqueras cotizadas con negocio de cigarrillos y productos nuevos (BAT, Altria, Japan Tobacco, Imperial, KT&amp;G, ITC) más dos pequeñas de nicotina oral y cigarros (Turning Point, Scandinavian Tobacco). No hay comparable puro de PMI: ninguna tiene su peso en productos sin humo (42 % de los ingresos). ITC es conglomerado (hoteles y alimentación) y Turning Point cotiza con prima de crecimiento por sus bolsas; se dejan y se explica su efecto en la mediana.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 Morris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British American Tobacco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Imperial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Japan Tobacco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KT&amp;G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Turning Point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Scandinavian Tobacco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 / 11,4x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13,5x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3,4x / 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mediana del PER de los próximos 12 meses de las ocho tabaqueras es 13,5 veces y la del EV/EBITDA de 11,5 [32, 36]; PMI cotiza a 22,3 y 19,7 veces. La prima se explica en parte: crece más que todas salvo ITC y Turning Point (ventas +7 %, BPA ajustado +11 % en 2026) y tiene el 42 % de los ingresos en productos sin humo, frente al ≈ 18 % de BAT y menos del 10 % de Altria, Imperial o Japan Tobacco [21]. Pero una prima del 65 % sobre la mediana y del 76 % sobre BAT (11,5 veces), su rival más parecido, es la más alta en diez años. Los comparables pesan poco (15 %): ninguno tiene su mezcla.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Swedish Match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en efectivo de 116 SEK por acción tras una primera de 106; ≈ 16.000 M USD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Vector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Japan Tobacco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USD por acción en efectivo; Vector cotizaba a 8,4 veces su EBITDA antes de la oferta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Derechos de IQOS en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(a Altria)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derechos comerciales, no de una empresa: sin múltiplo [1].</w:t>
            </w:r>
          </w:p>
        </w:tc>
      </w:tr>
    </w:tbl>
    <w:p>
      <w:pPr>
        <w:spacing w:after="160" w:before="0"/>
      </w:pPr>
    </w:p>
    <w:p>
      <w:pPr>
        <w:spacing w:after="160" w:before="0"/>
      </w:pPr>
    </w:p>
    <w:p>
      <w:pPr>
        <w:spacing w:after="100"/>
      </w:pPr>
      <w:r>
        <w:t xml:space="preserve">Solo hay dos operaciones recientes con precio comparable: la compra de Swedish Match por PMI (2022, ≈ 16.000 M USD, ≈ 19 veces el EBITDA; trajo ZYN) y la de Vector Group por Japan Tobacco (2024, 2.400 M USD) [1, 37]. La recompra a Altria de los derechos de IQOS en EE. UU. (2.777 M USD, 2024) no es una compra de empresa y se excluye. Con menos de tres múltiplos el método no pesa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(+7,0 %, fijo): guía orgánica del 5-7 % más ≈ 1,5 puntos de divisa (el dólar débil del 1S26) [4, 13], en línea con el consenso (+7,2 % [33]). Después, +5,5 % en 2027e-2028e, en el centro del objetivo de la empresa para 2026-2028 (ingresos orgánicos +6-8 % al año [14]) menos un punto de prudencia por ZYN en EE. UU. y los impuestos del calentado, y bajada hasta el 3 % en 2033e: el cigarrillo (58 % de los ingresos) cae en volumen y el crecimiento de los productos sin humo se modera a medida que ganan peso.</w:t>
      </w:r>
    </w:p>
    <w:p>
      <w:pPr>
        <w:keepNext/>
        <w:spacing w:after="100"/>
      </w:pPr>
      <w:r>
        <w:rPr>
          <w:b/>
          <w:bCs/>
        </w:rPr>
        <w:t xml:space="preserve">Márgenes.</w:t>
      </w:r>
    </w:p>
    <w:p>
      <w:pPr>
        <w:spacing w:after="100"/>
      </w:pPr>
      <w:r>
        <w:t xml:space="preserve">Margen EBITDA = EBITDA ajustado de la empresa menos 0,3 puntos por las partidas excluidas que se repiten: 43,7 % en 2026e, calibrado con la guía de crecimiento orgánico del resultado operativo (+7-9 %) y de BPA (8,35-8,50 USD) [4, 13], hasta el 45,8 % en 2032e. La mejora (≈ 2 puntos en siete años) sale de la mezcla (los productos sin humo tienen margen bruto mayor) y de la escala de IQOS; queda por debajo del objetivo de la empresa (expansión del margen de 100-150 puntos básicos al año en 2026-2028 [14]).</w:t>
      </w:r>
    </w:p>
    <w:p>
      <w:pPr>
        <w:keepNext/>
        <w:spacing w:after="100"/>
      </w:pPr>
      <w:r>
        <w:rPr>
          <w:b/>
          <w:bCs/>
        </w:rPr>
        <w:t xml:space="preserve">Inversión y circulante.</w:t>
      </w:r>
    </w:p>
    <w:p>
      <w:pPr>
        <w:spacing w:after="100"/>
      </w:pPr>
      <w:r>
        <w:t xml:space="preserve">Amortización del 4,7 % de las ventas en 2026e (≈ 1.000 M de intangibles de Swedish Match más depreciación del 2,45 %), que baja al 3,6 % al diluirse la parte fija. Inversión del 3,5 % (guía de 1.400-1.600 M USD [4]), sobre todo fábricas de ZYN en EE. UU. y de TEREA, que sube al 3,6 % y se iguala con la amortización al final. Circulante del 28 % de las ventas, el de 2025 (existencias de hoja de tabaco que se cura 2-3 años, clientes menos proveedores): cada punto de crecimiento consume ≈ 115 M USD.</w:t>
      </w:r>
    </w:p>
    <w:p>
      <w:pPr>
        <w:keepNext/>
        <w:spacing w:after="100"/>
      </w:pPr>
      <w:r>
        <w:rPr>
          <w:b/>
          <w:bCs/>
        </w:rPr>
        <w:t xml:space="preserve">Coste del capital.</w:t>
      </w:r>
    </w:p>
    <w:p>
      <w:pPr>
        <w:spacing w:after="100"/>
      </w:pPr>
      <w:r>
        <w:t xml:space="preserve">Tasa libre del 5,15 % (bono del Tesoro a 10 años, 19-oct-2026 [46]); beta de 0,65, por encima de la medida a 5 años (0,36 bruta, 0,57 ajustada [31]) por la regulación y la divisa; prima de mercado del 5,5 % y 0,5 puntos adicionales por la exposición a emergentes y a Rusia (≈ 6 % de los ingresos). Coste de la deuda del 5,6 % antes de impuestos (emisiones en USD de 2026 [15]) y peso del 13,5 % a valor de mercado. WACC del 8,57 %. Con la prima implícita del S&amp;P 500 (4,2 % [45]) sería del 7,84 %.</w:t>
      </w:r>
    </w:p>
    <w:p>
      <w:pPr>
        <w:keepNext/>
        <w:spacing w:after="100"/>
      </w:pPr>
      <w:r>
        <w:rPr>
          <w:b/>
          <w:bCs/>
        </w:rPr>
        <w:t xml:space="preserve">Valor terminal.</w:t>
      </w:r>
    </w:p>
    <w:p>
      <w:pPr>
        <w:spacing w:after="100"/>
      </w:pPr>
      <w:r>
        <w:t xml:space="preserve">Crecimiento a perpetuidad del 2,5 %, con la inflación: el cigarrillo seguirá cayendo en volumen, pero el precio y los productos sin humo lo compensan, como en los últimos veinte años. El múltiplo implícito (11,8 veces el EBITDA) queda por debajo de los 19,7 a los que cotiza hoy y cerca de la mediana de los comparables (11,5) [32]. El valor terminal pesa un 67 %.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131,07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165,53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(reinvierte el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 (histórico: 16,0 %)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2.539 M, el 2 % del NOPAT, con un capex bruto medio del 3,5 %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[4, 13]: volumen total estable o ligeramente al alza (productos sin humo +8-9 %, cigarrillos −2-3 %) con mezcla a favor (0,5 puntos), precio del 5 % (el 2T26 dio +6,8 %) y ≈ 1,5 puntos de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5 % (cigarrillo en emergentes, IQOS) y medio punto de volumen y mezcla; ZYN en EE. UU. plano o ligeramente al alza frente a la competencia.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y un punto de mezcla; empieza la fabricación de cigarrillos para Altria fuera de EE. UU. [1]; la directiva europea, si se aprueba, entra en vigor (riesgo del bajista).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4 % y un punto de mezcla: los productos sin humo superan el 50 % de los ingresos.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3,5 % y un punto de mezcla: converge hacia el crecimiento del 3-4 % del resultado de las tabaqueras con más peso de productos nuevos.</w:t>
            </w:r>
          </w:p>
        </w:tc>
      </w:tr>
    </w:tbl>
    <w:p>
      <w:pPr>
        <w:spacing w:after="160" w:before="0"/>
      </w:pPr>
    </w:p>
    <w:p>
      <w:pPr>
        <w:spacing w:after="100"/>
      </w:pPr>
      <w:r>
        <w:t xml:space="preserve">El crecimiento proyectado (4,8 % medio en 2026e-2033e) está por debajo del histórico (7,2 % anual en 2020-2025, con Swedish Match) y del objetivo de la empresa (+6-8 % orgánico en 2026-2028 [14]); por encima del mercado del tabaco en conjunto (2,9 % [17]), pero esa diferencia es la que lleva diez años: el precio del cigarrillo sube más que la inflación y los productos sin humo (calentado +11 % de volumen en 2025, bolsas de nicotina) ganan cuota al cigarrillo. No necesita capital (reinversión neta del 2 % del NOPAT) y el ROIC incremental histórico es del 16 %. El motor da también «Sí». La duda no es la financiación sino el poder de precios: si los impuestos suben a la vez en la UE, Japón y emergentes, el precio pierde fuerza;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60,9 % (base: 45,8 %)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8,6 %)</w:t>
            </w:r>
          </w:p>
        </w:tc>
      </w:tr>
    </w:tbl>
    <w:p>
      <w:pPr>
        <w:spacing w:after="160" w:before="0"/>
      </w:pPr>
    </w:p>
    <w:p>
      <w:pPr>
        <w:spacing w:after="100"/>
      </w:pPr>
      <w:r>
        <w:t xml:space="preserve">El DCF da 139,04 USD por acción, un 30,8 % por debajo del precio, con un WACC del 8,57 % y un valor terminal que pesa el 67 %. El DCF inverso dice que el precio descuenta un crecimiento del 10,9 % anual de 2027e a 2033e con nuestro margen (o un margen EBITDA del 60,9 % con nuestro crecimiento), frente al 4,4 % de nuestro caso base: el mercado paga PMI como una empresa de crecimiento, no como una tabaquera. Con la prima de riesgo que hoy pide el mercado (4,2 %) vale 162,32 USD (−19 %): ni con la tasa más baja llega al precio. El rango con ± 0,5 puntos de WACC y crecimiento es de 118,49 a 167,57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directiva europea se aprueba en 2027 con mínimos para el calentado y las bolsas; Japón sube otra vez el impuesto del calentado; ZYN pierde cuota en EE. UU. frente a Velo y on! y la FDA retrasa ILUMA; el cigarrillo cae un 4 % al año en volumen y la subida de precios se frena. Crecimiento 2 puntos menor y margen 2,5 puntos menor (≈ 6 % del EBITDA): 91,40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5,5 % en 2027e-2028e y bajada al 3 %, con precio del 4-5 % y mezcla hacia productos sin humo; margen EBITDA que sube 2 puntos en siete años; ZYN en EE. UU. estable y IQOS creciendo un 8-10 % en volumen.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cumple su objetivo 2026-2028 (orgánico +6-8 %, margen +100-150 puntos básicos al año): IQOS ILUMA autorizado en EE. UU., ZYN vuelve a crecer y la directiva europea se queda en un cajón. Un punto más de crecimiento y 0,8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20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130,11 USD (-35,3 %).</w:t>
      </w:r>
    </w:p>
    <w:p>
      <w:pPr>
        <w:spacing w:after="100"/>
      </w:pPr>
      <w:r>
        <w:t xml:space="preserve">Los tres escenarios están por debajo del precio: el alcista vale 150,96 USD (−24,9 %) y el bajista 91,40 (−54,5 %). Con estos pesos, el valor ponderado de los escenarios (130,11 USD) queda un 35 % bajo el precio. Para llegar a 201 USD con nuestra tasa haría falta un crecimiento anual del 10,9 % durante siete años, más del doble de lo que la empresa ha logrado sin compras.</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los tres segmentos comparten fábricas, distribución, marca y costes centrales y la empresa no publica un resultado por segmento comparable con la historia. Como referencia, un negocio solo de productos sin humo valdría más veces el beneficio que uno de cigarrillos, pero la caja del cigarrillo financia los productos sin humo y separarlos no está sobre la mesa.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20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132,89 USD (-33,9 % sobre 201,05).</w:t>
      </w:r>
    </w:p>
    <w:p>
      <w:pPr>
        <w:spacing w:after="100"/>
      </w:pPr>
      <w:r>
        <w:t xml:space="preserve">Pesos: DCF 45 %, escenarios 40 % y comparables 15 %. El DCF es el método más fiable para un negocio estable y previsible; depende de la tasa, pero ni con la prima del mercado (162,32 USD) llega al precio. Los escenarios recogen la asimetría (bajista −55 %, alcista −25 %). Los comparables pesan poco porque ninguno tiene la mezcla de PMI, y su mediana (13,5 veces) llevaría a 122 USD. Las transacciones no pesan (dos operaciones). El valor objetivo de la síntesis es de 132,89 USD (−33,9 %). El puente resta la deuda de Swedish Match (aún ≈ 14.000 M USD de los préstamos y bonos de 2022, ya refinanciados en parte), los minoritarios a valor de mercado (≈ 12 veces su beneficio: 6.670 M en lugar de los 1.926 contables) y las pensiones, y suma las participadas (2.042 M, con RBH a 51 M tras el deterioro); con los minoritarios a valor contable el valor por acción subiría ≈ 3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(22.7x) ÷ 1.1 (tope: la mediana de 5 años, 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spacing w:after="100"/>
      </w:pPr>
      <w:r>
        <w:rPr>
          <w:b/>
          <w:bCs/>
        </w:rPr>
        <w:t xml:space="preserve">Objetivo a 12 meses (ponderado):</w:t>
      </w:r>
      <w:r>
        <w:t xml:space="preserve"> 182,15 USD · rentabilidad -6,5 % (base +1,8 %) · señal Mantener.</w:t>
      </w:r>
    </w:p>
    <w:p>
      <w:pPr>
        <w:spacing w:after="100"/>
      </w:pPr>
      <w:r>
        <w:t xml:space="preserve">Para comparar, con la regla v2 (historia al cierre, mismo precio): 15,6x / 16,9x / 16,9x, -18,6 % Vender; con el tope anterior del base (×1,3, 14-oct mediodía): -11,9 %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(8,35 USD) está en el extremo bajo de la guía (8,35-8,50) y un 0,7 % bajo el consenso (8,41); el de 2027e (8,99) queda un 2,1 % bajo el consenso (9,18) [13, 32]. La diferencia está en las recompras (la empresa no recompra en 2026 y el consenso supone que vuelve en 2027, al bajar la deuda a ≈ 2 veces el EBITDA) y en la divisa. La distancia con el objetivo medio de los analistas (208,71 USD, 15 analistas) está sobre todo en el múltiplo: ellos mantienen ≈ 21-22 veces y la regla común lo baja a 20,6 veces, el tope de ÷1,1 en el camino hacia la mediana de cinco años (16,0).</w:t>
      </w:r>
    </w:p>
    <w:p>
      <w:pPr>
        <w:keepNext/>
        <w:spacing w:after="100"/>
      </w:pPr>
      <w:r>
        <w:rPr>
          <w:b/>
          <w:bCs/>
        </w:rPr>
        <w:t xml:space="preserve">Del valor intrínseco al objetivo a 12 meses.</w:t>
      </w:r>
    </w:p>
    <w:p>
      <w:pPr>
        <w:spacing w:after="100"/>
      </w:pPr>
      <w:r>
        <w:t xml:space="preserve">El objetivo a 12 meses (182,15 USD, ponderado) queda un 9,4 % bajo el precio (−6,5 % con dividendo) y el valor intrínseco (132,89) un 33,9 %. El base (198,79 USD, +1,8 % con dividendo) supone que el BPA ajustado crece un 8,6 % anual hasta 9,65 USD en 2028e y que el múltiplo baja de 22,7 a 20,6 veces (tope de ÷1,1); el bajista (123,98) es el PER del cierre de 2023 (14,3 veces) sobre un BPA un 10 % menor, y es lo que hunde la ponderada. Para comprar haría falta un precio de 132,89 USD (−34 %), el del valor intrínseco; con solo la regla a 12 meses, 163,6. Para vender (ponderada ≤ −10 %), un precio por encima de 208,94 USD (+3,9 %).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2,29-2,34 USD de BPA ajustado (consenso 2,32); lectura de ZYN en EE. UU. tras el 2T plano y revisión de la guía anual (8,35-8,50)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objetivo 2026-2028 y posible vuelta de las recompras con la deuda a ≈ 2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IQOS ILUMA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el mayor mercado de nicotina al calentado de nueva generación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directiva europea de impuestos especiales (TED) en 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para el calentado y las bolsas desde 2028 si hay unanimidad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de cigarrillos para Altria fuera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contrato adicionales, sin efecto material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en bolsas de nicotina en EE. UU. (Velo Plus, on! PLUS, importaciones) y guía de la FDA de mayo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cuota de ZYN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 (EUR, JPY, IDR, monedas emergentes frente al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 de BPA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22,7 veces el BPA ajustado de los próximos 12 meses frente a una mediana adelantada de cinco años de 16,0 y a 13,5 veces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−25-30 % si el PER vuelve a 16-17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al +9-11 % anual: cada año de crecimiento sin subida del precio baja el múltiplo ≈ 2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trimestre por debajo de la guía con el precio en máximos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al tabaco y a la nicotina: directiva europea (TED) con mínimos para el calentado y las bolsas desde 2028, subidas del calentado en Japón (abr-2026) y en emergentes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TED necesita unanimidad y lleva un año parada; el impuesto lo paga el fumador y PMI ha repercutido siempre las subidas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en el Consejo de la UE; nueva subida en Japón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ZYN en EE. UU.: la categoría crece y ZYN no (envíos −10 % en el 1S26, ventas al consumidor planas en el 2T) frente a Velo Plus, on! PLUS e importaciones sin autorizar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y declaración de riesgo reducido de la FDA (las únicas de la categoría), ZYN ULTRA y capacidad nueva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ZYN por debajo del 60 % del valor de la categoría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 y prohibiciones: retraso de ILUMA, prohibiciones de sabores (UE, Polonia) y generacional (Reino Unido, ley de abril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 170 mercados; la prohibición británica es gradual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Copias de la prohibición generacional en la UE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de cigarrillos (−1,5 % en 2025; guía 2026 −2-3 %) más rápida que el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+6-8 % al año y cuota récord de Marlboro (11,0 %)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cigarrillos por debajo de −4 %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y Rusia: el 90 % de los ingresos fuera del USD; Rusia ≈ 6 % de los ingresos y Megapolis (distribuidor ruso participado) gran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y 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Rusia −6 % si se pierde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 0,5 puntos de prima en el WACC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Sanciones nuevas o dólar fuerte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la compra de Swedish Match (49.113 M USD brutos; 2,3 veces el EBITDA) y litigios: RBH en Canadá (plan aprobado, deterioro de 511 M en 2026), clasificación fiscal en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 y 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A/A2, vencimientos repartidos, prepago de 1.000 M EUR en 2026; RBH sin salida de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(marketing, publicidad digital, automatización)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regulado y de marca: la IA no lo sustituye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relevante</w:t>
            </w:r>
          </w:p>
        </w:tc>
      </w:tr>
    </w:tbl>
    <w:p>
      <w:pPr>
        <w:spacing w:after="160" w:before="0"/>
      </w:pPr>
    </w:p>
    <w:p>
      <w:pPr>
        <w:pStyle w:val="Heading2"/>
      </w:pPr>
      <w:r>
        <w:t xml:space="preserve">Pre-mortem</w:t>
      </w:r>
    </w:p>
    <w:p>
      <w:pPr>
        <w:spacing w:after="100"/>
      </w:pPr>
      <w:r>
        <w:t xml:space="preserve">Octubre de 2027: la acción ha perdido un 30 %. No fue un mal año de la empresa sino del múltiplo: los resultados siguieron dentro de la guía, pero ZYN cerró el año con envíos a la baja en EE. UU. y precio más bajo para defender la cuota frente a Velo Plus, la FDA no resolvió ILUMA y el Consejo de la UE pactó una directiva rebajada con mínimos para el calentado desde 2029. El mercado dejó de pagar 22 veces por una tabaquera que crece el 8 % y la llevó a 16, su mediana, mientras los particulares que la habían comprado en máximos vendían. La señal que se ignoró: en el 2T26 las ventas de EE. UU. ya caían (−0,7 %) con el precio en máximos.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±1-2 % a 3-5 años</w:t>
      </w:r>
    </w:p>
    <w:p>
      <w:pPr>
        <w:spacing w:after="100"/>
      </w:pPr>
      <w:r>
        <w:t xml:space="preserve">La IA no amenaza el núcleo de PMI: vende un producto físico, adictivo y regulado, con marca, dispositivos patentados, autorizaciones de la FDA y fábricas; ningún modelo de lenguaje fabrica ni distribuye nicotina, y la publicidad del tabaco está prohibida casi en todas partes, así que tampoco cambia cómo se capta al cliente. Donde toca es en costes (previsión de demanda, fábricas, cadena de suministro, ≈ 5.500 M USD de gastos generales y de ventas) y en el control de la venta ilegal, a favor. En contra, menor: la IA abarata el desarrollo de dispositivos y de marketing digital a rivales pequeños y a importadores de bolsas, que ya presionan a ZYN. Neto: neutral o ligeramente positivo; no cambia el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salud: PMI sostiene que sus productos sin humo reducen el daño frente al cigarrillo y lo respaldan las autorizaciones de la FDA (IQOS y ZYN como productos de riesgo o exposición reducidos) [3]. El 58 % de sus ingresos sigue viniendo del cigarrillo en el 2T26 [4]. El segundo asunto es el ilícito y la regulación: las bolsas de nicotina son más fáciles de falsificar y PMI amplía sus controles [3]. Muchos fondos excluyen el tabaco por política, lo que limita la base de accionistas y puede explicar parte del descuento histórico frente al consumo básico.</w:t>
      </w:r>
    </w:p>
    <w:p>
      <w:pPr>
        <w:pStyle w:val="Heading2"/>
      </w:pPr>
      <w:r>
        <w:t xml:space="preserve">Controversias</w:t>
      </w:r>
    </w:p>
    <w:p>
      <w:pPr>
        <w:spacing w:after="100"/>
      </w:pPr>
      <w:r>
        <w:t xml:space="preserve">Italia multó a PMI con 7 M EUR en junio de 2026 por la publicidad «libre de humo» (Reuters, según el rastreador de noticias) [3]; cinco demandas colectivas en EE. UU. contra ZYN por adicción y publicidad dirigida a jóvenes [3]; el litigio fiscal de clasificación en Alemania (176 M USD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ZYN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estancamiento de ZYN en 2026 es pérdida de cuota frente a Velo Plus y on! PLUS y cuánto ajuste de inventarios, y qué precio por lata defiende la empresa con ZYN ULTRA?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motor de crecimiento que justifica el múltiplo; sus ventas caen un 0,7 %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tendría en el resultado la directiva europea con los mínimos propuestos para el calentado y las bolsas, y cuánto podría repercutirse en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(−55 %): la ventaja fiscal de IQOS es la base de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vuelven las recompras y con qué nivel de deuda (≈ 2 veces el EBITDA a finales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2027 (9,18 USD) supone recompras que nuestro base no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ILUMA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espera la empresa para la autorización de IQOS ILUMA en EE. UU. y con qué inversión comercial?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catalizador al alza; lleva pendiente desde octubre 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y del resultado viene hoy de Rusia y qué riesgo de sanciones o salida forzada ve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6 % de los ingresos y un distribuidor participado entre los mayores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objetivo 2026-2028 depende de un dólar débil y qué cobertura tiene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2026 ya incluye +0,15 USD de divisa.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de particulares: «máximos de 52 semanas», «ruptura hacia 215», tabaco como refugio frente a los chips; alguna pregunta por la caída del 15-oct y quien teme vender antes de que siga subiendo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artículos favorables por dividendo y crecimiento («safe harbor ahead of Q3»), con una rebaja por valoración en septiembre y avisos de «competencia al alza» en ZYN y de prohibiciones generacionales en Europa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titular dominante de octubre es que la acción «parece cara» tras invertir 16.000 M USD en productos sin humo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prudentes: PER de 22 veces el BPA de 2027 frente a una mediana histórica de 16 y un DCF por debajo del precio [44].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ZYN frente a los rivales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ventas al consumidor planas en el 2T26 en una categoría que crece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creciente y defensiva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6,40 USD (+8,8 %), 3,2 % de rentabilidad; payout del 75 % del BPA ajustado [42,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desde la tecnología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parte de la subida de octubre; no es un motivo de negocio [43].</w:t>
            </w:r>
          </w:p>
        </w:tc>
      </w:tr>
    </w:tbl>
    <w:p>
      <w:pPr>
        <w:spacing w:after="160" w:before="0"/>
      </w:pPr>
    </w:p>
    <w:p>
      <w:pPr>
        <w:spacing w:after="100"/>
      </w:pPr>
      <w:r>
        <w:t xml:space="preserve">El sentimiento es claramente positivo, rozando la euforia entre los particulares (máximos históricos, opciones con +250 %), mientras que los analistas de Seeking Alpha y la prensa empiezan a hablar de valoración exigente. Coincide con el consenso de bancos (11 de 15 recomiendan comprar) y va contra lo que dicen nuestros números a 12 meses. Un sentimiento así, a un 1,4 % del máximo y antes de los resultados, aumenta el riesgo de decepción si ZYN vuelve a flojear.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46 (26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1.679 (¿operaciones interrumpidas?). Explicación: En la cuenta de PMI el resultado de las participadas (puesta en equivalencia y valor razonable de participaciones) va DESPUÉS de impuestos. En 2024 fue de −1.679 M USD por el deterioro de 2.316 M de la participación en RBH (Canadá), desconsolidada desde 2019 [1, 7]: BAI 12.199 − impuestos 3.017 − minoritarios 446 − 1.679 = 7.057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-705 (¿operaciones interrumpidas?). Explicación: La misma línea, positiva en 2025 (+705 M USD): resultado de participadas, revalorización de participaciones a valor razonable y dividendos de RBH tras la aprobación de su plan en Canadá [1, 2]. BAI 13.880 − impuestos 2.737 − minoritarios 500 + 705 = 11.348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28,6 % real: genera una variación de circulante de 535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34,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Académica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reexpresadas de marzo de 2026: dan el resultado de las empresas operativas solo para International (agregado) y U.S.; 2) nota del 2T26: igual; 3) 10-Q: beneficio bruto por segmento, no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(ingresos por segmento sí; resultado de International 15.956 M y de U.S. 1.124 M ajustados en 2025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ingresos por segmento y por producto, sin reparto por país completo; 2) cuentas reexpresadas: solo segmentos; 3) presentación CAGNY: volúmenes por región sin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serie histórica del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CAGNY: cuotas de PMI pero no de los cinco primeros; 2) informes sectoriales (Reports and Data, IMARC): solo cifras resumidas; 3) Euromonitor: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margen EBITDA, no EBIT; 2) informes anuales de BAT, Altria y JT: no leídos por tiempo; 3) prensa: no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PMI: no descargado; 2) MSCI y Sustainalytics: requieren registro; 3) prensa: sin fecha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PMI 2022-2025: precio de Swedish Match sin EBITDA del objetivo; 2) búsqueda de EV/EBITDA de Swedish Match y Vector: solo valor de la operación y múltiplo previo de Vector; 3) folletos de las ofertas: no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(transacciones sin peso en la valoración)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sin dato para PM; 2) MarketBeat: no abrió la ficha; 3) NYSE: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notas de deuda, pensiones, intangibles, contingencias (RBH, ZYN),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https://www.sec.gov/Archives/edgar/data/1413329/000162828026005939/pm-20251231.htm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PMI Reports 2025 Fourth-Quarter &amp; Full-Year Results; Provides 2026-2028 Growth Targets (conciliación de ajustados,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https://www.sec.gov/Archives/edgar/data/1413329/000162828026005932/earningsreleasepm-ex991xq4.htm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(30-jun-2026): balance, deuda, RBH, participadas, regulación (TED, FDA, Reino Unido)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https://www.sec.gov/Archives/edgar/data/1413329/000162828026049493/pm-20260630.htm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Reports 2026 Second-Quarter &amp; First Six-Months Results (deterioro de RBH,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https://www.sec.gov/Archives/edgar/data/1413329/000162828026049107/earningsreleasepm-ex991xq2.htm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Reports 2026 First-Quarter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https://www.sec.gov/Archives/edgar/data/1413329/000162828026026385/earningsreleasepm-ex991xq1.htm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reexpresadas 2024-2025 con los segmentos nuevos (International Smoke-Free, International Combustibles, 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 anexos 99.1 y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https://www.sec.gov/Archives/edgar/data/1413329/000162828026017497/ex991recastschedules_2025v.htm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2024 (BPA ajustado 6,57 USD, deterioro de RBH de 2024, venta de Vectura)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https://www.sec.gov/Archives/edgar/data/1413329/000141332925000011/earningsreleasepm-ex991xfy.htm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2023 (BPA ajustado 6,01 USD; Corea, Fundación, deterioros)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https://www.sec.gov/Archives/edgar/data/1413329/000141332924000012/earningsreleasepm-ex991xfy.htm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2022 (BPA ajustado 5,98 USD; Swedish Match, Ucrania)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https://www.sec.gov/Archives/edgar/data/1413329/000141332923000020/earningsreleasepm-ex991xfy.htm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 2020 y 2021 (BPA ajustado 5,17 y 6,08 USD; aduanas de Arabia Saudí)</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https://www.sec.gov/Archives/edgar/data/1413329/000141332922000007/earningsreleasepm-ex991xq4.htm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3T25 (BPA ajustado 2,24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https://www.sec.gov/Archives/edgar/data/1413329/000162828025045579/earningsreleasepm-ex991xq3.htm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(deuda con vencimientos corrientes, depreciación, amortización de intangibles, pagos de intangibles)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https://data.sec.gov/api/xbrl/companyfacts/CIK0001413329.json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en la conferencia de Barclays: guía de BPA ajustado 2026 de 8,35-8,50 USD y 3T de 2,29-2,34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https://www.sec.gov/Archives/edgar/data/1413329/000162828026060806/a2026barclaysrelease.htm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CAGNY 2026: objetivos 2026-2028, ROIC, flujo operativo previsto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https://www.sec.gov/Archives/edgar/data/1413329/000162828026008831/a2026cagnyslides.htm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amortización anticipada de 1.000 M EUR del préstamo de Swedish Match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https://www.sec.gov/Archives/edgar/data/1413329/000110465926078814/tm2618983d1_8k.htm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sube el dividendo un 8,8 % a 6,40 USD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https://www.sec.gov/Archives/edgar/data/1413329/000162828026062621/september2026dividend.htm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Tobacco Market Size, 2025-2035 (978 bn USD en 2025, TCAC del 2,9 %)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Reports and 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https://reportsanddata.com/report-detail/tobacco-market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Heated Tobacco Products Market (33,3 bn USD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https://imarcgroup.com/heated-tobacco-products-market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the EU cracking down on tobacco? (revisión de la directiva de impuestos: +139 % en el mínimo de cigarrillos, mínimos para vapeo, calentado y bolsas; sin acuerdo en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https://www.euronews.com/my-europe/2026/08/17/is-the-eu-cracking-down-on-tobacco-ask-the-euronews-chatbot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nicotine pouch review delay report knocks tobacco shares lower (1-abr-2026)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2Firsts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https://www.2firsts.com/news/fda-nicotine-pouch-review-delay-report-knocks-tobacco-shares-lower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Altria, BAT, Imperial, Japan Tobacco, KT&amp;G, ITC, Turning Point y Scandinavian Tobacco (ingresos y márgenes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20-oct-2026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anuncia un acuerdo de fabricación por contrato de cigarrillos con Altria (PM USA)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https://www.sec.gov/Archives/edgar/data/1413329/000162828026058513/a2026-08x24pressrelease.htm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comités, remuneración,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https://www.sec.gov/Archives/edgar/data/1413329/000162828026021169/pmi-20260325.htm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https://www.sec.gov/Archives/edgar/data/1413329/000162828026032644/pm-20260506.htm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https://www.sec.gov/Archives/edgar/data/1413329/000141332925000104/pm-20250507.htm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https://www.sec.gov/Archives/edgar/data/1413329/000141332924000100/pm-20240508.htm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Announces Group CFO Succession (Massimo Andolina sustituye a Emmanuel Babeau desde el 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https://www.sec.gov/Archives/edgar/data/1413329/000162828026036721/a2026-05x20release.htm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Evolves Organizational Model (unidades International y U.S.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https://www.sec.gov/Archives/edgar/data/1413329/000162828025048526/november4pressrelease.htm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directivos y consejeros, 20-oct-2025 a 20-oct-2026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https://www.sec.gov/cgi-bin/browse-edgar?action=getcompany&amp;CIK=0001413329&amp;type=4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separación del director financiero saliente (acuerdo de salida de E. Babeau)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https://www.sec.gov/Archives/edgar/data/1413329/000162828026047782/pm-20260706.htm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PM, SPY y XLP (precio, rango, rentabilidades, beta, cierres de ejercicio):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PM (BPA 2026-2027, ventas, recomendaciones y precio objetivo) y de los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estimaciones 2026-2028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https://www.marketscreener.com/quote/stock/PHILIP-MORRIS-INTERNATION-2836703/finances/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 JPY, KRW, INR y DKK frente al USD (19-20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https://finance.yahoo.com/quote/GBPUSD=X/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JT Group acquires Vector Group for 2.4 billion in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Arbitrage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https://www.insidearbitrage.com/2024/08/jt-group-acquires-vector-group-for-2-4-billion-in-cash/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(1-12 meses, máximos, media de 200, tendencia): herramientas/movimiento.mjs 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to Host Webcast of 2026 Third-Quarter and First Nine-Months Results (21-oct-2026, 7:00 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https://finviz.com/news/402345/philip-morris-international-to-host-webcast-of-2026-third-quarter-and-first-nine-months-results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Philip Morris (PM) stock is up today (11-may-2026: guía de la FDA)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https://stockstory.org/us/stocks/nyse/pm/news/why-up-down/why-philip-morris-pm-stock-is-up-today-2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PM de los últimos 12 meses (herramientas/noticias.mjs: Google Noticias, Yahoo y 8-K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Rastreador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https://news.google.com/search?q=Philip%20Morris%20International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PM (rebaja de recomendación del 4-sep-2026, avance del 3T «Competition Heating 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sobre $PM (29-sep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(API pública)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https://stocktwits.com/symbol/PM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(PM) Stock Looks Richly Valued After $16b Smoke Free Push y otros titulares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(agregado por herramientas/noticias.mjs)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(prima de riesgo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Académica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(bono a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https://home.treasury.gov/resource-center/data-chart-center/interest-rates/TextView?type=daily_treasury_par_yield_curve&amp;field_tdr_date_value=2026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USD, ejercicio a 31 de diciembre. El último ejercicio real es 2025 y el LTM llega a junio de 2026; los resultados del 3T26 se publican el 21-oct-2026, un día después del corte, y no están incluidos. Precio: cierre del 19-oct-2026 (201,05 USD); la decisión se comprueba con el precio de la sesión del 20-oct en las pruebas de robustez. La segmentación cambió en 2026 (International Smoke-Free, International Combustibles y U.S.): solo hay cifras reexpresadas de 2023-2025 y sin resultado por segmento comparable, por eso la tabla de segmentos tiene tres años y solo ingresos [6]. Sin desglose de ingresos por país en las cuentas nuevas. El BPA de la regla a 12 meses y su historia están en la base AJUSTADA de la empresa (sin amortización de intangibles comprados, reestructuración, deterioros ni ajustes de valor razonable), la misma que el consenso; el DCF resta 0,3 puntos de margen por las partidas excluidas que se repiten. El patrimonio neto es negativo (−9.994 M USD) por los dividendos y recompras desde la escisión de Altria (2008): el ROE no significa nada y el ROIC se da también sobre el capital operativo. Precio de una acción en EUR: ≈ 173 EUR (≈ 1,16 USD por EUR), un 0,6 %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Philip Morris International Inc. (PM)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201,05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(142,11 – 210,45)</c:v>
                </c:pt>
                <c:pt idx="1">
                  <c:v>Precio objetivo de los analistas (175,00 – 230,00)</c:v>
                </c:pt>
                <c:pt idx="2">
                  <c:v>Comparables: PER NTM (95,47 – 153,25)</c:v>
                </c:pt>
                <c:pt idx="3">
                  <c:v>DCF (WACC y g ± 0,5) (118,49 – 167,57)</c:v>
                </c:pt>
                <c:pt idx="4">
                  <c:v>Escenarios (bajista – alcista) (91,40 – 150,96)</c:v>
                </c:pt>
                <c:pt idx="5">
                  <c:v>DCF con la prima implícita del mercado (4,2 %)</c:v>
                </c:pt>
                <c:pt idx="6">
                  <c:v>Precio actual (201,05)</c:v>
                </c:pt>
              </c:strCache>
            </c:strRef>
          </c:cat>
          <c:val>
            <c:numRef>
              <c:f>Hoja1!$B$2:$B$8</c:f>
              <c:numCache>
                <c:formatCode>#,##0</c:formatCode>
                <c:ptCount val="7"/>
                <c:pt idx="0">
                  <c:v>142.11</c:v>
                </c:pt>
                <c:pt idx="1">
                  <c:v>175</c:v>
                </c:pt>
                <c:pt idx="2">
                  <c:v>95.47</c:v>
                </c:pt>
                <c:pt idx="3">
                  <c:v>118.49</c:v>
                </c:pt>
                <c:pt idx="4">
                  <c:v>91.4</c:v>
                </c:pt>
                <c:pt idx="5">
                  <c:v>145.76</c:v>
                </c:pt>
                <c:pt idx="6">
                  <c:v>200.04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(142,11 – 210,45)</c:v>
                </c:pt>
                <c:pt idx="1">
                  <c:v>Precio objetivo de los analistas (175,00 – 230,00)</c:v>
                </c:pt>
                <c:pt idx="2">
                  <c:v>Comparables: PER NTM (95,47 – 153,25)</c:v>
                </c:pt>
                <c:pt idx="3">
                  <c:v>DCF (WACC y g ± 0,5) (118,49 – 167,57)</c:v>
                </c:pt>
                <c:pt idx="4">
                  <c:v>Escenarios (bajista – alcista) (91,40 – 150,96)</c:v>
                </c:pt>
                <c:pt idx="5">
                  <c:v>DCF con la prima implícita del mercado (4,2 %)</c:v>
                </c:pt>
                <c:pt idx="6">
                  <c:v>Precio actual (201,05)</c:v>
                </c:pt>
              </c:strCache>
            </c:strRef>
          </c:cat>
          <c:val>
            <c:numRef>
              <c:f>Hoja1!$C$2:$C$8</c:f>
              <c:numCache>
                <c:formatCode>#,##0</c:formatCode>
                <c:ptCount val="7"/>
                <c:pt idx="0">
                  <c:v>68.33999999999997</c:v>
                </c:pt>
                <c:pt idx="1">
                  <c:v>55</c:v>
                </c:pt>
                <c:pt idx="2">
                  <c:v>57.78</c:v>
                </c:pt>
                <c:pt idx="3">
                  <c:v>49.08</c:v>
                </c:pt>
                <c:pt idx="4">
                  <c:v>59.56</c:v>
                </c:pt>
                <c:pt idx="5">
                  <c:v>36.56</c:v>
                </c:pt>
                <c:pt idx="6">
                  <c:v>2.0200000000000102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International Smoke-Free</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11102</c:v>
                </c:pt>
                <c:pt idx="1">
                  <c:v>12126</c:v>
                </c:pt>
                <c:pt idx="2">
                  <c:v>13996</c:v>
                </c:pt>
              </c:numCache>
            </c:numRef>
          </c:val>
        </c:ser>
        <c:ser>
          <c:idx val="1"/>
          <c:order val="1"/>
          <c:tx>
            <c:strRef>
              <c:f>Hoja1!$C$1</c:f>
              <c:strCache>
                <c:ptCount val="1"/>
                <c:pt idx="0">
                  <c:v>International Combustibles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21903</c:v>
                </c:pt>
                <c:pt idx="1">
                  <c:v>22807</c:v>
                </c:pt>
                <c:pt idx="2">
                  <c:v>23436</c:v>
                </c:pt>
              </c:numCache>
            </c:numRef>
          </c:val>
        </c:ser>
        <c:ser>
          <c:idx val="2"/>
          <c:order val="2"/>
          <c:tx>
            <c:strRef>
              <c:f>Hoja1!$D$1</c:f>
              <c:strCache>
                <c:ptCount val="1"/>
                <c:pt idx="0">
                  <c:v>U.S.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2169</c:v>
                </c:pt>
                <c:pt idx="1">
                  <c:v>2944</c:v>
                </c:pt>
                <c:pt idx="2">
                  <c:v>3216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International Smoke-Free</c:v>
                </c:pt>
                <c:pt idx="1">
                  <c:v>International Combustibles</c:v>
                </c:pt>
                <c:pt idx="2">
                  <c:v>U.S.</c:v>
                </c:pt>
              </c:strCache>
            </c:strRef>
          </c:cat>
          <c:val>
            <c:numRef>
              <c:f>Hoja1!$B$2:$B$4</c:f>
              <c:numCache>
                <c:formatCode>General</c:formatCode>
                <c:ptCount val="3"/>
                <c:pt idx="0">
                  <c:v>34.4</c:v>
                </c:pt>
                <c:pt idx="1">
                  <c:v>57.7</c:v>
                </c:pt>
                <c:pt idx="2">
                  <c:v>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(venta al público con impuestos))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2035e</c:v>
                </c:pt>
              </c:strCache>
            </c:strRef>
          </c:cat>
          <c:val>
            <c:numRef>
              <c:f>Hoja1!$B$2:$B$3</c:f>
              <c:numCache>
                <c:formatCode>#,##0</c:formatCode>
                <c:ptCount val="2"/>
                <c:pt idx="0">
                  <c:v>978</c:v>
                </c:pt>
                <c:pt idx="1">
                  <c:v>1299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Philip Morris</c:v>
                </c:pt>
                <c:pt idx="1">
                  <c:v>British American Tobacco</c:v>
                </c:pt>
                <c:pt idx="2">
                  <c:v>Altria</c:v>
                </c:pt>
                <c:pt idx="3">
                  <c:v>Japan Tobacco</c:v>
                </c:pt>
                <c:pt idx="4">
                  <c:v>Imperial Brands</c:v>
                </c:pt>
                <c:pt idx="5">
                  <c:v>KT&amp;G</c:v>
                </c:pt>
                <c:pt idx="6">
                  <c:v>ITC</c:v>
                </c:pt>
                <c:pt idx="7">
                  <c:v>Turning Point Brands</c:v>
                </c:pt>
              </c:strCache>
            </c:strRef>
          </c:cat>
          <c:val>
            <c:numRef>
              <c:f>Hoja1!$B$2:$B$9</c:f>
              <c:numCache>
                <c:formatCode>0.0"%"</c:formatCode>
                <c:ptCount val="8"/>
                <c:pt idx="0">
                  <c:v>37.9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28694</c:v>
                </c:pt>
                <c:pt idx="1">
                  <c:v>31405</c:v>
                </c:pt>
                <c:pt idx="2">
                  <c:v>31762</c:v>
                </c:pt>
                <c:pt idx="3">
                  <c:v>35174</c:v>
                </c:pt>
                <c:pt idx="4">
                  <c:v>37878</c:v>
                </c:pt>
                <c:pt idx="5">
                  <c:v>40648</c:v>
                </c:pt>
                <c:pt idx="6">
                  <c:v>43493</c:v>
                </c:pt>
                <c:pt idx="7">
                  <c:v>45885</c:v>
                </c:pt>
                <c:pt idx="8">
                  <c:v>48409</c:v>
                </c:pt>
                <c:pt idx="9">
                  <c:v>50830</c:v>
                </c:pt>
                <c:pt idx="10">
                  <c:v>53117</c:v>
                </c:pt>
                <c:pt idx="11">
                  <c:v>55242</c:v>
                </c:pt>
                <c:pt idx="12">
                  <c:v>57175</c:v>
                </c:pt>
                <c:pt idx="13">
                  <c:v>58890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12679</c:v>
                </c:pt>
                <c:pt idx="1">
                  <c:v>14486</c:v>
                </c:pt>
                <c:pt idx="2">
                  <c:v>13826</c:v>
                </c:pt>
                <c:pt idx="3">
                  <c:v>14238</c:v>
                </c:pt>
                <c:pt idx="4">
                  <c:v>15640</c:v>
                </c:pt>
                <c:pt idx="5">
                  <c:v>17421</c:v>
                </c:pt>
                <c:pt idx="6">
                  <c:v>19007</c:v>
                </c:pt>
                <c:pt idx="7">
                  <c:v>20327</c:v>
                </c:pt>
                <c:pt idx="8">
                  <c:v>21687</c:v>
                </c:pt>
                <c:pt idx="9">
                  <c:v>22975</c:v>
                </c:pt>
                <c:pt idx="10">
                  <c:v>24168</c:v>
                </c:pt>
                <c:pt idx="11">
                  <c:v>25245</c:v>
                </c:pt>
                <c:pt idx="12">
                  <c:v>26186</c:v>
                </c:pt>
                <c:pt idx="13">
                  <c:v>26972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66.7</c:v>
                </c:pt>
                <c:pt idx="1">
                  <c:v>68.1</c:v>
                </c:pt>
                <c:pt idx="2">
                  <c:v>64.1</c:v>
                </c:pt>
                <c:pt idx="3">
                  <c:v>63.3</c:v>
                </c:pt>
                <c:pt idx="4">
                  <c:v>64.8</c:v>
                </c:pt>
                <c:pt idx="5">
                  <c:v>67.1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44.2</c:v>
                </c:pt>
                <c:pt idx="1">
                  <c:v>46.1</c:v>
                </c:pt>
                <c:pt idx="2">
                  <c:v>43.5</c:v>
                </c:pt>
                <c:pt idx="3">
                  <c:v>40.5</c:v>
                </c:pt>
                <c:pt idx="4">
                  <c:v>41.3</c:v>
                </c:pt>
                <c:pt idx="5">
                  <c:v>42.9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40.8</c:v>
                </c:pt>
                <c:pt idx="1">
                  <c:v>42.9</c:v>
                </c:pt>
                <c:pt idx="2">
                  <c:v>40.1</c:v>
                </c:pt>
                <c:pt idx="3">
                  <c:v>36.5</c:v>
                </c:pt>
                <c:pt idx="4">
                  <c:v>36.6</c:v>
                </c:pt>
                <c:pt idx="5">
                  <c:v>37.9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28.1</c:v>
                </c:pt>
                <c:pt idx="1">
                  <c:v>29</c:v>
                </c:pt>
                <c:pt idx="2">
                  <c:v>28.5</c:v>
                </c:pt>
                <c:pt idx="3">
                  <c:v>22.2</c:v>
                </c:pt>
                <c:pt idx="4">
                  <c:v>18.6</c:v>
                </c:pt>
                <c:pt idx="5">
                  <c:v>27.9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8.4</c:v>
                </c:pt>
                <c:pt idx="1">
                  <c:v>7.3</c:v>
                </c:pt>
                <c:pt idx="2">
                  <c:v>5.8</c:v>
                </c:pt>
                <c:pt idx="3">
                  <c:v>7.1</c:v>
                </c:pt>
                <c:pt idx="4">
                  <c:v>9.4</c:v>
                </c:pt>
                <c:pt idx="5">
                  <c:v>6.8</c:v>
                </c:pt>
                <c:pt idx="6">
                  <c:v>9.1</c:v>
                </c:pt>
                <c:pt idx="7">
                  <c:v>10.4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11.6</c:v>
                </c:pt>
                <c:pt idx="1">
                  <c:v>7.3</c:v>
                </c:pt>
                <c:pt idx="2">
                  <c:v>10.2</c:v>
                </c:pt>
                <c:pt idx="3">
                  <c:v>6.8</c:v>
                </c:pt>
                <c:pt idx="4">
                  <c:v>5.9</c:v>
                </c:pt>
                <c:pt idx="5">
                  <c:v>3.7</c:v>
                </c:pt>
                <c:pt idx="6">
                  <c:v>2.7</c:v>
                </c:pt>
                <c:pt idx="7">
                  <c:v>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c:v>
                </c:pt>
                <c:pt idx="1">
                  <c:v>36</c:v>
                </c:pt>
                <c:pt idx="2">
                  <c:v>44</c:v>
                </c:pt>
                <c:pt idx="3">
                  <c:v>36</c:v>
                </c:pt>
                <c:pt idx="4">
                  <c:v>37</c:v>
                </c:pt>
                <c:pt idx="5">
                  <c:v>41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366</c:v>
                </c:pt>
                <c:pt idx="1">
                  <c:v>317</c:v>
                </c:pt>
                <c:pt idx="2">
                  <c:v>316</c:v>
                </c:pt>
                <c:pt idx="3">
                  <c:v>305</c:v>
                </c:pt>
                <c:pt idx="4">
                  <c:v>259</c:v>
                </c:pt>
                <c:pt idx="5">
                  <c:v>313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106</c:v>
                </c:pt>
                <c:pt idx="1">
                  <c:v>121</c:v>
                </c:pt>
                <c:pt idx="2">
                  <c:v>130</c:v>
                </c:pt>
                <c:pt idx="3">
                  <c:v>117</c:v>
                </c:pt>
                <c:pt idx="4">
                  <c:v>108</c:v>
                </c:pt>
                <c:pt idx="5">
                  <c:v>120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9191</c:v>
                </c:pt>
                <c:pt idx="1">
                  <c:v>11193</c:v>
                </c:pt>
                <c:pt idx="2">
                  <c:v>8648</c:v>
                </c:pt>
                <c:pt idx="3">
                  <c:v>6081</c:v>
                </c:pt>
                <c:pt idx="4">
                  <c:v>10744</c:v>
                </c:pt>
                <c:pt idx="5">
                  <c:v>10623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8056</c:v>
                </c:pt>
                <c:pt idx="1">
                  <c:v>9109</c:v>
                </c:pt>
                <c:pt idx="2">
                  <c:v>9048</c:v>
                </c:pt>
                <c:pt idx="3">
                  <c:v>7813</c:v>
                </c:pt>
                <c:pt idx="4">
                  <c:v>7057</c:v>
                </c:pt>
                <c:pt idx="5">
                  <c:v>11348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67.2</c:v>
                </c:pt>
                <c:pt idx="1">
                  <c:v>73.4</c:v>
                </c:pt>
                <c:pt idx="2">
                  <c:v>42.3</c:v>
                </c:pt>
                <c:pt idx="3">
                  <c:v>28.9</c:v>
                </c:pt>
                <c:pt idx="4">
                  <c:v>31.1</c:v>
                </c:pt>
                <c:pt idx="5">
                  <c:v>36.7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8.6</c:v>
                </c:pt>
                <c:pt idx="1">
                  <c:v>8.6</c:v>
                </c:pt>
                <c:pt idx="2">
                  <c:v>8.6</c:v>
                </c:pt>
                <c:pt idx="3">
                  <c:v>8.6</c:v>
                </c:pt>
                <c:pt idx="4">
                  <c:v>8.6</c:v>
                </c:pt>
                <c:pt idx="5">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-64.1</c:v>
                </c:pt>
                <c:pt idx="1">
                  <c:v>-80.4</c:v>
                </c:pt>
                <c:pt idx="2">
                  <c:v>-94.9</c:v>
                </c:pt>
                <c:pt idx="3">
                  <c:v>-77.4</c:v>
                </c:pt>
                <c:pt idx="4">
                  <c:v>-61.4</c:v>
                </c:pt>
                <c:pt idx="5">
                  <c:v>-104.4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1.91</c:v>
                </c:pt>
                <c:pt idx="1">
                  <c:v>1.61</c:v>
                </c:pt>
                <c:pt idx="2">
                  <c:v>2.89</c:v>
                </c:pt>
                <c:pt idx="3">
                  <c:v>3.15</c:v>
                </c:pt>
                <c:pt idx="4">
                  <c:v>2.65</c:v>
                </c:pt>
                <c:pt idx="5">
                  <c:v>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2031-2035</c:v>
                </c:pt>
                <c:pt idx="6">
                  <c:v>2036+</c:v>
                </c:pt>
              </c:strCache>
            </c:strRef>
          </c:cat>
          <c:val>
            <c:numRef>
              <c:f>Hoja1!$B$2:$B$8</c:f>
              <c:numCache>
                <c:formatCode>#,##0</c:formatCode>
                <c:ptCount val="7"/>
                <c:pt idx="0">
                  <c:v>3540</c:v>
                </c:pt>
                <c:pt idx="1">
                  <c:v>6816</c:v>
                </c:pt>
                <c:pt idx="2">
                  <c:v>4968</c:v>
                </c:pt>
                <c:pt idx="3">
                  <c:v>4968</c:v>
                </c:pt>
                <c:pt idx="4">
                  <c:v>5903</c:v>
                </c:pt>
                <c:pt idx="5">
                  <c:v>14199</c:v>
                </c:pt>
                <c:pt idx="6">
                  <c:v>8611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2111</c:v>
                </c:pt>
                <c:pt idx="2">
                  <c:v>13976</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7364</c:v>
                </c:pt>
                <c:pt idx="1">
                  <c:v>7580</c:v>
                </c:pt>
                <c:pt idx="2">
                  <c:v>7812</c:v>
                </c:pt>
                <c:pt idx="3">
                  <c:v>7964</c:v>
                </c:pt>
                <c:pt idx="4">
                  <c:v>8197</c:v>
                </c:pt>
                <c:pt idx="5">
                  <c:v>8624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775</c:v>
                </c:pt>
                <c:pt idx="2">
                  <c:v>209</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Capital World Investors</c:v>
                </c:pt>
                <c:pt idx="2">
                  <c:v>Capital International Investors</c:v>
                </c:pt>
                <c:pt idx="3">
                  <c:v>BlackRock</c:v>
                </c:pt>
                <c:pt idx="4">
                  <c:v>Consejeros y directivos (17)</c:v>
                </c:pt>
              </c:strCache>
            </c:strRef>
          </c:cat>
          <c:val>
            <c:numRef>
              <c:f>Hoja1!$B$2:$B$6</c:f>
              <c:numCache>
                <c:formatCode>0.0"%"</c:formatCode>
                <c:ptCount val="5"/>
                <c:pt idx="0">
                  <c:v>8.57</c:v>
                </c:pt>
                <c:pt idx="1">
                  <c:v>8.17</c:v>
                </c:pt>
                <c:pt idx="2">
                  <c:v>6.61</c:v>
                </c:pt>
                <c:pt idx="3">
                  <c:v>6.22</c:v>
                </c:pt>
                <c:pt idx="4">
                  <c:v>0.13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8.6</c:v>
                </c:pt>
                <c:pt idx="1">
                  <c:v>19.8</c:v>
                </c:pt>
                <c:pt idx="2">
                  <c:v>-33.3</c:v>
                </c:pt>
                <c:pt idx="3">
                  <c:v>35</c:v>
                </c:pt>
                <c:pt idx="4">
                  <c:v>3.7</c:v>
                </c:pt>
                <c:pt idx="5">
                  <c:v>20.8</c:v>
                </c:pt>
                <c:pt idx="6">
                  <c:v>12.3</c:v>
                </c:pt>
                <c:pt idx="7">
                  <c:v>-1.9</c:v>
                </c:pt>
                <c:pt idx="8">
                  <c:v>34.3</c:v>
                </c:pt>
                <c:pt idx="9">
                  <c:v>38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12.2</c:v>
                </c:pt>
                <c:pt idx="1">
                  <c:v>12</c:v>
                </c:pt>
                <c:pt idx="2">
                  <c:v>14.4</c:v>
                </c:pt>
                <c:pt idx="3">
                  <c:v>13.5</c:v>
                </c:pt>
                <c:pt idx="4">
                  <c:v>14.7</c:v>
                </c:pt>
                <c:pt idx="5">
                  <c:v>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14</c:v>
                </c:pt>
                <c:pt idx="1">
                  <c:v>14</c:v>
                </c:pt>
                <c:pt idx="2">
                  <c:v>14</c:v>
                </c:pt>
                <c:pt idx="3">
                  <c:v>14</c:v>
                </c:pt>
                <c:pt idx="4">
                  <c:v>14</c:v>
                </c:pt>
                <c:pt idx="5">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Philip Morris</c:v>
                </c:pt>
                <c:pt idx="1">
                  <c:v>Altria</c:v>
                </c:pt>
                <c:pt idx="2">
                  <c:v>British American Tobacco</c:v>
                </c:pt>
                <c:pt idx="3">
                  <c:v>Imperial Brands</c:v>
                </c:pt>
                <c:pt idx="4">
                  <c:v>Japan Tobacco</c:v>
                </c:pt>
                <c:pt idx="5">
                  <c:v>KT&amp;G</c:v>
                </c:pt>
                <c:pt idx="6">
                  <c:v>ITC</c:v>
                </c:pt>
                <c:pt idx="7">
                  <c:v>Turning Point Brands</c:v>
                </c:pt>
                <c:pt idx="8">
                  <c:v>Scandinavian Tobacco Group</c:v>
                </c:pt>
              </c:strCache>
            </c:strRef>
          </c:cat>
          <c:val>
            <c:numRef>
              <c:f>Hoja1!$B$2:$B$10</c:f>
              <c:numCache>
                <c:formatCode>0.0"x"</c:formatCode>
                <c:ptCount val="9"/>
                <c:pt idx="0">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13217</c:v>
                </c:pt>
                <c:pt idx="1">
                  <c:v>14044</c:v>
                </c:pt>
                <c:pt idx="2">
                  <c:v>14984</c:v>
                </c:pt>
                <c:pt idx="3">
                  <c:v>15933</c:v>
                </c:pt>
                <c:pt idx="4">
                  <c:v>16819</c:v>
                </c:pt>
                <c:pt idx="5">
                  <c:v>17582</c:v>
                </c:pt>
                <c:pt idx="6">
                  <c:v>18291</c:v>
                </c:pt>
                <c:pt idx="7">
                  <c:v>18904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88306</c:v>
                </c:pt>
                <c:pt idx="1">
                  <c:v>176656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201,05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91.4</c:v>
                </c:pt>
                <c:pt idx="1">
                  <c:v>139.04</c:v>
                </c:pt>
                <c:pt idx="2">
                  <c:v>150.96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201,05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(142,11 – 210,45)</c:v>
                </c:pt>
                <c:pt idx="1">
                  <c:v>Precio objetivo de los analistas (175,00 – 230,00)</c:v>
                </c:pt>
                <c:pt idx="2">
                  <c:v>Comparables: PER NTM (95,47 – 153,25)</c:v>
                </c:pt>
                <c:pt idx="3">
                  <c:v>DCF (WACC y g ± 0,5) (118,49 – 167,57)</c:v>
                </c:pt>
                <c:pt idx="4">
                  <c:v>Escenarios (bajista – alcista) (91,40 – 150,96)</c:v>
                </c:pt>
                <c:pt idx="5">
                  <c:v>DCF con la prima implícita del mercado (4,2 %)</c:v>
                </c:pt>
                <c:pt idx="6">
                  <c:v>Precio actual (201,05)</c:v>
                </c:pt>
              </c:strCache>
            </c:strRef>
          </c:cat>
          <c:val>
            <c:numRef>
              <c:f>Hoja1!$B$2:$B$8</c:f>
              <c:numCache>
                <c:formatCode>#,##0</c:formatCode>
                <c:ptCount val="7"/>
                <c:pt idx="0">
                  <c:v>142.11</c:v>
                </c:pt>
                <c:pt idx="1">
                  <c:v>175</c:v>
                </c:pt>
                <c:pt idx="2">
                  <c:v>95.47</c:v>
                </c:pt>
                <c:pt idx="3">
                  <c:v>118.49</c:v>
                </c:pt>
                <c:pt idx="4">
                  <c:v>91.4</c:v>
                </c:pt>
                <c:pt idx="5">
                  <c:v>145.76</c:v>
                </c:pt>
                <c:pt idx="6">
                  <c:v>200.04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(142,11 – 210,45)</c:v>
                </c:pt>
                <c:pt idx="1">
                  <c:v>Precio objetivo de los analistas (175,00 – 230,00)</c:v>
                </c:pt>
                <c:pt idx="2">
                  <c:v>Comparables: PER NTM (95,47 – 153,25)</c:v>
                </c:pt>
                <c:pt idx="3">
                  <c:v>DCF (WACC y g ± 0,5) (118,49 – 167,57)</c:v>
                </c:pt>
                <c:pt idx="4">
                  <c:v>Escenarios (bajista – alcista) (91,40 – 150,96)</c:v>
                </c:pt>
                <c:pt idx="5">
                  <c:v>DCF con la prima implícita del mercado (4,2 %)</c:v>
                </c:pt>
                <c:pt idx="6">
                  <c:v>Precio actual (201,05)</c:v>
                </c:pt>
              </c:strCache>
            </c:strRef>
          </c:cat>
          <c:val>
            <c:numRef>
              <c:f>Hoja1!$C$2:$C$8</c:f>
              <c:numCache>
                <c:formatCode>#,##0</c:formatCode>
                <c:ptCount val="7"/>
                <c:pt idx="0">
                  <c:v>68.33999999999997</c:v>
                </c:pt>
                <c:pt idx="1">
                  <c:v>55</c:v>
                </c:pt>
                <c:pt idx="2">
                  <c:v>57.78</c:v>
                </c:pt>
                <c:pt idx="3">
                  <c:v>49.08</c:v>
                </c:pt>
                <c:pt idx="4">
                  <c:v>59.56</c:v>
                </c:pt>
                <c:pt idx="5">
                  <c:v>36.56</c:v>
                </c:pt>
                <c:pt idx="6">
                  <c:v>2.0200000000000102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