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CLASSYS Inc.</w:t>
      </w:r>
    </w:p>
    <w:p>
      <w:pPr>
        <w:spacing w:after="60"/>
        <w:rPr>
          <w:color w:val="52514E"/>
          <w:sz w:val="22"/>
          <w:szCs w:val="22"/>
        </w:rPr>
      </w:pPr>
      <w:r>
        <w:rPr>
          <w:color w:val="52514E"/>
          <w:sz w:val="22"/>
          <w:szCs w:val="22"/>
        </w:rPr>
        <w:t xml:space="preserve">214150 · KOSDAQ (Korea Exchange) · ISIN KR7214150002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29.950,00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38.550,91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+32,1 % (base +28,6 %)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35.715,00 KRW · mercado 40.753,77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1.951.243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CLASSYS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214150 / KR7214150002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Health Care Equipment &amp; Supplies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Seúl (208 Teheran-ro, Gangnam-gu) · 2007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https://www.classys.com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29.950,00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26.550,00 – 77.600,00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1.951.243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1.951.163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8.620 M KRW/día (3 meses; 243.240 acciones)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38.550,91 KRW</w:t>
      </w:r>
      <w:r>
        <w:t xml:space="preserve"> frente a 29.950,00 · Rentabilidad a 12 meses </w:t>
      </w:r>
      <w:r>
        <w:rPr>
          <w:b/>
          <w:bCs/>
        </w:rPr>
        <w:t xml:space="preserve">+32,1 % (base +28,6 %)</w:t>
      </w:r>
      <w:r>
        <w:t xml:space="preserve"> · Valor intrínseco 35.715,00 KRW · con la prima implícita del mercado: 40.753,77 (+36,1 %) · Alcista / bajista +46,9 % / -22,8 %</w:t>
      </w:r>
    </w:p>
    <w:p>
      <w:pPr>
        <w:spacing w:after="100"/>
      </w:pPr>
      <w:r>
        <w:rPr>
          <w:b/>
        </w:rPr>
        <w:t xml:space="preserve">La recomendación y por qué.</w:t>
      </w:r>
      <w:r>
        <w:t xml:space="preserve"> Comprar, con convicción media. Nuestro objetivo a 12 meses es de 38.551 KRW: +32,1 % con dividendo (+28,6 % en el caso base), frente a un precio de 29.950 KRW (cierre del 19-oct-2026 en el KOSDAQ) [25]. El valor intrínseco (35.715 KRW) está un 19,2 % por encima del precio. La compra aguanta las pruebas de robustez: con un BPA un 10 % peor la rentabilidad ponderada sigue en el 19,1 % y la del base en el 16,1 %; el límite de compra robusto es de 31.043 KRW. La convicción es media porque nuestro BPA de 2028e (2.553 KRW) ya está un 32 % por debajo del consenso y, aun así, el margen y Bain pueden dar otra sorpresa.</w:t>
      </w:r>
    </w:p>
    <w:p>
      <w:pPr>
        <w:spacing w:after="100"/>
      </w:pPr>
      <w:r>
        <w:rPr>
          <w:b/>
        </w:rPr>
        <w:t xml:space="preserve">Por qué ha caído un 60 %.</w:t>
      </w:r>
      <w:r>
        <w:t xml:space="preserve"> Del máximo de 75.600 KRW (29-ene-2026) a 29.950 [25]. Cuatro golpes encadenados: (1) Bain Capital, que controla la empresa desde 2022, vendió en bloque el 8,25 % a 60.000 KRW el 25-feb (−11,1 % ese día) tras el 6 % de mayo de 2025, y quiere salir del resto (46,1 %) [1, 22]; (2) el 4-mar el KOSDAQ entero cayó un 14 %; (3) el 1T26 y el 2T26 quedaron por debajo del consenso y el 12-ago recortó la guía de ventas de 2026 de 490.000 M a 445.000 M (−27,9 % en cinco sesiones) [13, 14]; (4) dos cambios de primer ejecutivo en siete meses y recortes de objetivo de los analistas (Daol, a 40.000 KRW el 15-oct) [15, 19]. Detrás, un negocio que cambia: la venta directa en Brasil baja el margen y Corea cae.</w:t>
      </w:r>
    </w:p>
    <w:p>
      <w:pPr>
        <w:spacing w:after="100"/>
      </w:pPr>
      <w:r>
        <w:rPr>
          <w:b/>
        </w:rPr>
        <w:t xml:space="preserve">El negocio.</w:t>
      </w:r>
      <w:r>
        <w:t xml:space="preserve"> CLASSYS fabrica equipos de estética no invasiva (HIFU Ultraformer/Shurink, radiofrecuencia Volnewmer, microagujas de Iruda) y los cartuchos que cada sesión consume: 52 % equipos, 46 % consumibles y 2 % aparatos para casa en 2025, con más de 45.000 equipos vendidos en más de 80 países [1]. Corea es el 31 % de las ventas; Europa, Brasil y Tailandia, entre el 8,6 % y el 10,7 % cada una. </w:t>
      </w:r>
      <w:r>
        <w:rPr>
          <w:b/>
        </w:rPr>
        <w:t xml:space="preserve">Calidad: Sí</w:t>
      </w:r>
      <w:r>
        <w:t xml:space="preserve">, con mucha holgura: ROIC del 32,7 % en 2025 frente a un WACC del 10,38 % (22,3 puntos). La sostenibilidad del crecimiento es </w:t>
      </w:r>
      <w:r>
        <w:rPr>
          <w:b/>
        </w:rPr>
        <w:t xml:space="preserve">sí</w:t>
      </w:r>
      <w:r>
        <w:t xml:space="preserve">: proyectamos un 10,4 % anual frente al 35,3 % de 2021-2025.</w:t>
      </w:r>
    </w:p>
    <w:p>
      <w:pPr>
        <w:spacing w:after="100"/>
      </w:pPr>
      <w:r>
        <w:rPr>
          <w:b/>
        </w:rPr>
        <w:t xml:space="preserve">Finanzas.</w:t>
      </w:r>
      <w:r>
        <w:t xml:space="preserve"> Ventas de 336.820 M en 2025 (+38,6 %), margen operativo del 50,7 % y beneficio de 131.936 M (BPA 2.005 KRW) [1]. En el 1S26 las ventas subieron un 24 % con Brasil consolidado, pero el margen operativo bajó al 42,1 % y la provisión de clientes pasó de 1.739 M a 62.314 M [5, 6]. A 30-jun la deuda (146.660 M) ya supera a la caja (136.101 M), por la compra de Sudamérica y el dividendo de 1.000 KRW.</w:t>
      </w:r>
    </w:p>
    <w:p>
      <w:pPr>
        <w:spacing w:after="100"/>
      </w:pPr>
      <w:r>
        <w:rPr>
          <w:b/>
        </w:rPr>
        <w:t xml:space="preserve">Equipo y gobierno.</w:t>
      </w:r>
      <w:r>
        <w:t xml:space="preserve"> Bain (BCPE Centur) tiene el 46,1 % y el fundador, Jung Sung-jae, un 9,9 % [1]. Primer ejecutivo Yoon Jun-oh desde julio de 2026, el tercero en un año [15]. Bain nombra al consejo; los minoritarios dependen de que venda bien.</w:t>
      </w:r>
    </w:p>
    <w:p>
      <w:pPr>
        <w:spacing w:after="100"/>
      </w:pPr>
      <w:r>
        <w:rPr>
          <w:b/>
        </w:rPr>
        <w:t xml:space="preserve">Valoración.</w:t>
      </w:r>
      <w:r>
        <w:t xml:space="preserve"> El DCF da 36.615 KRW con el bono coreano al 4,45 % y 1,5 puntos de prima adicional [30]. El precio equivale a un margen EBITDA del 37 % para siempre (55 % en 2025). A 12 meses no contamos con que vuelva el múltiplo de 24 veces: PER de 14,7x (el de hoy, 13,3x, con el tope de la regla) sobre un BPA de 2028e de 2.553 KRW.</w:t>
      </w:r>
    </w:p>
    <w:p>
      <w:pPr>
        <w:spacing w:after="100"/>
      </w:pPr>
      <w:r>
        <w:rPr>
          <w:b/>
        </w:rPr>
        <w:t xml:space="preserve">Riesgos y catalizadores.</w:t>
      </w:r>
      <w:r>
        <w:t xml:space="preserve"> El riesgo principal es que el margen siga bajando con la venta directa y la cartera de Brasil (bajista: −22,3 %); le siguen otra colocación de Bain y la caída de Corea. </w:t>
      </w:r>
      <w:r>
        <w:rPr>
          <w:b/>
        </w:rPr>
        <w:t xml:space="preserve">Riesgo de IA: bajo</w:t>
      </w:r>
      <w:r>
        <w:t xml:space="preserve">, neutral: el tratamiento es físico. Catalizadores: resultados del 3T26 hacia el 10-nov (estimada), aprobación de Volnewmer en China y la venta del control por Bain. Veredicto de precio y noticias: no cambia. El foro de Naver está muy negativo [35].</w:t>
      </w:r>
    </w:p>
    <w:p>
      <w:pPr>
        <w:spacing w:after="100"/>
      </w:pPr>
      <w:r>
        <w:rPr>
          <w:b/>
        </w:rPr>
        <w:t xml:space="preserve">Qué cambiaría la decisión.</w:t>
      </w:r>
      <w:r>
        <w:t xml:space="preserve"> Compramos por debajo de 34.382 KRW (límite robusto 31.043 KRW). Venderíamos por encima de 43.945 KRW. Un margen operativo por debajo del 38 % en el 3T26 o el 4T26, o un anuncio de colocación de Bain, nos haría esperar y rehacer el BPA.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38.550,91 KRW</w:t>
      </w:r>
      <w:r>
        <w:t xml:space="preserve"> (rentabilidad +32,1 % (base +28,6 %)) · Valor intrínseco: 35.715,00 KRW (+19,2 % sobre 29.950,00) · con la prima implícita del mercado: 40.753,77 (+36,1 %)</w:t>
      </w:r>
    </w:p>
    <w:p>
      <w:pPr>
        <w:spacing w:after="100"/>
      </w:pPr>
      <w:r>
        <w:t xml:space="preserve">CLASSYS es el fabricante de HIFU de referencia en Corea y uno de los grandes del mundo, con un modelo de maquinilla y cuchilla (46 % de consumibles con un margen bruto del 76-78 %) y un ROIC del 27-36 % en cinco años [1].</w:t>
      </w:r>
    </w:p>
    <w:p>
      <w:pPr>
        <w:spacing w:after="100"/>
      </w:pPr>
      <w:r>
        <w:t xml:space="preserve">La acción ha caído un 60 % por cuatro cosas: un accionista de control que vende con descuento, dos trimestres fallados con la guía recortada, la caída del KOSDAQ y un cambio de modelo (venta directa en Brasil) que baja el margen. A 13,3 veces nuestro BPA de 2027e, ya prudente, cotiza en el mínimo de su historia.</w:t>
      </w:r>
    </w:p>
    <w:p>
      <w:pPr>
        <w:spacing w:after="100"/>
      </w:pPr>
      <w:r>
        <w:t xml:space="preserve">No hace falta que vuelva el margen del 50 %: con un margen operativo del 41-42 % y un crecimiento del 12-15 %, el BPA de 2028e es de 2.553 KRW y la rentabilidad a 12 meses del 28,6 % en el base. Lo que la rompe es que el margen siga cayendo y Bain siga vendiendo.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38.550,91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 × 1.987,88 = 23.258,20 · 14,7x × 2.552,79 = 37.526,01 · 19,8x × 2.822,90 = 55.893,42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 / 28,6 %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58.250,00 (nuestro base -35,6 %)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35.715,00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 / -22,8 %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frente a 10,4 %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40.753,77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15,0 %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(10,4 %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22,6 % (&lt;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34.392,10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34.392,10 y 43.945,46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43.945,46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encima de 34.382 KRW: pasaríamos a Mantener; por encima de 43.945 KRW, a Vender.</w:t>
      </w:r>
    </w:p>
    <w:p>
      <w:pPr>
        <w:pStyle w:val="ListParagraph"/>
        <w:numPr>
          <w:ilvl w:val="0"/>
          <w:numId w:val="2"/>
        </w:numPr>
        <w:spacing w:after="60"/>
      </w:pPr>
      <w:r>
        <w:t xml:space="preserve">Margen operativo por debajo del 38 % en el 3T26 o el 4T26: bajaríamos el base al bajista.</w:t>
      </w:r>
    </w:p>
    <w:p>
      <w:pPr>
        <w:pStyle w:val="ListParagraph"/>
        <w:numPr>
          <w:ilvl w:val="0"/>
          <w:numId w:val="2"/>
        </w:numPr>
        <w:spacing w:after="60"/>
      </w:pPr>
      <w:r>
        <w:t xml:space="preserve">Anuncio de colocación de Bain: esperaríamos a que se coloque.</w:t>
      </w:r>
    </w:p>
    <w:p>
      <w:pPr>
        <w:pStyle w:val="ListParagraph"/>
        <w:numPr>
          <w:ilvl w:val="0"/>
          <w:numId w:val="2"/>
        </w:numPr>
        <w:spacing w:after="60"/>
      </w:pPr>
      <w:r>
        <w:t xml:space="preserve">Aprobación de Volnewmer en China o venta del control con prima: subiríamos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seguirá bajando con la venta directa y que Bain venderá más acciones con descuento: un margen EBITDA del 37 % para siempre o un crecimiento del 4 % al año.</w:t>
      </w:r>
    </w:p>
    <w:p>
      <w:pPr>
        <w:keepNext/>
        <w:spacing w:after="100"/>
      </w:pPr>
      <w:r>
        <w:rPr>
          <w:b/>
          <w:bCs/>
        </w:rPr>
        <w:t xml:space="preserve">Lo que creemos nosotros.</w:t>
      </w:r>
    </w:p>
    <w:p>
      <w:pPr>
        <w:spacing w:after="100"/>
      </w:pPr>
      <w:r>
        <w:t xml:space="preserve">El margen baja de forma estructural, pero se queda en el 44-45 % de EBITDA, y el negocio sigue creciendo al 12-15 % con Latinoamérica, Volnewmer y los consumibles. Nuestro BPA de 2028e es un 32 % menor que el del consenso y aun así da un 28,6 % en el base.</w:t>
      </w:r>
    </w:p>
    <w:p>
      <w:pPr>
        <w:keepNext/>
        <w:spacing w:after="100"/>
      </w:pPr>
      <w:r>
        <w:rPr>
          <w:b/>
          <w:bCs/>
        </w:rPr>
        <w:t xml:space="preserve">Por qué podemos tener razón.</w:t>
      </w:r>
    </w:p>
    <w:p>
      <w:pPr>
        <w:spacing w:after="100"/>
      </w:pPr>
      <w:r>
        <w:t xml:space="preserve">Fuera de Corea las ventas crecieron un 22,7 % en el 1S26 y los consumibles mantienen su margen bruto [1, 5]; Bain ya ha vendido el 14 % y a este precio otra colocación le cuesta mucho.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29.9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35.089,82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Calidad</w:t>
      </w:r>
      <w:r>
        <w:t xml:space="preserve">: ROIC del 32,7 % en 2025 y del 27-36 % en cinco años [1].</w:t>
      </w:r>
    </w:p>
    <w:p>
      <w:pPr>
        <w:pStyle w:val="ListParagraph"/>
        <w:numPr>
          <w:ilvl w:val="0"/>
          <w:numId w:val="2"/>
        </w:numPr>
        <w:spacing w:after="60"/>
      </w:pPr>
      <w:r>
        <w:rPr>
          <w:b/>
        </w:rPr>
        <w:t xml:space="preserve">Barata frente a su historia</w:t>
      </w:r>
      <w:r>
        <w:t xml:space="preserve">: 13,3 veces el BPA de 2027e frente a una mediana de 23,8 veces [25].</w:t>
      </w:r>
    </w:p>
    <w:p>
      <w:pPr>
        <w:pStyle w:val="ListParagraph"/>
        <w:numPr>
          <w:ilvl w:val="0"/>
          <w:numId w:val="2"/>
        </w:numPr>
        <w:spacing w:after="60"/>
      </w:pPr>
      <w:r>
        <w:rPr>
          <w:b/>
        </w:rPr>
        <w:t xml:space="preserve">Consumibles recurrentes</w:t>
      </w:r>
      <w:r>
        <w:t xml:space="preserve">: el 46 % de las ventas, con margen bruto del 76-78 % [1].</w:t>
      </w:r>
    </w:p>
    <w:p>
      <w:pPr>
        <w:pStyle w:val="ListParagraph"/>
        <w:numPr>
          <w:ilvl w:val="0"/>
          <w:numId w:val="2"/>
        </w:numPr>
        <w:spacing w:after="60"/>
      </w:pPr>
      <w:r>
        <w:rPr>
          <w:b/>
        </w:rPr>
        <w:t xml:space="preserve">Opción de venta del control</w:t>
      </w:r>
      <w:r>
        <w:t xml:space="preserve">: Bain pagó 20 veces el EBITDA en 2022; hoy cotiza a 10,5 veces [24].</w:t>
      </w:r>
    </w:p>
    <w:p>
      <w:pPr>
        <w:pStyle w:val="Heading2"/>
      </w:pPr>
      <w:r>
        <w:t xml:space="preserve">En contra</w:t>
      </w:r>
    </w:p>
    <w:p>
      <w:pPr>
        <w:pStyle w:val="ListParagraph"/>
        <w:numPr>
          <w:ilvl w:val="0"/>
          <w:numId w:val="2"/>
        </w:numPr>
        <w:spacing w:after="60"/>
      </w:pPr>
      <w:r>
        <w:rPr>
          <w:b/>
        </w:rPr>
        <w:t xml:space="preserve">Margen a la baja</w:t>
      </w:r>
      <w:r>
        <w:t xml:space="preserve">: del 50,7 % al 42,1 % de margen operativo en un año [5].</w:t>
      </w:r>
    </w:p>
    <w:p>
      <w:pPr>
        <w:pStyle w:val="ListParagraph"/>
        <w:numPr>
          <w:ilvl w:val="0"/>
          <w:numId w:val="2"/>
        </w:numPr>
        <w:spacing w:after="60"/>
      </w:pPr>
      <w:r>
        <w:rPr>
          <w:b/>
        </w:rPr>
        <w:t xml:space="preserve">Cartera de Brasil</w:t>
      </w:r>
      <w:r>
        <w:t xml:space="preserve">: provisión de 62.314 M y 41.879 M de clientes de más de 12 meses [6].</w:t>
      </w:r>
    </w:p>
    <w:p>
      <w:pPr>
        <w:pStyle w:val="ListParagraph"/>
        <w:numPr>
          <w:ilvl w:val="0"/>
          <w:numId w:val="2"/>
        </w:numPr>
        <w:spacing w:after="60"/>
      </w:pPr>
      <w:r>
        <w:rPr>
          <w:b/>
        </w:rPr>
        <w:t xml:space="preserve">Overhang de Bain</w:t>
      </w:r>
      <w:r>
        <w:t xml:space="preserve">: el 46,1 % en manos de un vendedor [1].</w:t>
      </w:r>
    </w:p>
    <w:p>
      <w:pPr>
        <w:pStyle w:val="ListParagraph"/>
        <w:numPr>
          <w:ilvl w:val="0"/>
          <w:numId w:val="2"/>
        </w:numPr>
        <w:spacing w:after="60"/>
      </w:pPr>
      <w:r>
        <w:rPr>
          <w:b/>
        </w:rPr>
        <w:t xml:space="preserve">Corea a la baja</w:t>
      </w:r>
      <w:r>
        <w:t xml:space="preserve">: −15,8 % en el 1S26, equipos −34,8 % [5].</w:t>
      </w:r>
    </w:p>
    <w:p>
      <w:pPr>
        <w:pStyle w:val="Heading2"/>
      </w:pPr>
      <w:r>
        <w:t xml:space="preserve">Qué tiene que pasar para que la tesis funcione</w:t>
      </w:r>
    </w:p>
    <w:p>
      <w:pPr>
        <w:spacing w:after="100"/>
      </w:pPr>
      <w:r>
        <w:t xml:space="preserve">El margen operativo y la cartera de clientes. La señal de que la tesis aguanta: en el 3T26 (hacia el 10-nov) el margen operativo se mantiene por encima del 38 % y la provisión de clientes no sube; la de que falla: un margen por debajo del 38 %, más clientes vencidos o un bloque nuevo de Bain.</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venta directa y la competencia se comen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Provisión y clientes vencidos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62.314 M de provisión; 41.879 M de más de 12 meses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provisión en el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Brasil es el riesgo financiero.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Corea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Otra caída de dos dígitos en el 2S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es el mercado más rentable.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Participación de Bain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Nuevo bloque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overhang mueve la cotización.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fuera de Corea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motor de crecimiento del base.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 / 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14,2x / 10,6x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CLASSYS nació en enero de 2007 en Seúl, fundada por Jung Sung-jae, para fabricar equipos de estética médica. Su producto clave, el HIFU (ultrasonidos focalizados de alta intensidad) Ultraformer, fue aprobado en Corea en 2012 y lanzado allí como Shurink en 2014; obtuvo el marcado CE en 2015 [1]. Salió a bolsa en el KOSDAQ en diciembre de 2017 por fusión con una SPAC [1]. En marzo de 2022 Bain Capital compró el 60,84 % al fundador y su entorno por unos 670.000 M KRW y puso gestores profesionales [1]. Desde entonces lanzó la radiofrecuencia monopolar Volnewmer (Corea 2022, FDA de EE. UU. en 2024 como Everesse, CE en 2025), absorbió en 2024 a Iruda, otra empresa de Bain (microagujas con radiofrecuencia y láser), y en 2025-2026 compró a su distribuidor en Brasil y los de Colombia y Argentina para vender directamente [1, 12]. Bain intenta vender su participación desde 2024 y ha colocado bloques en mayo de 2025 y febrero de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Jung Sung-jae en Seúl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del HIFU Ultraformer en Corea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Shurink (Ultraformer III) en Corea; se convierte en el HIFU más usado del país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KOSDAQ (diciembre)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Shurink Universe (Ultraformer MPT), la plataforma de segunda generación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(BCPE Centur) pasa a ser el accionista de control; aprobación de Volnewmer en Corea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FDA aprueba Everesse (Volnewmer); filial en Japón; fusión con Iruda (1-oct)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CE-MDR de Volnewmer y Ultraformer MPT; lanzamiento de Quadessy; filial en Brasil y acuerdo para comprar MedSystems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 compra de JL Health/MedSystems (4-mar); dos cambios de primer ejecutivo (dic-2025 y jul-2026); guía rebajada en agosto [1, 14].</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CLASSYS diseña y fabrica en Corea equipos de estética basados en energía para clínicas de dermatología y estética: HIFU para tensar y reafirmar la piel sin cirugía (Ultraformer III y MPT, vendidos en Corea como Shurink y Shurink Universe), radiofrecuencia monopolar (Volnewmer, Everesse en EE. UU.), microagujas con radiofrecuencia (Quadessy, Secret), láseres (Reepot, Fortra) y otros [1]. Vende los equipos y, sobre todo, los consumibles que cada sesión necesita (cartuchos y puntas), y una pequeña línea de aparatos para casa [1]. En 2025 el 52 % de las ventas fueron plataformas, el 46 % consumibles y el 2 % hogar [1]. Llega a más de 80 países, con distribuidores en la mayoría y venta directa en Corea, Japón y, desde 2026, Brasil, Colombia y Argentina [1, 6]. En 2025 Corea fue el 31 % de las ventas; el resto, Europa, Brasil, Tailandia, Japón, Norteamérica y otros mercados de Asia, Oriente Medio y la CEI [1].</w:t>
      </w:r>
    </w:p>
    <w:p>
      <w:pPr>
        <w:pStyle w:val="Heading2"/>
      </w:pPr>
      <w:r>
        <w:t xml:space="preserve">Cómo gana dinero</w:t>
      </w:r>
    </w:p>
    <w:p>
      <w:pPr>
        <w:spacing w:after="100"/>
      </w:pPr>
      <w:r>
        <w:t xml:space="preserve">Es un modelo de «cuchilla y maquinilla»: el equipo (decenas de millones de KRW) se vende con margen alto y fija una base instalada que compra consumibles de forma recurrente; cada cartucho de HIFU da un número limitado de disparos [1, 8]. Los consumibles son el 46 % de las ventas y crecen con la base instalada (más de 45.000 equipos acumulados) y con el número de sesiones por equipo [1, 6]. El margen bruto es del 76-78 % y el operativo de la matriz supera el 50 % porque fabrica en Corea con poco capital y vende a distribuidores que asumen el coste comercial [6]. La venta directa en Sudamérica sube los ingresos (se factura al precio final) pero baja el margen consolidado [6]. Los equipos son más cíclicos que los consumibles: dependen de que abran clínicas y de su financiación. Estacionalidad: el tercer trimestre es el más flojo (verano en Corea) y el cuarto el más fuerte [19].</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en casa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Alquileres y 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Equipos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Consumibles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Cuidado en casa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Alquileres y 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finales: clínicas de dermatología, cirugía estética y, en algunos países, centros de belleza; en Corea más de 17.000 clínicas tienen algún equipo HIFU y más de 5.500 usan Shurink [8]. En el extranjero vende a través de distribuidores exclusivos; el mayor era MedSystems (Brasil), el 19 % de las ventas del grupo, que ahora es filial [12]. No publica la concentración de los diez primeros clientes. Poder de precios: los consumibles mantienen un margen bruto estable del 76-78 % durante cinco años de inflación de costes [1]; en Corea el precio de la sesión de Shurink es bajo y compite con copias locales y con Ulthera (Merz), por lo que la empresa vende en paquetes de tratamientos combinados (Volnewmer + Shurink Universe + Fortra) [8, 14]. Las bajas no se publican; la caída del 15 % de los consumibles en Corea en el 2T26 indica menos sesiones por equipo o pérdida de cuota frente a Ulthera Prime [6, 14].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acumulada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45.000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48.000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en seis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HIFU unas 800 y MRF 350 en el 2T26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consumibles (millones de KRW)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154.600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46 % de las ventas; en el 1S26 +5,3 % (fuera de Corea +13,7 %, Corea −7,6 %)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Corea (millones de KRW)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Equipos −34,8 % y consumibles −7,6 % en el semestre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fuera de Corea, negocio previo (millones de KRW)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105.900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Norteamérica y Tailandia; sin Sudamérica consolidada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 la matriz</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 (2T25, consolidado)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 (2T26, matriz) / 41,6 % consolidado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puntos consolidado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es Sudamérica, Japón y la eliminación de beneficios no realizados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(dic-2025)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 matriz + 256 Sudamérica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equipos de estética basados en energía para tratamientos no invasivos de la piel (HIFU, radiofrecuencia monopolar y microagujas con radiofrecuencia), incluidos sus consumibles, en todo el mundo. La empresa, con datos de Bain &amp; Company, lo cifra en 3.300 M USD en 2024 y 9.700 M en 2030 (+20 % anual) [1]. Los estudios independientes miden un perímetro más amplio, que incluye láser, depilación, criolipólisis y contorno corporal: P&amp;S Intelligence 6.955 M USD en 2024 con un +13 % anual hasta 2030 [16]; Global Market Insights 5.000 M USD en 2024 y +17,9 % anual hasta 2034 [17]. Usamos la cifra de la empresa, que es la de su perímetro, pero tomamos el crecimiento de los independientes (13-18 %) como más prudente que el 20 % de Bain, que es además el accionista de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3.300 M USD en 2024 (HIFU, MRF y MNRF; Bain &amp; Company para la empresa) [1]; 5.000-6.955 M USD el perímetro amplio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Tratamientos no invasivos frente a cirugía y rellenos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de HIFU, MRF y MNRF de 3.300 a 9.700 M USD en 2024-2030 según la empresa [1]; +13-18 % anual según independientes [16,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que consume cartuchos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Consumibles del 46 % de las ventas; fuera de Corea +31,3 % en el 2T26 [1,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Saturación y competencia en Corea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Corea −25,3 % en el 2T26; Ulthera Prime y menos aperturas de clínicas tras la huelga médica [6,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Aprobaciones en mercados grandes (EE. UU.,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Everesse aprobado por la FDA en 2024; Ultraformer en EE. UU. esperado en 2027; Volnewmer pendiente en China [1,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discrecional y financiación de clínicas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cayeron un 5,6 % en 2020 (COVID) y crecieron un 31 % en 2021 [10 del anexo A: Fact Sheet 4Q23 en la nota A].</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fabricantes coreanos (Jeisys, Wontech, Hironic) y occidentales (Merz/Ulthera, Solta/Thermage, InMode, Candela, Lutronic-Cynosure); en Corea las copias de HIFU presionan el precio [14,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Clínicas fragmentadas; los distribuidores grandes tenían poder (MedSystems, 19 % de las ventas) hasta su compra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electrónicos y transductores estándar; margen bruto estable del 76-78 %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aprobaciones (FDA, CE-MDR, NMPA) y la red de médicos de referencia son la barrera; en Corea la barrera es menor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Toxina, rellenos y bioestimuladores (Hugel, PharmaResearch) compiten por el mismo gasto, aunque se combinan [18].</w:t>
            </w:r>
          </w:p>
        </w:tc>
      </w:tr>
    </w:tbl>
    <w:p>
      <w:pPr>
        <w:spacing w:after="160" w:before="0"/>
      </w:pPr>
    </w:p>
    <w:p>
      <w:pPr>
        <w:pStyle w:val="Heading2"/>
      </w:pPr>
      <w:r>
        <w:t xml:space="preserve">Ciclo</w:t>
      </w:r>
    </w:p>
    <w:p>
      <w:pPr>
        <w:spacing w:after="100"/>
      </w:pPr>
      <w:r>
        <w:t xml:space="preserve">Corea, el mercado más penetrado, está en contracción (ventas −15,8 % en el 1S26, equipos −34,8 %) mientras fuera sigue la expansión (+22,7 %) [6]. En 2020 las ventas de la empresa bajaron un 5,6 % y el beneficio operativo un 2,6 %, con recuperación de +31 % en 2021 (Fact Sheet 4Q23, nota A); en 2022 las ventas subieron un 41 % pese a la caída de las bolsas. No hay datos de 2008-09 (la empresa era muy pequeña). Los indicadores: aperturas de clínicas en Corea, ventas de equipos frente a consumibles y el KOSDAQ de cuidado de la salud, que lleva −26,3 % en el año.</w:t>
      </w:r>
    </w:p>
    <w:p>
      <w:pPr>
        <w:pStyle w:val="Heading2"/>
      </w:pPr>
      <w:r>
        <w:t xml:space="preserve">Regulación</w:t>
      </w:r>
    </w:p>
    <w:p>
      <w:pPr>
        <w:spacing w:after="100"/>
      </w:pPr>
      <w:r>
        <w:t xml:space="preserve">Son productos sanitarios: necesitan aprobación por país. En Corea, MFDS; en EE. UU., FDA (Everesse aprobado en abril de 2024; Ultraformer en trámite, esperado en 2027); en la UE, el nuevo reglamento CE-MDR (Volnewmer en mayo de 2025, Ultraformer MPT en agosto de 2025); en China, NMPA (Volnewmer pendiente; la empresa preveía la aprobación en septiembre de 2026 y el primer envío a final de año) [1, 8]. En Brasil, ANVISA. Un retraso de una aprobación desplaza ventas, como se ve en China [6].</w:t>
      </w:r>
    </w:p>
    <w:p>
      <w:pPr>
        <w:pStyle w:val="Heading2"/>
      </w:pPr>
      <w:r>
        <w:t xml:space="preserve">Tendencias y disrupción</w:t>
      </w:r>
    </w:p>
    <w:p>
      <w:pPr>
        <w:spacing w:after="100"/>
      </w:pPr>
      <w:r>
        <w:t xml:space="preserve">Tres tendencias. (1) Tratamientos combinados: las clínicas usan varias energías en la misma sesión; la empresa tiene la cartera más completa del sector coreano (HIFU, MRF, MNRF y láser) y gana con ello [1, 8]. (2) Venta directa y servicios: los fabricantes compran distribuidores para capturar margen y datos, como hizo con Brasil; sube ventas y baja márgenes [6]. (3) Aparatos para casa y marketing a consumidor (B2C), con poco peso todavía (2 % de las ventas) [1]. La inteligencia artificial entra en marketing, diagnóstico de la piel y gestión de clínicas, no en el equipo en sí. Pierde con la competencia de bajo precio en Corea y gana con la entrada en EE. UU. y China.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fabricante de HIFU estético del mundo por unidades (más de 3.000 Ultraformer al año) y líder en Corea, donde más de 5.500 clínicas usan Shurink; cuota estimada del 6 % del mercado mundial de HIFU, MRF y MNRF (ventas de 2025 de 336.820 M KRW, ≈ 237 M USD, frente a un mercado de ≈ 3.960 M USD); en Brasil, primera en HIFU con más de 3.700 equipos [1, 8,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InMode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Radiofrecuencia y microagujas; ventas planas y margen hundido desde el 40 % de 2022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Sisram Medical (Alma Lasers)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 / 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1696.HK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Láser y RF; margen operativo del 1,4 %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Imeik Technology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300896.SZ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Inyectables y equipos en China; ventas −8,5 %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Wontech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336570.KQ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Radiofrecuencia Oligio y láseres; competidor directo en Corea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Hironic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149980.KQ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HIFU Doublo; competidor directo pequeño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Merz Aesthetics (Ultherapy, Ulthera Prime)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HIFU de referencia en EE. UU.; Ulthera Prime le quita cuota en Corea en 2026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Jeisys Medical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Microagujas (Potenza) y RF (Density); excluida de bolsa por Archimed en 2024.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Solta Medical (Thermage)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Radiofrecuencia monopolar de referencia; filial de Bausch Health [19].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médicos de referencia y formación (MedSystems Academy, más de 60 eventos al año en Brasil); la marca Shurink conocida por el consumidor coreano [2, 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consumibles solo sirven en su equipo: el 46 % de las ventas es recurrente sobre una base de 48.000 equipos [1,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Aprobaciones FDA (Everesse), CE-MDR y en más de 80 países; marca Shurink. Las copias en Corea muestran que la patente no impide competir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50 % frente al 13 % de InMode, el 23 % de Wontech y el 1 % de Sisram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fabricante de HIFU por unidades, pero el mercado es suficiente para varios competidores.</w:t>
            </w:r>
          </w:p>
        </w:tc>
      </w:tr>
    </w:tbl>
    <w:p>
      <w:pPr>
        <w:spacing w:after="160" w:before="0"/>
      </w:pPr>
    </w:p>
    <w:p>
      <w:pPr>
        <w:pStyle w:val="Heading2"/>
      </w:pPr>
      <w:r>
        <w:t xml:space="preserve">Amenazas</w:t>
      </w:r>
    </w:p>
    <w:p>
      <w:pPr>
        <w:spacing w:after="100"/>
      </w:pPr>
      <w:r>
        <w:t xml:space="preserve">Lo más probable es la erosión en Corea, que ya ocurre: la competencia de Ulthera Prime, las copias locales de HIFU y menos aperturas de clínicas bajaron las ventas coreanas un 25 % en el 2T26 [6, 14]; probabilidad alta de que el margen de Corea no vuelva al de 2025. Segunda: que los distribuidores sustituyan a CLASSYS por fabricantes chinos baratos en Asia y Latinoamérica (media). Tercera: que la venta directa en Sudamérica destruya margen y cobros (media-alta, por la cartera vencida). La entrada en EE. UU. con Ultraformer depende de la FDA (2027) y allí Merz domina el HIFU.</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35,3 %</w:t>
      </w:r>
      <w:r>
        <w:t xml:space="preserve">, EBITDA </w:t>
      </w:r>
      <w:r>
        <w:rPr>
          <w:b/>
          <w:bCs/>
        </w:rPr>
        <w:t xml:space="preserve">35,9 %</w:t>
      </w:r>
      <w:r>
        <w:t xml:space="preserve">, BPA </w:t>
      </w:r>
      <w:r>
        <w:rPr>
          <w:b/>
          <w:bCs/>
        </w:rPr>
        <w:t xml:space="preserve">31,2 %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100.597 M KRW en 2021 a 336.820 M en 2025: un crecimiento anual del 35 %, que la empresa atribuye al aumento de la base instalada de equipos (más de 45.000 unidades acumuladas en 2025) y a los consumibles que estos generan [1, 8]. Casi todo es orgánico salvo el cuarto trimestre de 2024 y los tres primeros de 2025, que llevan Iruda (fusionada el 1-oct-2024) [1, 5]. El margen bruto se mantuvo entre el 76 % y el 78 % y el EBIT entre el 48,6 % y el 51,4 %: 51,4 % en 2021, 48,6 % en 2022 (más gastos comerciales), 49,8 % en 2023, 50,4 % en 2024 y 50,7 % en 2025 [1, 2]. La amortización saltó de 4.277 M en 2023 a 14.641 M en 2025 por los intangibles de Iruda (7.985 M de amortización de intangibles en 2025). En 2026 el margen cae: el 2T26 dejó un EBIT del 41,6 % (51,6 % un año antes) por la consolidación de los distribuidores de Brasil, Colombia y Argentina desde marzo (15.100 M de ventas con margen bajo, eliminación de beneficios no realizados y 12.000 M de nóminas), por el mercado coreano (ventas en Corea −25,3 %) y por la publicidad (+104 %) [6]. Los últimos doce meses suman 369.100 M de ventas y 169.900 M de EBIT (46,0 %) [5].</w:t>
      </w:r>
    </w:p>
    <w:p>
      <w:pPr>
        <w:pStyle w:val="Heading2"/>
      </w:pPr>
      <w:r>
        <w:t xml:space="preserve">Ajustes y partidas no recurrentes</w:t>
      </w:r>
    </w:p>
    <w:p>
      <w:pPr>
        <w:spacing w:after="100"/>
      </w:pPr>
      <w:r>
        <w:t xml:space="preserve">Cifras publicadas K-IFRS, sin ajustes. Partidas no recurrentes por debajo del EBIT: en 2022, 30.374 M de otros ingresos (plusvalía de la venta de edificios: 60.028 M cobrados por venta de inmovilizado) que explican que el beneficio de 2022 (75.379 M) supere al de 2023 (74.225 M) [2]; en 2024, 11.689 M de pérdida por la baja de la participación en Iruda al fusionarla, dentro de los 12.003 M de otros gastos [1]. En 2025 los gastos financieros (10.871 M) incluyen 2.649 M de diferencias de cambio y 2.331 M de derivados [1]. En el 1S26 el resultado financiero neto fue +1.200 M (15.600 M de ingresos y 14.400 M de gastos), con 12.000 M de gastos financieros solo en el 2T26 [6]. La empresa publica el EBITDA en sus hojas de datos con la misma definición que aquí (beneficio operativo más amortizaciones)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436,00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dos últimas presentaciones (13-may y 12-ago-2026) cambian de tono. En mayo la empresa mantuvo la guía de 2026 (490.000 M de ventas, +45 %, banda 470.000-510.000 M) y la presentó como «en curso», con la compra de MedSystems cerrada el 4-mar y el lanzamiento de Quadessy en EE. UU. y Tailandia [7]. El 1T26 había quedado por debajo del consenso: ventas 87.200 M (+13,1 %) frente a 90.400 M esperados y beneficio operativo 37.200 M (−4,1 %) frente a 43.600 M, con el margen del 50,3 % al 42,7 % [7, 15]. En agosto bajó la guía a 445.000 M «de forma más conservadora a la vista del semestre» [14]. El 2T26 dejó 105.500 M de ventas (+26,7 %, primer trimestre por encima de 100.000 M) y 43.900 M de beneficio operativo (+2,2 %), un 3,5 % y un 9,1 % por debajo del consenso (109.400 M y 48.400 M) [6, 13]. La dirección defendió que el margen individual de la matriz sigue por encima del 50 % (50,8 %) y que la caída consolidada viene de Sudamérica (beneficios no realizados de 3.000 M en el 1T y 1.700 M en el 2T) y de Japón [6, 14]. Lo que más se preguntó y se explicó a medias: el mercado coreano (equipos −39,4 %, consumibles −15,1 %), que la empresa atribuye a una base alta y al efecto de Reepot, y el calendario de normalización de Brasil; no dio margen objetivo ni cifra de cobros de la cartera brasileña [6,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216.379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453.965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704.650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86.515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552.974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Fusión por absorción de Iruda (microagujas y radiofrecuencia, controlada también por Bain Capital) con efecto 1-oct-2024: entra en el balance de 2024 (intangibles de 2.822 a 140.948 M) y solo un trimestre en la cuenta.).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Hasta 2025 el balance era de caja neta: 207.561 M de caja y depósitos frente a 86.515 M de deuda (121.046 M netos) [1]. En el 1S26 la caja bajó a 136.101 M y la deuda subió a 146.660 M: se pagó el dividendo de 65.153 M en abril [7], se pagó la compra de Sudamérica y la deuda de los distribuidores pasó al balance [6]. El circulante comercial se duplicó en seis meses: existencias de 30.096 a 64.897 M y clientes de 48.372 a 98.395 M (netos) [5]. Con unas ventas anualizadas del 2T26 de 422.000 M, el circulante es del 37 % de las ventas, frente al 22 % de 2025: el negocio directo en Brasil cobra a plazos a las clínicas (MedSystems tiene una filial de financiación, MB) [12]. La deuda bruta equivale a 0,8 veces el EBITDA de los últimos doce meses.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170.184</w:t>
      </w:r>
      <w:r>
        <w:t xml:space="preserve">, conversión </w:t>
      </w:r>
      <w:r>
        <w:rPr>
          <w:b/>
          <w:bCs/>
        </w:rPr>
        <w:t xml:space="preserve">40 %</w:t>
      </w:r>
      <w:r>
        <w:t xml:space="preserve"> del beneficio neto; adquisiciones 34.265, dividendos 45.259, recompras 38.172.</w:t>
      </w:r>
    </w:p>
    <w:p>
      <w:pPr>
        <w:spacing w:after="100"/>
      </w:pPr>
      <w:r>
        <w:t xml:space="preserve">El flujo operativo pasó de 36.367 M en 2021 a 114.215 M en 2025 [1, 2]. La conversión empeoró en 2025: el beneficio fue de 131.970 M y el flujo operativo de 114.215 M porque los clientes subieron 40.519 M [1]. El capex de 2021-2022 (91.316 M y 71.758 M) fue sobre todo la compra de edificios para la sede de Teherán-ro (inversiones inmobiliarias de 58.279 M y 43.760 M), en parte compensada por la venta de otros edificios en 2022 (60.028 M) [2]. Sin esos edificios el capex recurrente es pequeño: 6.113 M en 2023, 10.784 M en 2024 y 19.343 M en 2025 (5,7 % de las ventas, con 6.385 M de intangibles: desarrollo y ensayos clínicos) [1]. Estimación propia: capex de mantenimiento del 2-3 % de las ventas, el resto ampliación de fábrica y aprobaciones. Usos de la caja en 2025: dividendos 16.834 M, recompras 18.142 M (después amortizadas por 17.100 M el 19-feb-2026) y anticipo de la compra de Brasil 8.500 M [1]. Los flujos trimestrales no se publican en las hojas de datos.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Nexia Samduk (designado por el regulador desde 2022; el de 2023-2025 no se ha podido confirmar en DART)</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de 2022 fue Nexia Samduk, nombrado por designación periódica del regulador coreano tras Dasan Accounting; la opinión fue favorable y la cuestión clave de auditoría, el inmovilizado y las inversiones inmobiliarias [4, 11]. No hemos podido leer los informes de auditoría de 2023-2025 porque DART no responde desde este entorno. Criterios a vigilar: (1) se capitalizan desarrollos y ensayos clínicos (intangibles en desarrollo de 14.805 M a junio de 2026, frente a 6.671 M a cierre de 2024) [5]; (2) la fusión con Iruda creó 135.000 M de intangibles que se amortizan (7.985 M en 2025) [1]; (3) los pagos en acciones son pequeños (1.225 M en 2025, un 0,9 % del beneficio) [1]; (4) lo más importante: la calidad de los cobros. La provisión de clientes pasó de 1.739 M a 62.314 M en seis meses y la cartera de más de un año de 685 M (2024) a 41.879 M (jun-2026), casi todo de los distribuidores sudamericanos que ahora consolida [5]. Antes de comprarlos, las ventas a MedSystems eran el 19 % de las ventas del grupo y el cobro se alargaba (la empresa redujo envíos a Brasil en 2025 para controlar la antigüedad de la cartera) [12]. Parte de las ventas de 2024-2025 a Brasil pudo ser llenado de canal: es la señal contable más relevante. Los indicadores del motor (Altman, Piotroski, Beneish) se leen con el salto de perímetro de 2024.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clientes vencida y provisión disparada tras consolidar Sudamérica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Provisión de 62.314 M sobre 109.668 M brutos a jun-2026; 41.879 M con más de 12 meses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un distribuidor que después se compra (MedSystems, 19 % de las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cobro a ese cliente se alargó en 2025; tras la compra, las ventas a Brasil ya no se reconocen hasta que se venden al cliente final [6,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y ensayos clínicos en aumento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Intangibles en desarrollo de 6.671 M (2024) a 14.805 M (jun-2026)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Informes de auditoría de 2023-2025 no revisados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no accesible; auditor y opinión de los últimos tres años sin confirmar.</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151.637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168.754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199.072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298.994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408.311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36,2 % · </w:t>
      </w:r>
      <w:r>
        <w:rPr>
          <w:b/>
          <w:bCs/>
        </w:rPr>
        <w:t xml:space="preserve">WACC</w:t>
      </w:r>
      <w:r>
        <w:t xml:space="preserve">: 10,4 %.</w:t>
      </w:r>
    </w:p>
    <w:p>
      <w:pPr>
        <w:spacing w:after="100"/>
      </w:pPr>
      <w:r>
        <w:t xml:space="preserve">CLASSYS crea mucho valor: ROIC del 32,7 % en 2025 frente a un WACC del 10,38 % (22,3 puntos) y entre el 27 % y el 36 % en 2021-2024 [1, 2]. Viene de un margen operativo del 50 % con un capital invertido de 408.311 M para 336.820 M de ventas (rotación de 0,8 veces), con 139.635 M de intangibles de Iruda dentro. El ROIC incremental de 2021-2025 es del 36,2 %. En 2026 bajará: el margen operativo cae al 42 % y Brasil añade unos 90.000 M de circulante y deuda. Con nuestro 2028e (EBIT de 219.272 M y capital de ≈ 560.000 M) el ROIC quedaría en ≈ 30 %, todavía muy por encima del coste de capital. El ROE fue del 26,2 % en 2025 con caja neta casi nula a jun-26.</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depósitos y activos financieros a corto de 136.101 M a 30-jun-2026 (78.701 M de efectivo, 56.461 M de instrumentos a corto y 939 M a valor razonable), frente a 146.660 M de préstamos (141.079 M a corto: el préstamo de la sede reclasificado a corto y las deudas de Sudamérica) [5, 6]. Deuda neta de 10.559 M sin arrendamientos.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Sin pensiones de prestación definida relevantes (1.038 M de gasto por jubilación en 2025) [1]. Provisiones por garantías de 2.839 M a junio de 2026 [5]. La compra de JL Health (77,5 %) incluye una opción de venta de los vendedores sobre el 22,5 % restante y un pago condicionado según resultados, sin importe publicado [12]. El punto delicado son los clientes: a 30-jun-2026 la cartera bruta era de 109.668 M con una provisión de 62.314 M (1.739 M a cierre de 2025), y 41.879 M tienen más de 12 meses; además hay 7.715 M de clientes a largo plazo y en 2025 apareció una cuenta a cobrar a largo plazo de 29.507 M [5]. La empresa lo explica como la consolidación de las cuentas a cobrar de Sudamérica «con una gestión del riesgo de crédito reforzada» [6]. Impuesto diferido activo de 27.640 M desde la consolidación [5].</w:t>
      </w:r>
    </w:p>
    <w:p>
      <w:pPr>
        <w:pStyle w:val="Heading1"/>
      </w:pPr>
      <w:r>
        <w:t xml:space="preserve">12. Asignación de capital</w:t>
      </w:r>
    </w:p>
    <w:p>
      <w:pPr>
        <w:pStyle w:val="Confianza"/>
        <w:spacing w:after="100"/>
      </w:pPr>
      <w:r>
        <w:t xml:space="preserve">Confianza: Media</w:t>
      </w:r>
    </w:p>
    <w:p>
      <w:pPr>
        <w:spacing w:after="100"/>
      </w:pPr>
      <w:r>
        <w:t xml:space="preserve">La empresa paga dividendo una vez al año y lo ha subido cada año: 66 KRW por acción en 2021, 116 en 2022, 200 en 2023, 257 en 2024 y 1.000 en 2025 (65.153 M, un 49,4 % del beneficio) [1, 11]. Recompras: 20.000 M en 2022-2023 (777.183 acciones, amortizadas en marzo de 2024) y 18.300 M en 2025, amortizadas por 17.100 M el 19-feb-2026 [1]. Prioridades declaradas: crecer con productos y mercados nuevos (China, EE. UU., Sudamérica directa) y «remuneración al accionista sostenible» [1]. No hay una política de reparto con porcentaje fijo publicada.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94.338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Iruda (fusión por absorción; microagujas con radiofrecuencia, láser y Secret RF), vendedora una sociedad de Bain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previa de acciones en efectivo (30.853 M) y fusión con acciones nuevas (capital de 6.478 a 6.628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Quadessy y Secret; 135.000 M de intangibles; pérdida de 11.689 M al dar de baja la participación previa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JL Health (77,5 %; MedSystems, primer distribuidor de estética de Brasil) y 100 % de MedSystems Colombia y Argentina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 BRL 69 M (18.270 M KRW) ajustables, más opción de venta del 22,5 % restante y pago condicionado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4-mar-2026. Aportó 15.100 M de ventas en el 2T26 pero rebaja el margen; la dirección prioriza «recuperar ventas» en Sudamérica [6, 12].</w:t>
            </w:r>
          </w:p>
        </w:tc>
      </w:tr>
    </w:tbl>
    <w:p>
      <w:pPr>
        <w:spacing w:after="160" w:before="0"/>
      </w:pPr>
    </w:p>
    <w:p>
      <w:pPr>
        <w:spacing w:after="100"/>
      </w:pPr>
      <w:r>
        <w:t xml:space="preserve">Hasta 2025 la asignación de capital fue buena: crecimiento con poco capital (capex recurrente del 2-6 % de las ventas), dividendos crecientes y recompras amortizadas. Dos decisiones recientes están por demostrar y benefician también al accionista de control: la fusión con Iruda, comprada a otra sociedad del propio Bain, que trajo 135.000 M de intangibles; y la compra de su distribuidor brasileño, al que había vendido a plazo y que llega con una cartera de cobro deteriorada [1, 5, 12]. El dividendo de 1.000 KRW (65.153 M) se pagó con deuda en parte: la caja neta pasó de 121.046 M a −10.559 M en seis meses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Yoon Jun-oh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(representative executive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vicepresidente de Samsung Electronics, donde llevó fusiones y adquisiciones y la estrategia de cartera (compra de Harman). Nombrado el 15-jul-2026, siete meses después de su antecesor; sin experiencia previa en productos sanitarios [15, 20]. Opciones sobre 200.000 acciones ejercitables desde julio de 2028 según el foro (sin confirmar en registro oficial).</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Choi Yoon-seok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(primer ejecutivo dic-2025 a jul-2026)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financiero de Gong Cha Korea y Ecobit (también participadas de capital privado). Fue primer ejecutivo siete meses; sigue como director financiero [1, 15].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Jung-hee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comercial (CCO, vicepresidenta)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socia de Bain &amp; Company (estrategia digital y de IA); dirige el centro de ventas y marketing creado en julio de 2026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Taek-su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Doctor por el Samsung Advanced Institute of Technology y Stanford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Soo-man Park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I+D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director de tecnología de ultrasonidos en Siemens Healthineers y Samsung GE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Jung Sung-jae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(fuera de la gestión desde 2022)</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Fundó la empresa y la dirigió hasta la venta a Bain en 2022; conserva el 9,86 % (10,5 % con su entorno) [1,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ventas anuales (no publicados en cifra en inglés)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+41,0 % (141.803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ventas anuales («superada la guía dos años seguidos»)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+27,0 % (180.123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ventas de más del 25 %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+34,9 % (242.939 M), con un trimestre de Iruda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490.000 M (banda 470.000-510.000 M, +45 %), febrero de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a 445.000 M el 12-ago-2026; 1S26 192.700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dirección se ha deteriorado en 2026. Hasta 2024 la empresa superaba sus objetivos [2]. En 2026 dio una guía de 490.000 M en febrero, la mantuvo en mayo con un primer trimestre ya por debajo y la recortó un 9 % en agosto [8, 14]. La estabilidad es mala: tres primeros ejecutivos en cuatro años (Baek Seung-han de 2022 a 2025, Choi Yoon-seok de diciembre de 2025 a julio de 2026 y Yoon Jun-oh desde julio) [15]. El nuevo equipo viene de fusiones y adquisiciones (Samsung) y de consultoría (Bain &amp; Company), un perfil que encaja con preparar la venta de la empresa, no con el oficio del sector. Los directivos de producto (I+D, fábrica, calidad) vienen de Siemens, GE y Samsung y son estables [1]. No hay plan de sucesión publicado.</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Jung-woo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(Bain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Dong-wook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(Bain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Hyun-seung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(Bain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Wan-jin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(Bain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Jun-hong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Dong-ju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Kwon Hyuk-jin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externo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(2022)</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550.427,00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BCPE Centur Investments, LP (Bain Capital) y una parte vinculada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privado; accionista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60,84 % (2022) al 54,16 % (mayo de 2025, venta del 6 % a 57.915 KRW) y ≈ 46 % (febrero de 2026, venta del 8,25 % a 60.000 KRW); FnGuide da 49,08 % con una parte vinculada [1, 22, 23, 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Jung Sung-jae (fundador) y entorno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9,86 % a título personal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Declaración de más del 5 %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82.170 acciones tras amortizar 17.100 M el 19-feb-2026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(minoristas 21,0 %, extranjeros 17,7 %, instituciones 4,6 %)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31-mar-2026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may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BCPE Centur Investments (Bain Capital,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3.930.339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227.627,00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BCPE Centur Investments (Bain Capital, accionista de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322.800,00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hemos podido leer el informe de negocio de 2025 (DART no accesible), que es donde Corea publica la remuneración de los consejeros que cobran más de 500 M KRW. En Corea la junta vota un límite global de remuneración de los consejeros, no la política individual. El único dato del variable es indirecto: el nuevo primer ejecutivo tendría opciones sobre 200.000 acciones ejercitables desde julio de 2028 (según el foro de Naver, sin confirmar en el registro), un incentivo ligado al precio de la acción a dos años, no al ROIC. Los pagos en acciones de la empresa fueron de 1.225 M en 2025 [1 de la nota A].</w:t>
      </w:r>
    </w:p>
    <w:p>
      <w:pPr>
        <w:pStyle w:val="Heading2"/>
      </w:pPr>
      <w:r>
        <w:t xml:space="preserve">Operaciones vinculadas, estructura de control y defensas</w:t>
      </w:r>
    </w:p>
    <w:p>
      <w:pPr>
        <w:spacing w:after="100"/>
      </w:pPr>
      <w:r>
        <w:t xml:space="preserve">Bain Capital controla la empresa con alrededor del 46 % (49 % con una parte vinculada según FnGuide) y nombra cuatro de los ocho consejeros del último consejo que hemos podido verificar (2022); el primer ejecutivo lo propone el consejo que domina [1, 11, 23]. Bain busca vender: contrató a JP Morgan y Citi en 2024 para vender el control, no encontró comprador al precio pedido (una prima del 25 % sobre la cotización de entonces) y desde entonces vende en bloques con descuento: 6 % en mayo de 2025 y 8,25 % en febrero de 2026 [22, 24]. Sus acciones respaldan un préstamo con prenda de hasta 760.000 M KRW (Hana Bank, Korea Investment y Samsung Securities, abril de 2024) que se refinanció a final de 2024 y se ha ido amortizando con las ventas [21]. Operaciones vinculadas: la fusión con Iruda, comprada a otro fondo de Bain [1 de la nota A]. Una acción, un voto; sin blindajes conocidos. En Corea la ley obliga a una OPA solo en casos limitados: un comprador del control no tendría por qué ofrecer el mismo precio a los minoritarios.</w:t>
      </w:r>
    </w:p>
    <w:p>
      <w:pPr>
        <w:pStyle w:val="Heading2"/>
      </w:pPr>
      <w:r>
        <w:t xml:space="preserve">Señales de alerta</w:t>
      </w:r>
    </w:p>
    <w:p>
      <w:pPr>
        <w:pStyle w:val="ListParagraph"/>
        <w:numPr>
          <w:ilvl w:val="0"/>
          <w:numId w:val="2"/>
        </w:numPr>
        <w:spacing w:after="60"/>
      </w:pPr>
      <w:r>
        <w:t xml:space="preserve">Dos cambios de primer ejecutivo en siete meses (diciembre de 2025 y julio de 2026) [15].</w:t>
      </w:r>
    </w:p>
    <w:p>
      <w:pPr>
        <w:pStyle w:val="ListParagraph"/>
        <w:numPr>
          <w:ilvl w:val="0"/>
          <w:numId w:val="2"/>
        </w:numPr>
        <w:spacing w:after="60"/>
      </w:pPr>
      <w:r>
        <w:t xml:space="preserve">Accionista de control de capital privado vendiendo en bloques con descuento (mayo de 2025 y febrero de 2026) y con préstamo garantizado con las acciones [21, 22].</w:t>
      </w:r>
    </w:p>
    <w:p>
      <w:pPr>
        <w:pStyle w:val="ListParagraph"/>
        <w:numPr>
          <w:ilvl w:val="0"/>
          <w:numId w:val="2"/>
        </w:numPr>
        <w:spacing w:after="60"/>
      </w:pPr>
      <w:r>
        <w:t xml:space="preserve">Fusión con Iruda, empresa de otro fondo de Bain (operación vinculada) [1].</w:t>
      </w:r>
    </w:p>
    <w:p>
      <w:pPr>
        <w:pStyle w:val="ListParagraph"/>
        <w:numPr>
          <w:ilvl w:val="0"/>
          <w:numId w:val="2"/>
        </w:numPr>
        <w:spacing w:after="60"/>
      </w:pPr>
      <w:r>
        <w:t xml:space="preserve">Guía de 2026 recortada un 9 % en agosto tras mantenerse en mayo [14].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dada el 13-feb-2026: ventas de 490.000 M KRW (+45 %), con una banda de 470.000-510.000 M, apoyada en la venta directa en Brasil, Latinoamérica y Japón, el crecimiento en EE. UU. y Europa, Volnewmer como próximo producto estrella (más de 2.000 unidades al año), Quadessy y la entrada en China tras la aprobación de Volnewmer. Se confirmó el 13-may y se rebajó a 445.000 M el 12-ago-2026 (−9 %) [nota A: 8, 7, 14]. No da guía de margen. A medio plazo, el objetivo es 1.000 M USD de ventas en 2030 (≈ 1,33 billones de KRW al cambio de hoy), que el nuevo equipo quiere adelantar [nota C: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media de 3 meses a 16-oct-2026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248.780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FnGuide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664.570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313.290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180.064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203.510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543.990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527.096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664.570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239.829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58.250,00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40.000,00 – 67.000,00</w:t>
            </w:r>
          </w:p>
        </w:tc>
      </w:tr>
    </w:tbl>
    <w:p>
      <w:pPr>
        <w:spacing w:after="160" w:before="0"/>
      </w:pPr>
    </w:p>
    <w:p>
      <w:pPr>
        <w:pStyle w:val="Heading2"/>
      </w:pPr>
      <w:r>
        <w:t xml:space="preserve">Revisiones de estimaciones</w:t>
      </w:r>
    </w:p>
    <w:p>
      <w:pPr>
        <w:spacing w:after="100"/>
      </w:pPr>
      <w:r>
        <w:t xml:space="preserve">Recortes fuertes. En abril de 2026 Samsung Securities esperaba un BPA de 2.931 KRW en 2026e y 3.562 en 2027e con objetivo de 81.000 [28]. Tras el 2T26 (12-ago) los doce informes de agosto-octubre bajaron sus objetivos a 50.000-67.000 KRW y Daol, el 15-oct, a 40.000 con un BPA de 2026e de 1.844 KRW (−8 %), un 3T26 previsto de 97.100 M de ventas y 37.500 M de beneficio operativo (25 % por debajo del consenso) y ventas de 404.200 M en 2026e y 490.300 M en 2027e [19, 27]. El consenso de FnGuide (2.309 KRW en 2026e) es la media de tres meses e incluye estimaciones previas a los recortes: está desfasado al alza. Yahoo da 2.325 KRW (13 analistas) y 3.162 KRW en 2027e (17) [29]. Todas las recomendaciones siguen en comprar.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subió de 18.400 KRW (fin de 2022) a un máximo de cierre de 75.600 KRW el 29-ene-2026 y desde entonces ha caído un 60 %, hasta 29.950 KRW [25]. En el año pierde un 45 % frente al −12,6 % del KOSDAQ y el −26,3 % del ETF de salud coreano [25]. Tres causas encadenadas: (1) las ventas en bloque de Bain con descuento (8,25 % a 60.000 KRW el 25-feb, −11,1 % ese día) y el temor a más ventas [22]; (2) dos trimestres por debajo del consenso con el margen operativo del 51 % al 42 % y la guía recortada el 12-ago (−27,9 % en las cinco sesiones siguientes) [27]; (3) la caída general del sector estético coreano (Hugel, PharmaResearch) [29]. A 29.950 KRW cotiza a 13,7 veces el BPA de 2025 y a 14 veces el de los últimos doce meses.</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 -34,2 % / -44,7 % / -40,7 %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-60,4 % / +9,9 %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25-feb Bain vendió en bloque el 8,25 % (≈ 5,38 M de acciones) a 60.000 KRW, con descuento sobre el cierre; la acción cayó un 11,1 % [22].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4-mar el KOSDAQ entero cayó un 14 %; sin hecho de la empresa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28-abr −5,1 % sin hecho identificado; 13-may −6,8 % y 15-may −8,2 % por el 1T26: beneficio operativo de 37.200 M frente a 43.600 M esperados [7,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un mes hasta el 9-jul (+8,2 % el 11-jun, +9,2 % el 29-jun) entre caídas del 5-6 % (12-jun, 23-jun, 30-jun): rebote técnico desde mínimos sin hecho de la empresa identificado (buscado en noticias de Naver y en el foro) [25,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15-jul: segundo cambio de primer ejecutivo en siete meses (Yoon Jun-oh por Choi Yoon-seok) [15]; 29-30-jul −7,3 % y −6,2 % y rebote del +9,6 % el 31-jul, sin hecho publicado identificado.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12-ago el 2T26 quedó por debajo del consenso y la guía de ventas de 2026 bajó de 490.000 M a 445.000 M: −5,5 %, −9,4 %, −5,5 % y −7,5 % entre el 12 y el 18-ago, −27,9 % en cinco sesiones; la caída de un mes llegó al −33,1 % el 10-sep [13, 14,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13-oct −6,3 % hasta 27.700 KRW (mínimo de cierre de 26.550 el 15-oct); el 15-oct Daol rebajó su objetivo de 60.000 a 40.000 KRW con un 3T26 un 25 % por debajo del consenso [19]. El 19-oct rebotó un 8,5 %, sin hecho publicado (el foro lo atribuye a compras de un inversor particular conocido, sin fuente verificable)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fecha estimada (sin anuncio; el 3T25 se publicó a principios de noviembre). Daol espera ventas de 97.100 M y beneficio operativo de 37.500 M, un 25 % por debajo del consenso [19]. Puede mover el precio más de un 5 %, pero unos resultados cercanos no aplazan una compra (reglas 11 y 13 del método: esperar no gana, ni con tendencia bajista); el 3T flojo ya está en nuestro 2026e.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Daol Investment rebaja el objetivo de 60.000 a 40.000 KRW (mantiene comprar) y el BPA de 2026e a 1.844 KRW [19]. Los doce informes de agosto-octubre bajaron objetivos a 40.000-67.000 KRW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Bae Jung-hee, ex socia de Bain &amp; Company, nombrada directora comercial (CCO)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por debajo del consenso y guía de ventas de 2026 rebajada de 490.000 M a 445.000 M [13,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Yoon Jun-oh sustituye a Choi Yoon-seok como primer ejecutivo, siete meses después de su nombramiento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(BCPE Centur) vende el 8,25 % a 60.000 KRW; tras el bloque y el de mayo de 2025 (6 % a 57.915 KRW) conserva el 46,1 % (49,08 % con partes vinculadas, según FnGuide) y un préstamo con prenda de acciones [1, 21, 22, 23]. Bain busca vender desde 2024 (JP Morgan y Citi no encontraron comprador del control a la prima pedida) [24]: otra colocación es posible, pero no hay ninguna anunciada ni estudiada públicamente, y a 29.950 KRW vendería a la mitad de su último precio. Es un riesgo permanente que el informe recoge en los riesgos y en la prima adicional del WACC, no un hecho pendiente con fecha.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aprobación de Volnewmer por la NMPA china, esperada para septiembre de 2026 [28], no se ha anunciado.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60 % desde el máximo de enero tiene causas conocidas: dos ventas en bloque de Bain con descuento, el desplome del KOSDAQ del 4-mar, dos trimestres por debajo del consenso y el recorte de la guía del 12-ago (−27,9 % en cinco sesiones). Ninguna noticia de los últimos seis meses descarta la tesis: el recorte de la guía y la cartera de Brasil están dentro de este informe, hecho después. Los resultados del 3T26 (≈ 10-nov; Daol espera un beneficio operativo un 25 % por debajo del consenso) no aplazan la compra según el método. El punto delicado es Bain: quiere salir y otra colocación con descuento (≈ −10 % el día) es posible, pero no hay ninguna anunciada ni estudiada; si se anunciara, el veredicto pasaría a «retrasa» hasta que se coloque. Veredicto: no cambia.</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De 2021 a 2025 la acción cotizó entre 16 y 33 veces el beneficio del año y entre 16 y 28 veces el del año siguiente; hoy, a 13,7 veces el de 2025 y unas 12-15 veces el previsto para 2026-2027, está en el mínimo de su historia como empresa de crecimiento. Lo que ha cambiado: el crecimiento orgánico ha bajado del 30-40 % al 9-11 % (1S26), el margen consolidado del 51 % al 42 %, la caja neta se ha convertido en deuda neta y hay un vendedor de casi la mitad del capital. Parte del descuento es estructural.</w:t>
      </w:r>
    </w:p>
    <w:p>
      <w:pPr>
        <w:pStyle w:val="Heading1"/>
      </w:pPr>
      <w:r>
        <w:t xml:space="preserve">18. Comparables cotizados</w:t>
      </w:r>
    </w:p>
    <w:p>
      <w:pPr>
        <w:pStyle w:val="Confianza"/>
        <w:spacing w:after="100"/>
      </w:pPr>
      <w:r>
        <w:t xml:space="preserve">Confianza: Media</w:t>
      </w:r>
    </w:p>
    <w:p>
      <w:pPr>
        <w:spacing w:after="100"/>
      </w:pPr>
      <w:r>
        <w:t xml:space="preserve">Fabricantes cotizados de equipos de estética basados en energía (InMode, Wontech, Hironic) y empresas de estética médica coreanas y chinas que compiten por el mismo gasto de las clínicas y comparten inversores (Hugel y Medytox en toxina, PharmaResearch en bioestimuladores, Imeik en inyectables y equipos en China). Quitamos Sisram (Alma Lasers): su margen operativo es del 1,4 % y su consenso de BPA no es comparable. No están Jeisys, Lutronic ni Cutera porque ya no cotizan. EV/EBITDA de los próximos 12 meses en blanco: Yahoo no da un EBITDA futuro homogéneo. PER de los próximos 12 meses = precio ÷ (0,2 × BPA 2026e + 0,8 × BPA 2027e).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CLASSYS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1.951.243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InMode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1.083.579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Imeik Technology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5.740.298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2.020.216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PharmaResearch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2.883.127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Wontech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Hironic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Medytox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452.078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 / 6,9x / 12,1x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19.626,25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34.273,91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12,2x / 14,2x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30.509,30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34.402,60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40.207,15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369.100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8.725,92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11.728,58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20.170,01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El sector estético coreano entero cotiza barato: Hugel y PharmaResearch a 12 veces el BPA de los próximos doce meses con márgenes operativos del 37-41 % y crecimientos del 25 %; Wontech a 7 veces. CLASSYS, con un margen mayor (EBITDA del 50 % en los últimos doce meses) y menos crecimiento esperado, debería cotizar en línea con ellos o algo por encima; a 29.950 KRW cotiza a unas 12-13 veces nuestro BPA de 2027e, en la mediana. InMode, el competidor occidental más parecido, cotiza a 10 veces con ventas planas y un margen hundido: es el precedente de lo que pasa cuando un fabricante de equipos estéticos deja de crecer. La regresión múltiplo-crecimiento no tiene poder explicativo con tan pocos datos.</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CLASSYS (60,84 %)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Capital (BCPE Centur)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670.000 M por el 60,84 % = 1,10 billones por el 100 %, menos ≈ 13.000 M de caja neta de 2021; ventas 100.597 M y EBITDA 54.236 M de 2021 [2, 24].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Lutronic (100 %)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Hahn &amp; Company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36.700 KRW por acción (prima del 15,4 %); ventas de 2022 de 264.100 M y beneficio operativo de 55.300 M (EV/EBIT ≈ 17,7x). Capitalización por el 100 % como aproximación al valor empresa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Jeisys Medical (100 %)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Archimed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13.000 KRW (prima del 20,8 %) para excluirla de bolsa; ≈ 1 billón KRW por el 100 % [34].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Iruda (fusión por absorción)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Operación vinculada (Iruda era de otro fondo de Bain); pagada con acciones y 30.853 M de compra previa. Sin múltiplo publicado.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JL Health / MedSystems (77,5 %) y MedSystems Colombia y Argentina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BRL 69 M (18.270 M KRW) por el 77,5 % del capital; ventas de 2024 de BRL 510 M (135.000 M KRW) y EBITDA normalizado de BRL 64 M. El precio es de un distribuidor con mucha deuda y cartera vencida: el capital vale 1,4 veces el EBITDA, pero el valor empresa no se publica [12].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fabricantes coreanos de equipos estéticos por capital privado se pagaron a 3,7 veces las ventas (Lutronic, 2023) y a ≈ 1 billón KRW por Jeisys (2024); Bain pagó por CLASSYS 20 veces el EBITDA en 2022. Hoy CLASSYS vale en bolsa ≈ 1,8 billones de valor empresa, 9,8 veces el EBITDA de los últimos doce meses: la mitad de lo que pagó Bain. Es candidata natural a una operación (Bain quiere salir), pero el intento de 2024 fracasó porque nadie pagó la prima pedida, y la ley coreana no obliga a extender el precio de control a los minoritarios [24].</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crecieron un 35,3 % anual entre 2021 y 2025 (100.597 M a 336.820 M) [1, 2], con dos impulsos que no se repiten: la absorción de Iruda en 2024 y el salto de los consumibles en Corea. En el 1S26 subieron un 24 % (192.700 M), pero casi todo por consolidar a MedSystems en Brasil desde el 1T26: sin Brasil crecieron un 9-11 %, con Corea −15,8 % y equipos en Corea −34,8 % [5, 6]. La guía de 2026 bajó de 490.000 M a 445.000 M el 12-ago [14]; Daol prevé 404.200 M [19]. Proyectamos 409.236 M en 2026e (+21,5 %, 2S como espera Daol), un 15 % en 2027e (primer año entero de la venta directa en Latinoamérica y Volnewmer fuera de Corea), un 12 % en 2028e y bajando al 4 % en 2033e. El mercado de equipos de estética basados en energía crece un 13-18 % anual según Precedence y GMI [16, 17].</w:t>
      </w:r>
    </w:p>
    <w:p>
      <w:pPr>
        <w:keepNext/>
        <w:spacing w:after="100"/>
      </w:pPr>
      <w:r>
        <w:rPr>
          <w:b/>
          <w:bCs/>
        </w:rPr>
        <w:t xml:space="preserve">Márgenes.</w:t>
      </w:r>
    </w:p>
    <w:p>
      <w:pPr>
        <w:spacing w:after="100"/>
      </w:pPr>
      <w:r>
        <w:t xml:space="preserve">Por qué baja el margen. El margen operativo pasó del 50,7 % en 2025 al 42,1 % en el 1S26 [1, 5]. Tres causas. (1) Mezcla: la venta directa en Brasil (MedSystems) tenía un margen EBITDA normalizado del 12,5 % en 2024 (BRL 64 M sobre 510 M) frente al 55 % del grupo, y entra con su estructura comercial, su deuda y su cartera vencida [12]. (2) Corea, el mercado más rentable (consumibles de Shurink a clínicas), cae: menos aperturas de clínicas y competencia de Ulthera Prime y de los HIFU coreanos baratos [14, 19]. (3) Gasto: cambio de primer ejecutivo dos veces en siete meses, nuevas filiales en Japón y Latinoamérica y provisiones de clientes (de 1.739 M a 62.314 M en seis meses, sobre todo por la cartera heredada de Brasil) [1, 6]. ¿Cíclico o estructural? La mezcla es estructural: mientras crezca la venta directa el margen no vuelve al 50 %. Por eso proyectamos un margen EBITDA del 44 % en 2026e, del 45-45,5 % en 2027e-2030e y del 44 % al final, frente al 55 % de 2025 y el 51-54 % de 2021-2024.</w:t>
      </w:r>
    </w:p>
    <w:p>
      <w:pPr>
        <w:keepNext/>
        <w:spacing w:after="100"/>
      </w:pPr>
      <w:r>
        <w:rPr>
          <w:b/>
          <w:bCs/>
        </w:rPr>
        <w:t xml:space="preserve">Inversión y circulante.</w:t>
      </w:r>
    </w:p>
    <w:p>
      <w:pPr>
        <w:spacing w:after="100"/>
      </w:pPr>
      <w:r>
        <w:t xml:space="preserve">Capex del 4,5 % de las ventas en 2026e y del 4,0-4,2 % después (2023-2025: 3-6 % sin las compras de edificios de 2021-2022) [1, 2, 3]; amortización del 3,9-4,0 % (4,3 % en 2025, con la de los intangibles de Iruda). El circulante es el punto débil: 36 % de las ventas en 2026e (37 % a jun-26 con Brasil, 21,9 % en 2025) bajando al 30 % en 2030e.</w:t>
      </w:r>
    </w:p>
    <w:p>
      <w:pPr>
        <w:keepNext/>
        <w:spacing w:after="100"/>
      </w:pPr>
      <w:r>
        <w:rPr>
          <w:b/>
          <w:bCs/>
        </w:rPr>
        <w:t xml:space="preserve">Coste del capital.</w:t>
      </w:r>
    </w:p>
    <w:p>
      <w:pPr>
        <w:spacing w:after="100"/>
      </w:pPr>
      <w:r>
        <w:t xml:space="preserve">Todo en KRW: bono coreano a 10 años del 4,45 % (septiembre de 2026, FRED/OCDE) [30]. Beta de 0,90: la de la acción frente al KOSDAQ es de 0,81 mensual a 5 años (0,87 ajustada) y 0,76 semanal a 2 años [25]; la subimos algo por la volatilidad propia (61 %). Prima de mercado del 5,5 % y prima adicional de 1,5 puntos: accionista de control que quiere vender, venta directa en Brasil (moneda y cobro) y gobierno en transición. Coste de la deuda del 4,5 % (préstamos bancarios en KRW) y un 7 % de deuda: WACC del 10,38 %.</w:t>
      </w:r>
    </w:p>
    <w:p>
      <w:pPr>
        <w:keepNext/>
        <w:spacing w:after="100"/>
      </w:pPr>
      <w:r>
        <w:rPr>
          <w:b/>
          <w:bCs/>
        </w:rPr>
        <w:t xml:space="preserve">Valor terminal.</w:t>
      </w:r>
    </w:p>
    <w:p>
      <w:pPr>
        <w:spacing w:after="100"/>
      </w:pPr>
      <w:r>
        <w:t xml:space="preserve">Crecimiento a perpetuidad del 3,0 %, por debajo del bono coreano (4,45 %) y muy por debajo del crecimiento del mercado (13-18 %): supone que en 2033 el negocio es maduro. El valor terminal pesa el 63 % del valor; el múltiplo de salida implícito es de 9,4 veces el EBITDA.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470.622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284.917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323.466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67.803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112.284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3.039.588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3.234.661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892.621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1.492.771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2.385.472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36.615,07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38.384,27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40.272,47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45.012,31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48.043,04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37.486,09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43.929,31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38.399,67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35.770,27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31.028,42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32.179,84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33.477,38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34.950,75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33.237,65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36.272,02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37.886,79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32.663,14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35.669,06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37.270,07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38.939,55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38.268,12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39.992,31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35.927,25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37.561,08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41.045,07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35.211,67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36.823,78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38.507,09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40.264,21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42.097,83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153.975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(reinvierte el 23 %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 (histórico: 36,2 %)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 frente al 10,4 %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(hoy: 6,0 %)</w:t>
            </w:r>
          </w:p>
        </w:tc>
      </w:tr>
    </w:tbl>
    <w:p>
      <w:pPr>
        <w:spacing w:after="160" w:before="0"/>
      </w:pPr>
    </w:p>
    <w:p>
      <w:pPr>
        <w:spacing w:after="100"/>
      </w:pPr>
      <w:r>
        <w:t xml:space="preserve">La proyección apenas necesita inversión neta de la amortización (reinversión acumulada de 153.975 M, el 10 % del NOPAT, con un capex bruto medio del 4,1 % de las ventas). En un negocio de activos ligeros, el crecimiento medio del 10,4 % tiene que salir de subir precios y de ganar volumen sin capital nuevo, y la prueba es el poder de precios y la cuota (4,6 % del mercado en 2030e, frente al 6,0 %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(equipos fuera de Corea y consumibles, con Corea a la baja), precio plano y 15,5 puntos de perímetro: MedSystems (Brasil, ventas de 2024 de BRL 510 M, ≈ 135.000 M KRW [12]) consolidada desde el 1T26.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+12 % (primer año entero de venta directa en Latinoamérica, Volnewmer fuera de Corea y Vivola en cuidado en casa), precio del +1 % y 2 puntos de cartera nueva (Japón directo, Quadessy).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+10 % y precio del +1 %; un punto de China si se aprueba Volnewmer.</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+8,5 % (consumibles sobre una base instalada mayor) y precio del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+7 % y precio del +1 %. Ventas de 626.190 M KRW: el 4,6 % del mercado mundial de equipos de estética basados en energía en 2030e (≈ 13,6 billones KRW con la media de Precedence y GMI [16, 17]) frente al 6,0 % de hoy: la cuota baja, como pasa cuando entran los HIFU baratos.</w:t>
            </w:r>
          </w:p>
        </w:tc>
      </w:tr>
    </w:tbl>
    <w:p>
      <w:pPr>
        <w:spacing w:after="160" w:before="0"/>
      </w:pPr>
    </w:p>
    <w:p>
      <w:pPr>
        <w:spacing w:after="100"/>
      </w:pPr>
      <w:r>
        <w:t xml:space="preserve">Sí. Las tres pruebas pasan con holgura: el crecimiento proyectado (10,4 % de media en 2026e-2033e, 8,8 % sin 2026e) es un tercio del histórico (35,3 % en 2021-2025) y menor que el de su mercado (13-18 % [16, 17]); crecer apenas consume capital (reinversión del 10 % del NOPAT, con un ROIC de 32,7 % en 2025 y un ROIC incremental de 2021-2025 del 36,2 %); y la cuota implícita en 2030 (4,6 %) es menor que la de hoy (6,0 %). El riesgo no es de financiación sino de margen: la venta directa y la competencia en HIFU se lo comen. El foso es estrecho y se estrecha: marca Shurink/Ultraformer en Corea, una base instalada de más de 45.000 equipos acumulados que compra consumibles (el 46 % de las ventas, con margen bruto del 76-78 %) y presencia en más de 80 países [1]; pero los HIFU coreanos baratos y Ulthera Prime ya presionan precio en Corea [14].</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8,8 %)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 (base: 44,0 %)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(WACC: 10,4 %)</w:t>
            </w:r>
          </w:p>
        </w:tc>
      </w:tr>
    </w:tbl>
    <w:p>
      <w:pPr>
        <w:spacing w:after="160" w:before="0"/>
      </w:pPr>
    </w:p>
    <w:p>
      <w:pPr>
        <w:spacing w:after="100"/>
      </w:pPr>
      <w:r>
        <w:t xml:space="preserve">El DCF da 36.615 KRW por acción, un 22,3 % por encima del precio, con el valor terminal en el 63 % del valor. El precio de 29.950 KRW equivale a que las ventas crezcan un 4,3 % al año desde 2027 (base 8,8 %) o a un margen EBITDA del 37 % para siempre (base 44 %), y la rentabilidad implícita es del 12,0 % anual frente a un WACC del 10,38 %. Con un punto más de WACC el valor baja a ≈ 33.700 KRW; con dos puntos menos de margen en toda la proyección, a 34.723 KRW; el rango de la tabla de sensibilidad va de 32.921 a 41.445 KRW, todo por encima del precio. Lo que descuenta el mercado no es un desplome del negocio sino tres cosas: que el margen siga bajando con Brasil, que Bain siga vendiendo con descuento y que Corea no toque fondo.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23.118,43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sigue cayendo, la cartera de Brasil obliga a más provisiones y China no aprueba Volnewmer: 5 puntos menos de crecimiento desde 2027 y margen EBITDA 6 puntos más bajo (≈ 39 %),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36.615,07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al 12-15 % en 2027-2028 con la venta directa en Latinoamérica y Volnewmer fuera de Corea; margen EBITDA del 45 %, diez puntos por debajo de 2025 por la mezcla; dividendo de un 40-50 %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44.010,72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Volnewmer entra en China, Ultraformer MPT gana cuota en EE. UU. y Corea toca fondo en 2027: 3 puntos más de crecimiento y 2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KRW) · precio actual 29.9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35.089,82 KRW (+17,2 %).</w:t>
      </w:r>
    </w:p>
    <w:p>
      <w:pPr>
        <w:spacing w:after="100"/>
      </w:pPr>
      <w:r>
        <w:t xml:space="preserve">En el DCF el bajista (23.118 KRW) pierde un 22,8 % y el alcista (44.011 KRW) gana un 46,9 %: asimetría de 2,1 veces. A 12 meses, con el PER propio, el bajista pierde un 22,3 % y el alcista gana un 86,6 %. La tesis no necesita que vuelva el múltiplo de 25 veces de 2023-2025: necesita que el BPA pase de 2.005 KRW (2025) a 2.553 KRW (2028e), con un margen diez puntos por debajo del de 2025. El bajista ya supone un BPA de 2028e igual al de 2025.</w:t>
      </w:r>
    </w:p>
    <w:p>
      <w:pPr>
        <w:pStyle w:val="Heading1"/>
      </w:pPr>
      <w:r>
        <w:t xml:space="preserve">22. Suma de partes</w:t>
      </w:r>
    </w:p>
    <w:p>
      <w:pPr>
        <w:pStyle w:val="Confianza"/>
        <w:spacing w:after="100"/>
      </w:pPr>
      <w:r>
        <w:t xml:space="preserve">Confianza: Media</w:t>
      </w:r>
    </w:p>
    <w:p>
      <w:pPr>
        <w:spacing w:after="100"/>
      </w:pPr>
      <w:r>
        <w:t xml:space="preserve">No la hacemos: CLASSYS publica las ventas por línea (equipos, consumibles, cuidado en casa) y por región, pero no el resultado por segmento; la venta directa en Brasil no tiene cuentas propias publicadas tras la compra.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KRW) · precio actual 29.95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30.509,30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40.207,15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36.615,07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35.089,82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44.010,72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39.840,23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43.061,12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46.843,08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29.800,25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29.950,00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30.099,75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36.615,07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34.402,60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35.089,82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35.715,00 KRW (+19,2 % sobre 29.950,00).</w:t>
      </w:r>
    </w:p>
    <w:p>
      <w:pPr>
        <w:spacing w:after="100"/>
      </w:pPr>
      <w:r>
        <w:t xml:space="preserve">Pesamos el DCF un 50 %, los escenarios un 30 % y los comparables un 20 % (PER de los próximos 12 meses y EV/EBITDA de los últimos 12). El DCF manda porque el negocio tiene flujos medibles, márgenes muy altos y apenas consume capital, pero el valor terminal es el 63 % del valor y el primer año pierde la mitad del flujo por el circulante de Brasil. El DCF da 36.615 KRW; los escenarios van de 23.118 (bajista) a 44.011 KRW (alcista); los comparables coreanos, que cotizan muy baratos (Hugel y PharmaResearch a 12 veces), dan 34.403 KRW por PER. El valor intrínseco ponderado es de 35.715 KRW, un 19,2 % por encima del precio. Con la prima implícita del mercado (4,2 %) sale 40.754 KRW. Las transacciones no se usan para el valor: Bain pagó 20 veces el EBITDA en 2022 por el control [24], el doble del múltiplo de hoy, pero era otra empresa (crecía un 40 % con caja neta).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1.987,88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23.258,20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2.552,79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(13.3x) × 1.1 (tope: la mediana de 5 años, 23.8x,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37.526,01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2.822,90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55.893,42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+90,0 %</w:t>
            </w:r>
          </w:p>
        </w:tc>
      </w:tr>
    </w:tbl>
    <w:p>
      <w:pPr>
        <w:spacing w:after="160" w:before="0"/>
      </w:pPr>
    </w:p>
    <w:p>
      <w:pPr>
        <w:spacing w:after="100"/>
      </w:pPr>
      <w:r>
        <w:rPr>
          <w:b/>
          <w:bCs/>
        </w:rPr>
        <w:t xml:space="preserve">Objetivo a 12 meses (ponderado):</w:t>
      </w:r>
      <w:r>
        <w:t xml:space="preserve"> 38.550,91 KRW · rentabilidad +32,1 % (base +28,6 %) · señal Comprar.</w:t>
      </w:r>
    </w:p>
    <w:p>
      <w:pPr>
        <w:spacing w:after="100"/>
      </w:pPr>
      <w:r>
        <w:t xml:space="preserve">Para comparar, con la regla v2 (historia al cierre, mismo precio): 11,3x / 13,3x / 17,3x, 19,5 % Comprar; con el tope anterior del base (×1,3, 14-oct mediodía): 55,3 %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2027e (2.247 KRW) está un 24 % por debajo del consenso de FnGuide (2.962 KRW) y el de 2028e (2.553 KRW) un 32 % por debajo (3.766 KRW) [26]. Ese consenso es una media de tres meses que incluye estimaciones anteriores al recorte de la guía del 12-ago; Daol, el último en publicar (15-oct), ya está en 1.844 KRW para 2026e, por debajo de nuestros 1.871 [19]. Las diferencias: los analistas suponen que el margen operativo vuelve al 46-47 % y que las ventas crecen un 25 % al año hasta 2028; nosotros, un margen operativo del 41-42 % con la venta directa en Brasil y Japón (más gasto comercial) y un crecimiento del 12-15 %. Nuestro precio base a 12 meses (37.526 KRW) queda un 36 % por debajo del objetivo medio de los 12 analistas (58.250 KRW, rango 40.000-67.000) [27].</w:t>
      </w:r>
    </w:p>
    <w:p>
      <w:pPr>
        <w:keepNext/>
        <w:spacing w:after="100"/>
      </w:pPr>
      <w:r>
        <w:rPr>
          <w:b/>
          <w:bCs/>
        </w:rPr>
        <w:t xml:space="preserve">Del valor intrínseco al objetivo a 12 meses.</w:t>
      </w:r>
    </w:p>
    <w:p>
      <w:pPr>
        <w:spacing w:after="100"/>
      </w:pPr>
      <w:r>
        <w:t xml:space="preserve">El objetivo a 12 meses (38.551 KRW) da un 32,1 % con dividendo (28,6 % el base). El base es un PER de 14,7x (el actual, 13,3x, con el tope de ×1,1; la mediana adelantada de 23,8x queda muy lejos) sobre un BPA de 2028e que crece un 17 % al año desde 2026e, más un 3,3 % de dividendo (1.000 KRW por acción de 2025 [7]). La rentabilidad sale del crecimiento del beneficio, no de que vuelva el múltiplo de 2023-2025. El bajista (11,7x sobre 1.988) pierde un 22,3 %; el alcista (19,8x sobre 2.823) gana un 86,6 %. Con un BPA un 10 % menor la ponderada bajaría a ≈ 19 % y el base a ≈ 16 %: sigue siendo compra, pero con poco margen. El riesgo más inmediato no está en el modelo: otro trimestre flojo (3T26, ≈ 10-nov) o una nueva colocación de Bain.</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2026-11-10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3T25 se publicó a principios de noviembre)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Daol espera 37.500 M de beneficio operativo, un 25 % por debajo del consenso [19]: un dato algo mejor reduciría el temor; otro fallo puede llevarla a nuevos mínimos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Volnewmer por la NMPA china (Samsung la esperaba en septiembre de 2026) [28]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el mayor mercado de estética de Asia; sin fecha anunciada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Bain: venta del control con prima o nuevas colocaciones con descuento [21,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del control con prima subiría la acción; otro bloque con descuento la bajaría un 10 % como en febrero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productos nuevos en el 4T26 (Vivola en cuidado en casa, nueva generación de Volnewmer) [19]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Daol espera que el 4T26 marque el giro de los resultados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Ultraformer MPT en EE. UU. (FDA)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mayor del mundo; hoy un 5 % de las ventas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guía de 2027 y dividendo (1.000 KRW por acción de 2025, 3,3 %) [7]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guía creíble de margen cerraría parte del descuento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la venta directa y la competencia lo siguen bajando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−22,3 % a 12 meses en el bajista (11,7x × 1.988); DCF de 23.118 KRW con 6 puntos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consumibles (46 % de las ventas) tienen un margen bruto del 76-78 % y la base instalada crece fuera de Corea [1,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3T26 o 4T26 por debajo del 38 %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Bain vende más acciones con descuento o malvende el control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 accionista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el día de cada colocación (−11,1 % el 25-feb-2026) [22]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29.950 KRW Bain vendería a la mitad de su última colocación (60.000); una venta del control exigiría prima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bloque o de cambio en el préstamo con prenda de acciones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clientes de Brasil: más provisiones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20.000 M más de provisión ≈ −0,7 % del valor y −240 KRW del BPA del año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provisión ya cubre el 57 % de la cartera bruta (62.314 M de 109.668 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más de 12 meses por encima de 41.879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Corea: menos aperturas de clínicas y guerra de precios en HIFU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Corea es el 31 % de las ventas; −15,8 % en el 1S26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Shurink y base instalada que compra consumibles; Volnewmer crece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consumibles en Corea a la baja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Monedas: real brasileño y yen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Diferencias de cambio en el resultado financiero y traslación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más de 80 países; el resto en USD y EUR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Real por debajo de 230 KRW</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bajo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Neutral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procedimiento es físico y lo hace un médico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Equipos con IA de un competidor que ganen cuota en clínicas</w:t>
            </w:r>
          </w:p>
        </w:tc>
      </w:tr>
    </w:tbl>
    <w:p>
      <w:pPr>
        <w:spacing w:after="160" w:before="0"/>
      </w:pPr>
    </w:p>
    <w:p>
      <w:pPr>
        <w:pStyle w:val="Heading2"/>
      </w:pPr>
      <w:r>
        <w:t xml:space="preserve">Pre-mortem</w:t>
      </w:r>
    </w:p>
    <w:p>
      <w:pPr>
        <w:spacing w:after="100"/>
      </w:pPr>
      <w:r>
        <w:t xml:space="preserve">Octubre de 2027: la acción ha perdido un 30 %. El 3T26 y el 4T26 vuelven a quedar por debajo de lo previsto, Corea sigue cayendo y la cartera de Brasil obliga a provisionar otros 40.000 M. Bain, presionado por su préstamo con prenda, coloca otro 10 % con un 12 % de descuento y no aparece comprador para el control. China sigue sin aprobar Volnewmer. El margen operativo se queda en el 36-38 % y el BPA de 2027 en 1.800 KRW; el mercado paga 11 veces, como a InMode cuando dejó de crecer. Las señales: margen operativo por debajo del 38 % en el 3T26, clientes vencidos al alza y un nuevo anuncio de bloque.</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 0 % a 3-5 años; no se recoge en ningún escenario</w:t>
      </w:r>
    </w:p>
    <w:p>
      <w:pPr>
        <w:spacing w:after="100"/>
      </w:pPr>
      <w:r>
        <w:t xml:space="preserve">La IA no sustituye un tratamiento de HIFU o de radiofrecuencia: es un procedimiento físico que hace un médico con un equipo y un cartucho que se gasta. Puede ayudar en el diagnóstico de la piel, en la venta (simuladores para el paciente) y en el diseño de los protocolos, y la empresa ya integra software en Volnewmer y en sus equipos de cuidado en casa [8]. Si algún competidor lograra equipos guiados por IA que acorten el tratamiento o mejoren claramente el resultado, la marca y la base instalada de CLASSYS perderían valor. La señal: un equipo con IA que gane cuota en clínicas coreanas o en las aprobaciones de la FDA. Hoy no hay indicio de eso.</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KCGS (Korea Institute of Corporate Governance and Sustainability)</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Sustinvest</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r>
    </w:tbl>
    <w:p>
      <w:pPr>
        <w:spacing w:after="160" w:before="0"/>
      </w:pPr>
    </w:p>
    <w:p>
      <w:pPr>
        <w:pStyle w:val="Heading2"/>
      </w:pPr>
      <w:r>
        <w:t xml:space="preserve">Asuntos materiales</w:t>
      </w:r>
    </w:p>
    <w:p>
      <w:pPr>
        <w:spacing w:after="100"/>
      </w:pPr>
      <w:r>
        <w:t xml:space="preserve">Los asuntos ESG que tocan las cifras son tres. (1) Seguridad de los pacientes y calidad: un efecto adverso grave en un tratamiento HIFU (quemaduras, daños nerviosos) sería un problema de marca y de aprobaciones; la empresa publica ensayos clínicos y tiene 2.839 M de provisión de garantías [9; nota A]. (2) Gobierno: accionista de control de capital privado con intención de vender, dos primeros ejecutivos en siete meses y operaciones con partes vinculadas a Bain (Iruda) [1]. (3) Publicidad y ética comercial en la venta directa a clínicas y consumidores. El impacto ambiental es pequeño: fabricación de electrónica ligera en Corea.</w:t>
      </w:r>
    </w:p>
    <w:p>
      <w:pPr>
        <w:pStyle w:val="Heading2"/>
      </w:pPr>
      <w:r>
        <w:t xml:space="preserve">Controversias</w:t>
      </w:r>
    </w:p>
    <w:p>
      <w:pPr>
        <w:spacing w:after="100"/>
      </w:pPr>
      <w:r>
        <w:t xml:space="preserve">No hemos encontrado sanciones, retiradas de producto ni litigios relevantes en los últimos tres años en la prensa ni en la web de la empresa. En el foro de Naver se menciona una posible designación como «empresa de divulgación desleal» en agosto de 2026, que no hemos podido confirmar en KIND ni en DART (no accesibles) ni en la prensa: no se cita como hecho.</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tiene hoy MedSystems y cuándo esperan cobrar o dar por perdidos los 41.879 M de clientes de más de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causa principal de la caída del margen y de la deuda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queda del préstamo con prenda de acciones de BCPE Centur y a qué precio salta una ampliación de garantía?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venta forzosa es el riesgo de cotización más inmediato.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esperan que las ventas de consumibles en Corea dejen de caer y qué precio han perdido frente a los HIFU baratos?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lo cíclico de lo estructural.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qué fase está la aprobación de Volnewmer en la NMPA y con qué distribuidor entrarán?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catalizador más grande sin fecha.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el dividendo de 1.000 KRW con deuda neta positiva?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3,3 % es parte de la rentabilidad a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ha cambiado dos veces de primer ejecutivo en siete meses y qué mandato tiene Yoon Jun-oh?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estrategia de venta directa depende de él [15].</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(종목토론실), 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Rabia contra Bain («el fondo ya recuperó su dinero y no le importa el precio»), contra los vendedores en corto y contra el informe de Daol (objetivo de 40.000 y tercer trimestre flojo); minoría que compra «por debajo de 30.000» pensando en una venta de la empresa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escalonadas de particulares con crédito («28.000 es el suelo») frente a quienes temen nuevas ventas del accionista de control y una venta forzosa de su prenda si la acción sigue bajando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finales de agosto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resultados del 2T26: «la caja se va a Brasil», dudas sobre la cartera de cobro y sobre la aprobación de Volnewmer en China, que se esperaba en septiembre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Blogs de inversión coreanos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la caída de márgenes por Sudamérica y Japón y señalan que la acción cayó un 27,9 % en las cinco sesiones tras el 2T26; ven el suelo en los 30.000 KRW [36, 37].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Bain vende y puede vender más (o venderá la empresa barata)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dos bloques con descuento en nueve meses y préstamo con prenda de acciones (nota C). Con la acción a la mitad del precio de la última colocación, otra venta en bloque sería muy cara para Bain; la venta del control con prima sigue siendo la salida natural.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cartera vencida y caja que se va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dato: la provisión de clientes pasó de 1.739 M a 62.314 M en seis meses y la deuda neta es positiva por primera vez (nota A). No hay indicio de desvío de caja: es la consolidación del distribuidor.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Aprobación de Volnewmer en China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Samsung Securities la esperaba en septiembre de 2026 con primer envío a fin de año; no hay anuncio a 19-oct (nota D). Es un catalizador sin fecha.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Está muy barata («una empresa que gana esto no vale 2 billones»)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a 14 veces el beneficio de los últimos doce meses y a 9,8 veces el EBITDA; barata frente a su historia, pero en línea con el sector estético coreano (nota 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Ventas en corto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cifras del foro (29-38 % de las ventas diarias en corto) no se han podido verificar; no se usan.</w:t>
            </w:r>
          </w:p>
        </w:tc>
      </w:tr>
    </w:tbl>
    <w:p>
      <w:pPr>
        <w:spacing w:after="160" w:before="0"/>
      </w:pPr>
    </w:p>
    <w:p>
      <w:pPr>
        <w:spacing w:after="100"/>
      </w:pPr>
      <w:r>
        <w:t xml:space="preserve">El sentimiento de los particulares coreanos es de capitulación: insultos al accionista de control, crédito para promediar y la idea de que la acción no sube mientras Bain no salga. Coincide con lo que dicen los datos en dos puntos que el informe recoge como riesgos principales (venta del control o nuevos bloques, y la calidad de los cobros de Sudamérica). Va en contra del consenso de analistas, que mantiene doce recomendaciones de compra con objetivos de 40.000-67.000 KRW. La subida del 8,5 % del 19-oct se atribuye en el foro a un inversor particular famoso, sin fuente. No hay euforia: el riesgo de compra masiva de particulares que después vende es menor que el de nuevas ventas del control.</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38 (12 primarias); citas distintas en el texto: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4,6 % en 2030e frente al 6,0 %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21,9 % real: genera una variación de circulante de 73.451 M en el primer año. Converge de forma gradual. Explicación: Es a propósito: con la consolidación de MedSystems el circulante comercial pasó en seis meses de 73.874 M (21,9 % de las ventas de 2025) a 160.000 M aproximados (existencias 64.897 M y clientes netos 98.395 M a 30-jun-2026), el 37 % de las ventas anualizadas del 2T26 [5, 6]. La venta directa en Brasil cobra a plazos a las clínicas. Suponemos un 36 % en 2026e que baja al 30 % en 2030e al cobrar la cartera vencida; aun así, la variación de circulante de 2026e (73.451 M) se come la mitad del flujo de ese año.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31,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previo de 3T24-4T25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FnGuide/WiseReport (solo da el consenso vigente y el histórico anual); 2) prensa coreana de cada publicación (solo 1T26 y 2T26 encontrados); 3) informes de analistas de Samsung Securities (solo el 1T26 previo)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de los últimos doce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Hojas de datos 2Q26 (no traen flujos); 2) informe trimestral coreano en DART (no accesible); 3) IR Book 2Q26 (solo saldos de caja)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 de 2023-2025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DART (sin respuesta desde este entorno); 2) informes anuales en inglés 2023-2025 (no incluyen el informe del auditor); 3) búsqueda en prensa coreana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 histórico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Annual Report 2025 (solo 2024 y 2030F); 2) P&amp;S Intelligence y GMI (solo resumen público, sin serie histórica ni cuotas); 3) presentación de Brasil (solo mercado brasileño)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margen de Merz, Jeisys y Solta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cotizan (Jeisys excluida en 2024, Merz privada, Solta dentro de Bausch Health); 2) DART para Jeisys (no accesible); 3) prensa (sin cifras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actual, comisiones y votos de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DART: informe de negocio 2025 y convocatoria de la junta de marzo de 2026 (sin respuesta desde este entorno); 2) web de inversores en inglés (no publica el consejo); 3) prensa coreana sobre la junta de 2026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 el último consejo verificado (informe de negocio FY2022)</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DART, informe de negocio 2025 (no accesible); 2) Annual Report 2025 en inglés (no la publica);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saldo de préstamo y posición corta (kind.krx.co.kr devuelve 403); 2) FnGuide (no da posición corta); 3) foro de Naver habla de un 29-38 % de las ventas diarias en corto, cifra no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FnGuide (solo PER de cierre); 2) Yahoo (sin histórico de estimaciones); 3) informes de Samsung Securities (solo banda 2022-2024)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estados consolidados K-IFRS de 2025, 2024 y 2023 (situación, resultados, gastos generales, aplicación del resultado, flujos y cambios en el patrimonio), estructura accionarial, dividendos y recompras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https://classys.com/wp-content/uploads/sites/2/2026/04/CLASSYS_AR-2025_eng_v2-1_0422-1.pdf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 balance, cuenta y flujos consolidados de 2023,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https://classys.com/wp-content/uploads/sites/2/2024/04/2023-Annual-Report_Eng_vF_240424-2.pdf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2024: estados consolidados de 2024, 2023 y 2022 (amortizaciones, intereses, inversiones)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https://classys.com/wp-content/uploads/sites/2/2025/04/Annual-Report_CLASSYS_2024_Eng_vS_250507.pdf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 Report on Consolidated Financial Statements FY2022 (Nexia Samduk): estados de 2022 y 2021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 / Nexia Samduk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https://classys.com/wp-content/uploads/sites/2/2024/02/CLASSYS-Audit-Report-on-Consolidated-Financial-Statements-FY2022_vF.pdf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2Q26 (xlsx): cuenta trimestral 1Q25-2Q26, ventas por línea y región, balance trimestral desde 2018 con desglose de clientes por antigüedad y provisión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https://classys.com/wp-content/uploads/sites/2/2026/08/FactSheet_2Q26_260812_vF.xlsx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Book (Finance) 2Q26: resultados del 2T26, ventas por línea, gastos, situación financiera, base instalada e iniciativas del 2S26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https://classys.com/wp-content/uploads/sites/2/2026/08/Classys-IR-Book_2Q26_Eng_vF_260812-2.pdf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Book (Finance) 1Q26: resultados del 1T26, dividendo de 65.153 M, hoja de ruta y guía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https://classys.com/wp-content/uploads/sites/2/2026/05/Classys-IR-Book_1Q26_Eng_vF_260513-1.pdf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IR Book (Finance) 4Q25: resultados de 2025, base instalada y guía de 2026 (490.000 M, banda 470.000-510.000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https://classys.com/wp-content/uploads/sites/2/2026/02/Classys-IR-Book_4Q25_Eng_vF_260213.pdf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4Q24 (xlsx): cuenta trimestral 2017-2024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https://classys.com/wp-content/uploads/sites/2/2025/02/FactSheet_4Q24_vF.xlsx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 Sheet 4Q23 (xlsx): cuenta anual 2014-2023 y ventas por marca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https://classys.com/wp-content/uploads/sites/2/2024/02/FactSheet_4Q23_vF_240214-1.xlsx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Business Report FY2022 (traducción del 사업보고서): dividendos por acción 2019-2022, auditor,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https://classys.com/wp-content/uploads/sites/2/2024/02/CLASSYS-Annual-Business-Report-FY2022_vF.pdf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 Expansion into South America through the Agreement to acquire MedSystems (presentación de la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CLASSYS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https://classys.com/wp-content/uploads/sites/2/2025/10/Classys-IR-BOOK_Brazil_vF_251024_Eng.pdf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클래시스, 브라질 법인 편입 효과에도…국내 부진에 전망치 하회 [Why 바이오] (2T26 frente al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https://www.sedaily.com/article/20078860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클래시스, 매출 신기록에도 목표 축소…결국 ‘브라질’이 핵심 변수 (guía de 2026 rebajada a 445.000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https://www.edaily.co.kr/News/Read?newsId=03952406645547320&amp;mediaCodeNo=257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"7개월만 수장 교체"…'K-뷰티' 클래시스에 무슨일? (1T26: ventas 87.200 M, beneficio operativo 37.200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https://www.newsis.com/view/NISX20260715_0003710804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Energy-Based Aesthetic Devices Market (6.955 M USD en 2024; +13 % anual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https://psmarketresearch.com/market-analysis/energy-based-aesthetic-devices-market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Energy-Based Aesthetic Devices Market Size (5.000 M USD en 2024; +17,9 % anual hasta 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https://www.gminsights.com/industry-analysis/energy-based-aesthetic-devices-market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InMode, Sisram, Imeik, Hugel, PharmaResearch, Wontech, Hironic y Medytox (ventas y márgenes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https://finance.yahoo.com/quote/INMD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Newspim: «클래시스, 4분기 신제품 출시로 실적 반등 기대» (Daol, 3T26 previsto, competencia de Solta en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Newspim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https://www.newspim.com/news/view/20261015000090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Bae Jung-hee (ex socia de Bain &amp; Company) como CCO; CEO Yoon Jun-oh y CTO Kim Taek-su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Economy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https://core.asiae.co.kr/article/2026101208323125370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클래시스, 최대주주 베인캐피탈 지분 6% 매각 확인..전액 주담보 상환 (bloque de mayo de 2025 y préstamo con prenda de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https://www.smarttoday.co.kr/ko-kr/articles/81005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‘6만 클래시스’ 무너뜨린 베인캐피털의 블록딜 (venta del 8,25 % a 60.000 KRW)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https://www.sedaily.com/article/20012543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WiseReport/FnGuide: accionistas principales a 16-oct-2026 (BCPE Centur 49,08 %, Jung Sung-jae 9,86 %, Capital Research 5,10 %, autocartera 0,13 %)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https://navercomp.wisereport.co.kr/v2/company/c1010001.aspx?cmp_cd=214150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클래시스, 성장 가속…기업가치 제고 발목잡는 베인캐피털 이슈 (Bain en el 54 % tras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Hansbiz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http://www.hansbiz.co.kr/news/articleView.html?idxno=760955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214150.KQ, del índice KOSDAQ (^KQ11) y del ETF TIGER Healthcare (143860.KS); cierres de cada ejercicio, betas y volatilidad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https://finance.yahoo.com/quote/214150.KQ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anual 2026e-2028e (media de tres meses de las casas coreanas) e indicadores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https://navercomp.wisereport.co.kr/v2/company/c1050001.aspx?cmp_cd=214150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 analistas de agosto-octubre de 2026 con recomendación y objetivo (Shinhan, Kiwoom, Yuanta, Mirae, Hyundai, Kyobo, DB, Eugene, KIS, NH, Samsung, Daol)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https://navercomp.wisereport.co.kr/v2/company/c1080001.aspx?cmp_cd=214150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Securities, «클래시스: 노이즈는 아쉽지만 중장기 성장 모멘텀 이상 무» (objetivo 81.000 KRW, estimaciones 2026e-2028e, valoración por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Samsung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https://www.samsungpop.com/common.do?cmd=down&amp;contentType=application%2Fpdf&amp;inlineYn=Y&amp;saveKey=research.pdf&amp;fileName=2010%2F2026041308361388K_02_02.pdf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(precio, capitalización, valor empresa, ventas y EBITDA de los últimos doce meses, estimaciones de BPA y ventas)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https://finance.yahoo.com/quote/145020.KQ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Korea (IRLTLT01KRM156N), septiembre de 2026: 4,454 %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https://fred.stlouisfed.org/series/IRLTLT01KRM156N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KRW=X (1.329,83) y CNYKRW=X (199,06),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https://finance.yahoo.com/quote/KRW=X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SmartToday: Hahn &amp; Company compra Lutronic a 36.700 KRW por acción (OPA por el 77,85 % y 19,33 % del fundador); ventas de 2022 de 264.100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https://www.smarttoday.co.kr/ko-kr/articles/30799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Douglas Research Insights: OPA de Archimed sobre Jeisys Medical a 13.000 KRW (junio de 2024), ≈ 1 billón KRW por el 100 %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Douglas Research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https://douglasresearch.substack.com/p/tender-offer-of-jeisys-medical-by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214150: 400 mensajes del 29-ago al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https://m.stock.naver.com/domestic/stock/214150/discussion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Blog de inversión «클래시스 - 2026년 2분기 후속 점검» (seguimiento del 2T26, flujos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keyzard.cc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https://keyzard.cc/views/nb/Ky02PTAxOGVlbW1rbGZqa21pbmZo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Blog «클래시스 주가 전망 2026, 매출 성장에도 이익률이 낮아진 이유»</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Equity Room (Blogspot)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https://equityroom-cm.blogspot.com/2026/07/classys-214150-2026-stock-analysis.html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Douglas Research Insights: «Classys: Block Deal Sale of 6% by Bain»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https://douglasresearch.substack.com/p/classys-block-deal-sale-of-6-by-bain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87,2 %</w:t>
      </w:r>
      <w:r>
        <w:t xml:space="preserve"> · Secciones con menos del 60 % de campos cubiertos: </w:t>
      </w:r>
      <w:r>
        <w:rPr>
          <w:b/>
          <w:bCs/>
        </w:rPr>
        <w:t xml:space="preserve">gobierno</w:t>
      </w:r>
      <w:r>
        <w:t xml:space="preserve"> · Generado el 19 oct 2026.</w:t>
      </w:r>
    </w:p>
    <w:p>
      <w:pPr>
        <w:pStyle w:val="Nota"/>
        <w:spacing w:after="100"/>
      </w:pPr>
      <w:r>
        <w:t xml:space="preserve">Cuentas consolidadas K-IFRS en millones de KRW. DART (dart.fss.or.kr), el registro del regulador coreano, no respondió desde este entorno (respuesta vacía incluso con sesión) y OpenDART pide una clave; por eso 2021-2025 salen de los informes anuales en inglés de la empresa (estados auditados consolidados) [1, 2, 3] y del informe de auditoría de 2022 [4], y los trimestres de las «Fact Sheets» de relación con inversores [5, 9, 10]. En la columna de 2023 del informe de 2025 hay partidas reclasificadas: para 2023 se usa el informe de 2023. Corea no tiene XBRL en herramientas/cuentas.mjs. El consejo de administración, la remuneración y el auditor solo están verificados hasta el informe del ejercicio 2022 [11]: los cambios posteriores se conocen por prensa [15, 20]. El balance de 30-jun-2026 incluye por primera vez a MedSystems (Brasil, 77,5 %) y a sus filiales de Colombia y Argentina, que cambian el circulante, la deuda y las provisiones: 2026 no es comparable con 2025. Precio: cierre del 19-oct-2026 en el KOSDAQ (29.950 KRW) [25].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CLASSYS Inc. (214150)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29.950,00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(26.550,00 – 77.600,00)</c:v>
                </c:pt>
                <c:pt idx="1">
                  <c:v>Precio objetivo de los analistas (40.000,00 – 67.000,00)</c:v>
                </c:pt>
                <c:pt idx="2">
                  <c:v>Comparables: PER NTM (30.509,30 – 40.207,15)</c:v>
                </c:pt>
                <c:pt idx="3">
                  <c:v>DCF (WACC y g ± 0,5) (32.920,96 – 41.444,91)</c:v>
                </c:pt>
                <c:pt idx="4">
                  <c:v>Escenarios (bajista – alcista) (23.118,43 – 44.010,72)</c:v>
                </c:pt>
                <c:pt idx="5">
                  <c:v>DCF con la prima implícita del mercado (4,2 %)</c:v>
                </c:pt>
                <c:pt idx="6">
                  <c:v>Precio actual (29.950,00)</c:v>
                </c:pt>
              </c:strCache>
            </c:strRef>
          </c:cat>
          <c:val>
            <c:numRef>
              <c:f>Hoja1!$B$2:$B$8</c:f>
              <c:numCache>
                <c:formatCode>#,##0</c:formatCode>
                <c:ptCount val="7"/>
                <c:pt idx="0">
                  <c:v>26550</c:v>
                </c:pt>
                <c:pt idx="1">
                  <c:v>40000</c:v>
                </c:pt>
                <c:pt idx="2">
                  <c:v>30509.3</c:v>
                </c:pt>
                <c:pt idx="3">
                  <c:v>32920.96</c:v>
                </c:pt>
                <c:pt idx="4">
                  <c:v>23118.43</c:v>
                </c:pt>
                <c:pt idx="5">
                  <c:v>39840.23</c:v>
                </c:pt>
                <c:pt idx="6">
                  <c:v>29800.25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(26.550,00 – 77.600,00)</c:v>
                </c:pt>
                <c:pt idx="1">
                  <c:v>Precio objetivo de los analistas (40.000,00 – 67.000,00)</c:v>
                </c:pt>
                <c:pt idx="2">
                  <c:v>Comparables: PER NTM (30.509,30 – 40.207,15)</c:v>
                </c:pt>
                <c:pt idx="3">
                  <c:v>DCF (WACC y g ± 0,5) (32.920,96 – 41.444,91)</c:v>
                </c:pt>
                <c:pt idx="4">
                  <c:v>Escenarios (bajista – alcista) (23.118,43 – 44.010,72)</c:v>
                </c:pt>
                <c:pt idx="5">
                  <c:v>DCF con la prima implícita del mercado (4,2 %)</c:v>
                </c:pt>
                <c:pt idx="6">
                  <c:v>Precio actual (29.950,00)</c:v>
                </c:pt>
              </c:strCache>
            </c:strRef>
          </c:cat>
          <c:val>
            <c:numRef>
              <c:f>Hoja1!$C$2:$C$8</c:f>
              <c:numCache>
                <c:formatCode>#,##0</c:formatCode>
                <c:ptCount val="7"/>
                <c:pt idx="0">
                  <c:v>51050</c:v>
                </c:pt>
                <c:pt idx="1">
                  <c:v>27000</c:v>
                </c:pt>
                <c:pt idx="2">
                  <c:v>9697.850000000002</c:v>
                </c:pt>
                <c:pt idx="3">
                  <c:v>8523.950000000004</c:v>
                </c:pt>
                <c:pt idx="4">
                  <c:v>20892.29</c:v>
                </c:pt>
                <c:pt idx="5">
                  <c:v>7002.8499999999985</c:v>
                </c:pt>
                <c:pt idx="6">
                  <c:v>299.5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Equipos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54100</c:v>
                </c:pt>
                <c:pt idx="1">
                  <c:v>82000</c:v>
                </c:pt>
                <c:pt idx="2">
                  <c:v>95100</c:v>
                </c:pt>
                <c:pt idx="3">
                  <c:v>124300</c:v>
                </c:pt>
                <c:pt idx="4">
                  <c:v>174000</c:v>
                </c:pt>
              </c:numCache>
            </c:numRef>
          </c:val>
        </c:ser>
        <c:ser>
          <c:idx val="1"/>
          <c:order val="1"/>
          <c:tx>
            <c:strRef>
              <c:f>Hoja1!$C$1</c:f>
              <c:strCache>
                <c:ptCount val="1"/>
                <c:pt idx="0">
                  <c:v>Consumibles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45300</c:v>
                </c:pt>
                <c:pt idx="1">
                  <c:v>55600</c:v>
                </c:pt>
                <c:pt idx="2">
                  <c:v>81000</c:v>
                </c:pt>
                <c:pt idx="3">
                  <c:v>112900</c:v>
                </c:pt>
                <c:pt idx="4">
                  <c:v>154600</c:v>
                </c:pt>
              </c:numCache>
            </c:numRef>
          </c:val>
        </c:ser>
        <c:ser>
          <c:idx val="2"/>
          <c:order val="2"/>
          <c:tx>
            <c:strRef>
              <c:f>Hoja1!$D$1</c:f>
              <c:strCache>
                <c:ptCount val="1"/>
                <c:pt idx="0">
                  <c:v>Cuidado en casa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1100</c:v>
                </c:pt>
                <c:pt idx="1">
                  <c:v>2000</c:v>
                </c:pt>
                <c:pt idx="2">
                  <c:v>2400</c:v>
                </c:pt>
                <c:pt idx="3">
                  <c:v>4700</c:v>
                </c:pt>
                <c:pt idx="4">
                  <c:v>7300</c:v>
                </c:pt>
              </c:numCache>
            </c:numRef>
          </c:val>
        </c:ser>
        <c:ser>
          <c:idx val="3"/>
          <c:order val="3"/>
          <c:tx>
            <c:strRef>
              <c:f>Hoja1!$E$1</c:f>
              <c:strCache>
                <c:ptCount val="1"/>
                <c:pt idx="0">
                  <c:v>Alquileres y 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97</c:v>
                </c:pt>
                <c:pt idx="1">
                  <c:v>2203</c:v>
                </c:pt>
                <c:pt idx="2">
                  <c:v>1623</c:v>
                </c:pt>
                <c:pt idx="3">
                  <c:v>1039</c:v>
                </c:pt>
                <c:pt idx="4">
                  <c:v>920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Equipos</c:v>
                </c:pt>
                <c:pt idx="1">
                  <c:v>Consumibles</c:v>
                </c:pt>
                <c:pt idx="2">
                  <c:v>Cuidado en casa</c:v>
                </c:pt>
                <c:pt idx="3">
                  <c:v>Alquileres y otros</c:v>
                </c:pt>
              </c:strCache>
            </c:strRef>
          </c:cat>
          <c:val>
            <c:numRef>
              <c:f>Hoja1!$B$2:$B$5</c:f>
              <c:numCache>
                <c:formatCode>General</c:formatCode>
                <c:ptCount val="4"/>
                <c:pt idx="0">
                  <c:v>51.7</c:v>
                </c:pt>
                <c:pt idx="1">
                  <c:v>45.9</c:v>
                </c:pt>
                <c:pt idx="2">
                  <c:v>2.2</c:v>
                </c:pt>
                <c:pt idx="3">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Corea</c:v>
                </c:pt>
                <c:pt idx="1">
                  <c:v>Europa</c:v>
                </c:pt>
                <c:pt idx="2">
                  <c:v>Brasil</c:v>
                </c:pt>
                <c:pt idx="3">
                  <c:v>Tailandia</c:v>
                </c:pt>
                <c:pt idx="4">
                  <c:v>Japón</c:v>
                </c:pt>
                <c:pt idx="5">
                  <c:v>Norteamérica</c:v>
                </c:pt>
                <c:pt idx="6">
                  <c:v>Otros (resto de Asia-Pacífico, CEI, Taiwán, Australia, Oriente Medio, Turquía y resto de Latinoamérica)</c:v>
                </c:pt>
              </c:strCache>
            </c:strRef>
          </c:cat>
          <c:val>
            <c:numRef>
              <c:f>Hoja1!$B$2:$B$8</c:f>
              <c:numCache>
                <c:formatCode>0"%"</c:formatCode>
                <c:ptCount val="7"/>
                <c:pt idx="0">
                  <c:v>31.2</c:v>
                </c:pt>
                <c:pt idx="1">
                  <c:v>10.7</c:v>
                </c:pt>
                <c:pt idx="2">
                  <c:v>8.6</c:v>
                </c:pt>
                <c:pt idx="3">
                  <c:v>8.6</c:v>
                </c:pt>
                <c:pt idx="4">
                  <c:v>5.9</c:v>
                </c:pt>
                <c:pt idx="5">
                  <c:v>5.3</c:v>
                </c:pt>
                <c:pt idx="6">
                  <c:v>29.7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2025e</c:v>
                </c:pt>
                <c:pt idx="2">
                  <c:v>2026e</c:v>
                </c:pt>
                <c:pt idx="3">
                  <c:v>2027e</c:v>
                </c:pt>
                <c:pt idx="4">
                  <c:v>2028e</c:v>
                </c:pt>
                <c:pt idx="5">
                  <c:v>2029e</c:v>
                </c:pt>
                <c:pt idx="6">
                  <c:v>2030e</c:v>
                </c:pt>
              </c:strCache>
            </c:strRef>
          </c:cat>
          <c:val>
            <c:numRef>
              <c:f>Hoja1!$B$2:$B$8</c:f>
              <c:numCache>
                <c:formatCode>#,##0</c:formatCode>
                <c:ptCount val="7"/>
                <c:pt idx="0">
                  <c:v>3300</c:v>
                </c:pt>
                <c:pt idx="1">
                  <c:v>3960</c:v>
                </c:pt>
                <c:pt idx="2">
                  <c:v>4750</c:v>
                </c:pt>
                <c:pt idx="3">
                  <c:v>5700</c:v>
                </c:pt>
                <c:pt idx="4">
                  <c:v>6840</c:v>
                </c:pt>
                <c:pt idx="5">
                  <c:v>8080</c:v>
                </c:pt>
                <c:pt idx="6">
                  <c:v>9700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2</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CLASSYS</c:v>
                </c:pt>
                <c:pt idx="1">
                  <c:v>InMode</c:v>
                </c:pt>
                <c:pt idx="2">
                  <c:v>Sisram Medical (Alma Lasers)</c:v>
                </c:pt>
                <c:pt idx="3">
                  <c:v>Imeik Technology</c:v>
                </c:pt>
                <c:pt idx="4">
                  <c:v>Wontech</c:v>
                </c:pt>
                <c:pt idx="5">
                  <c:v>Hironic</c:v>
                </c:pt>
                <c:pt idx="6">
                  <c:v>Merz Aesthetics (Ultherapy, Ulthera Prime)</c:v>
                </c:pt>
                <c:pt idx="7">
                  <c:v>Jeisys Medical</c:v>
                </c:pt>
                <c:pt idx="8">
                  <c:v>Solta Medical (Thermage)</c:v>
                </c:pt>
              </c:strCache>
            </c:strRef>
          </c:cat>
          <c:val>
            <c:numRef>
              <c:f>Hoja1!$B$2:$B$10</c:f>
              <c:numCache>
                <c:formatCode>0.0"%"</c:formatCode>
                <c:ptCount val="9"/>
                <c:pt idx="0">
                  <c:v>50.7</c:v>
                </c:pt>
                <c:pt idx="1">
                  <c:v>12.8</c:v>
                </c:pt>
                <c:pt idx="2">
                  <c:v>1.4</c:v>
                </c:pt>
                <c:pt idx="3">
                  <c:v>49.3</c:v>
                </c:pt>
                <c:pt idx="4">
                  <c:v>23.3</c:v>
                </c:pt>
                <c:pt idx="5">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3</c:v>
                </c:pt>
                <c:pt idx="2">
                  <c:v>3</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100596.9</c:v>
                </c:pt>
                <c:pt idx="1">
                  <c:v>141803.2</c:v>
                </c:pt>
                <c:pt idx="2">
                  <c:v>180122.8</c:v>
                </c:pt>
                <c:pt idx="3">
                  <c:v>242939</c:v>
                </c:pt>
                <c:pt idx="4">
                  <c:v>336820</c:v>
                </c:pt>
                <c:pt idx="5">
                  <c:v>409236</c:v>
                </c:pt>
                <c:pt idx="6">
                  <c:v>470622</c:v>
                </c:pt>
                <c:pt idx="7">
                  <c:v>527096</c:v>
                </c:pt>
                <c:pt idx="8">
                  <c:v>579806</c:v>
                </c:pt>
                <c:pt idx="9">
                  <c:v>626190</c:v>
                </c:pt>
                <c:pt idx="10">
                  <c:v>670024</c:v>
                </c:pt>
                <c:pt idx="11">
                  <c:v>706875</c:v>
                </c:pt>
                <c:pt idx="12">
                  <c:v>735150</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54236.2</c:v>
                </c:pt>
                <c:pt idx="1">
                  <c:v>72775.3</c:v>
                </c:pt>
                <c:pt idx="2">
                  <c:v>93899.6</c:v>
                </c:pt>
                <c:pt idx="3">
                  <c:v>129662.6</c:v>
                </c:pt>
                <c:pt idx="4">
                  <c:v>185242</c:v>
                </c:pt>
                <c:pt idx="5">
                  <c:v>180064</c:v>
                </c:pt>
                <c:pt idx="6">
                  <c:v>211780</c:v>
                </c:pt>
                <c:pt idx="7">
                  <c:v>239829</c:v>
                </c:pt>
                <c:pt idx="8">
                  <c:v>263812</c:v>
                </c:pt>
                <c:pt idx="9">
                  <c:v>284917</c:v>
                </c:pt>
                <c:pt idx="10">
                  <c:v>301511</c:v>
                </c:pt>
                <c:pt idx="11">
                  <c:v>314559</c:v>
                </c:pt>
                <c:pt idx="12">
                  <c:v>323466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77.4</c:v>
                </c:pt>
                <c:pt idx="1">
                  <c:v>76.3</c:v>
                </c:pt>
                <c:pt idx="2">
                  <c:v>78</c:v>
                </c:pt>
                <c:pt idx="3">
                  <c:v>78.7</c:v>
                </c:pt>
                <c:pt idx="4">
                  <c:v>77.5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53.9</c:v>
                </c:pt>
                <c:pt idx="1">
                  <c:v>51.3</c:v>
                </c:pt>
                <c:pt idx="2">
                  <c:v>52.1</c:v>
                </c:pt>
                <c:pt idx="3">
                  <c:v>53.4</c:v>
                </c:pt>
                <c:pt idx="4">
                  <c:v>55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51.4</c:v>
                </c:pt>
                <c:pt idx="1">
                  <c:v>48.6</c:v>
                </c:pt>
                <c:pt idx="2">
                  <c:v>49.8</c:v>
                </c:pt>
                <c:pt idx="3">
                  <c:v>50.4</c:v>
                </c:pt>
                <c:pt idx="4">
                  <c:v>50.7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43.5</c:v>
                </c:pt>
                <c:pt idx="1">
                  <c:v>53.2</c:v>
                </c:pt>
                <c:pt idx="2">
                  <c:v>41.2</c:v>
                </c:pt>
                <c:pt idx="3">
                  <c:v>40.3</c:v>
                </c:pt>
                <c:pt idx="4">
                  <c:v>39.2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23.2</c:v>
                </c:pt>
                <c:pt idx="1">
                  <c:v>58.3</c:v>
                </c:pt>
                <c:pt idx="2">
                  <c:v>53</c:v>
                </c:pt>
                <c:pt idx="3">
                  <c:v>41.9</c:v>
                </c:pt>
                <c:pt idx="4">
                  <c:v>39.7</c:v>
                </c:pt>
                <c:pt idx="5">
                  <c:v>25.5</c:v>
                </c:pt>
                <c:pt idx="6">
                  <c:v>13.1</c:v>
                </c:pt>
                <c:pt idx="7">
                  <c:v>26.7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23.2</c:v>
                </c:pt>
                <c:pt idx="5">
                  <c:v>25.5</c:v>
                </c:pt>
                <c:pt idx="6">
                  <c:v>10.8</c:v>
                </c:pt>
                <c:pt idx="7">
                  <c:v>8.6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c:v>
                </c:pt>
                <c:pt idx="1">
                  <c:v>21</c:v>
                </c:pt>
                <c:pt idx="2">
                  <c:v>36</c:v>
                </c:pt>
                <c:pt idx="3">
                  <c:v>55</c:v>
                </c:pt>
                <c:pt idx="4">
                  <c:v>52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264</c:v>
                </c:pt>
                <c:pt idx="1">
                  <c:v>254</c:v>
                </c:pt>
                <c:pt idx="2">
                  <c:v>179</c:v>
                </c:pt>
                <c:pt idx="3">
                  <c:v>211</c:v>
                </c:pt>
                <c:pt idx="4">
                  <c:v>145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28</c:v>
                </c:pt>
                <c:pt idx="1">
                  <c:v>23</c:v>
                </c:pt>
                <c:pt idx="2">
                  <c:v>22</c:v>
                </c:pt>
                <c:pt idx="3">
                  <c:v>28</c:v>
                </c:pt>
                <c:pt idx="4">
                  <c:v>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-55360.399999999994</c:v>
                </c:pt>
                <c:pt idx="1">
                  <c:v>-17622.500000000004</c:v>
                </c:pt>
                <c:pt idx="2">
                  <c:v>57643</c:v>
                </c:pt>
                <c:pt idx="3">
                  <c:v>91185.7</c:v>
                </c:pt>
                <c:pt idx="4">
                  <c:v>94338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43804.7</c:v>
                </c:pt>
                <c:pt idx="1">
                  <c:v>75378.6</c:v>
                </c:pt>
                <c:pt idx="2">
                  <c:v>74225.2</c:v>
                </c:pt>
                <c:pt idx="3">
                  <c:v>97875</c:v>
                </c:pt>
                <c:pt idx="4">
                  <c:v>131936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26.9</c:v>
                </c:pt>
                <c:pt idx="1">
                  <c:v>31.8</c:v>
                </c:pt>
                <c:pt idx="2">
                  <c:v>35.6</c:v>
                </c:pt>
                <c:pt idx="3">
                  <c:v>31.2</c:v>
                </c:pt>
                <c:pt idx="4">
                  <c:v>32.7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10.4</c:v>
                </c:pt>
                <c:pt idx="1">
                  <c:v>10.4</c:v>
                </c:pt>
                <c:pt idx="2">
                  <c:v>10.4</c:v>
                </c:pt>
                <c:pt idx="3">
                  <c:v>10.4</c:v>
                </c:pt>
                <c:pt idx="4">
                  <c:v>10.4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26.8</c:v>
                </c:pt>
                <c:pt idx="1">
                  <c:v>38.3</c:v>
                </c:pt>
                <c:pt idx="2">
                  <c:v>28.9</c:v>
                </c:pt>
                <c:pt idx="3">
                  <c:v>26.5</c:v>
                </c:pt>
                <c:pt idx="4">
                  <c:v>26.2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-0.22</c:v>
                </c:pt>
                <c:pt idx="1">
                  <c:v>-0.6</c:v>
                </c:pt>
                <c:pt idx="2">
                  <c:v>-0.76</c:v>
                </c:pt>
                <c:pt idx="3">
                  <c:v>-0.52</c:v>
                </c:pt>
                <c:pt idx="4">
                  <c:v>-0.65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(KRW,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2026-27</c:v>
                </c:pt>
                <c:pt idx="1">
                  <c:v>2027+</c:v>
                </c:pt>
              </c:strCache>
            </c:strRef>
          </c:cat>
          <c:val>
            <c:numRef>
              <c:f>Hoja1!$B$2:$B$3</c:f>
              <c:numCache>
                <c:formatCode>#,##0</c:formatCode>
                <c:ptCount val="2"/>
                <c:pt idx="0">
                  <c:v>141079</c:v>
                </c:pt>
                <c:pt idx="1">
                  <c:v>5581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25765</c:v>
                </c:pt>
                <c:pt idx="4">
                  <c:v>8500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3882.6</c:v>
                </c:pt>
                <c:pt idx="1">
                  <c:v>4271.3</c:v>
                </c:pt>
                <c:pt idx="2">
                  <c:v>7471.5</c:v>
                </c:pt>
                <c:pt idx="3">
                  <c:v>12799.9</c:v>
                </c:pt>
                <c:pt idx="4">
                  <c:v>16834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5422</c:v>
                </c:pt>
                <c:pt idx="2">
                  <c:v>14578</c:v>
                </c:pt>
                <c:pt idx="3">
                  <c:v>30</c:v>
                </c:pt>
                <c:pt idx="4">
                  <c:v>18142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4</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BCPE Centur Investments, LP (Bain Capital) y una parte vinculada</c:v>
                </c:pt>
                <c:pt idx="1">
                  <c:v>Jung Sung-jae (fundador) y entorno</c:v>
                </c:pt>
                <c:pt idx="2">
                  <c:v>Capital Research and Management Company</c:v>
                </c:pt>
                <c:pt idx="3">
                  <c:v>Autocartera</c:v>
                </c:pt>
                <c:pt idx="4">
                  <c:v>Capital flotante (minoristas 21,0 %, extranjeros 17,7 %, instituciones 4,6 %)</c:v>
                </c:pt>
              </c:strCache>
            </c:strRef>
          </c:cat>
          <c:val>
            <c:numRef>
              <c:f>Hoja1!$B$2:$B$6</c:f>
              <c:numCache>
                <c:formatCode>0.0"%"</c:formatCode>
                <c:ptCount val="5"/>
                <c:pt idx="0">
                  <c:v>46.1</c:v>
                </c:pt>
                <c:pt idx="1">
                  <c:v>10.5</c:v>
                </c:pt>
                <c:pt idx="2">
                  <c:v>5.1</c:v>
                </c:pt>
                <c:pt idx="3">
                  <c:v>0.13</c:v>
                </c:pt>
                <c:pt idx="4">
                  <c:v>40.3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91.9</c:v>
                </c:pt>
                <c:pt idx="2">
                  <c:v>-1.9</c:v>
                </c:pt>
                <c:pt idx="3">
                  <c:v>246.4</c:v>
                </c:pt>
                <c:pt idx="4">
                  <c:v>8.8</c:v>
                </c:pt>
                <c:pt idx="5">
                  <c:v>22.1</c:v>
                </c:pt>
                <c:pt idx="6">
                  <c:v>-2.1</c:v>
                </c:pt>
                <c:pt idx="7">
                  <c:v>105.2</c:v>
                </c:pt>
                <c:pt idx="8">
                  <c:v>26.2</c:v>
                </c:pt>
                <c:pt idx="9">
                  <c:v>14.4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26.4</c:v>
                </c:pt>
                <c:pt idx="2">
                  <c:v>-15.4</c:v>
                </c:pt>
                <c:pt idx="3">
                  <c:v>-0.9</c:v>
                </c:pt>
                <c:pt idx="4">
                  <c:v>44.6</c:v>
                </c:pt>
                <c:pt idx="5">
                  <c:v>6.8</c:v>
                </c:pt>
                <c:pt idx="6">
                  <c:v>-34.3</c:v>
                </c:pt>
                <c:pt idx="7">
                  <c:v>27.6</c:v>
                </c:pt>
                <c:pt idx="8">
                  <c:v>-21.7</c:v>
                </c:pt>
                <c:pt idx="9">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22.2</c:v>
                </c:pt>
                <c:pt idx="1">
                  <c:v>15.8</c:v>
                </c:pt>
                <c:pt idx="2">
                  <c:v>25.1</c:v>
                </c:pt>
                <c:pt idx="3">
                  <c:v>23.3</c:v>
                </c:pt>
                <c:pt idx="4">
                  <c:v>18.7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22.2</c:v>
                </c:pt>
                <c:pt idx="1">
                  <c:v>22.2</c:v>
                </c:pt>
                <c:pt idx="2">
                  <c:v>22.2</c:v>
                </c:pt>
                <c:pt idx="3">
                  <c:v>22.2</c:v>
                </c:pt>
                <c:pt idx="4">
                  <c:v>22.2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CLASSYS</c:v>
                </c:pt>
                <c:pt idx="1">
                  <c:v>InMode</c:v>
                </c:pt>
                <c:pt idx="2">
                  <c:v>Imeik Technology</c:v>
                </c:pt>
                <c:pt idx="3">
                  <c:v>Hugel</c:v>
                </c:pt>
                <c:pt idx="4">
                  <c:v>PharmaResearch</c:v>
                </c:pt>
                <c:pt idx="5">
                  <c:v>Wontech</c:v>
                </c:pt>
                <c:pt idx="6">
                  <c:v>Hironic</c:v>
                </c:pt>
                <c:pt idx="7">
                  <c:v>Medytox</c:v>
                </c:pt>
              </c:strCache>
            </c:strRef>
          </c:cat>
          <c:val>
            <c:numRef>
              <c:f>Hoja1!$B$2:$B$9</c:f>
              <c:numCache>
                <c:formatCode>0.0"x"</c:formatCode>
                <c:ptCount val="8"/>
                <c:pt idx="0">
                  <c:v>9.6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CLASSYS (60,84 %)</c:v>
                </c:pt>
                <c:pt idx="1">
                  <c:v>Lutronic (100 %)</c:v>
                </c:pt>
                <c:pt idx="2">
                  <c:v>Jeisys Medical (100 %)</c:v>
                </c:pt>
                <c:pt idx="3">
                  <c:v>Iruda (fusión por absorción)</c:v>
                </c:pt>
                <c:pt idx="4">
                  <c:v>JL Health / MedSystems (77,5 %) y MedSystems Colombia y Argentina</c:v>
                </c:pt>
              </c:strCache>
            </c:strRef>
          </c:cat>
          <c:val>
            <c:numRef>
              <c:f>Hoja1!$B$2:$B$6</c:f>
              <c:numCache>
                <c:formatCode>0.0"x"</c:formatCode>
                <c:ptCount val="5"/>
                <c:pt idx="0">
                  <c:v>20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48911</c:v>
                </c:pt>
                <c:pt idx="1">
                  <c:v>134839</c:v>
                </c:pt>
                <c:pt idx="2">
                  <c:v>159653</c:v>
                </c:pt>
                <c:pt idx="3">
                  <c:v>174075</c:v>
                </c:pt>
                <c:pt idx="4">
                  <c:v>191838</c:v>
                </c:pt>
                <c:pt idx="5">
                  <c:v>198222</c:v>
                </c:pt>
                <c:pt idx="6">
                  <c:v>209221</c:v>
                </c:pt>
                <c:pt idx="7">
                  <c:v>217775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892621</c:v>
                </c:pt>
                <c:pt idx="1">
                  <c:v>1492771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29.950,00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23118.43</c:v>
                </c:pt>
                <c:pt idx="1">
                  <c:v>36615.07</c:v>
                </c:pt>
                <c:pt idx="2">
                  <c:v>44010.72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29.950,00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(26.550,00 – 77.600,00)</c:v>
                </c:pt>
                <c:pt idx="1">
                  <c:v>Precio objetivo de los analistas (40.000,00 – 67.000,00)</c:v>
                </c:pt>
                <c:pt idx="2">
                  <c:v>Comparables: PER NTM (30.509,30 – 40.207,15)</c:v>
                </c:pt>
                <c:pt idx="3">
                  <c:v>DCF (WACC y g ± 0,5) (32.920,96 – 41.444,91)</c:v>
                </c:pt>
                <c:pt idx="4">
                  <c:v>Escenarios (bajista – alcista) (23.118,43 – 44.010,72)</c:v>
                </c:pt>
                <c:pt idx="5">
                  <c:v>DCF con la prima implícita del mercado (4,2 %)</c:v>
                </c:pt>
                <c:pt idx="6">
                  <c:v>Precio actual (29.950,00)</c:v>
                </c:pt>
              </c:strCache>
            </c:strRef>
          </c:cat>
          <c:val>
            <c:numRef>
              <c:f>Hoja1!$B$2:$B$8</c:f>
              <c:numCache>
                <c:formatCode>#,##0</c:formatCode>
                <c:ptCount val="7"/>
                <c:pt idx="0">
                  <c:v>26550</c:v>
                </c:pt>
                <c:pt idx="1">
                  <c:v>40000</c:v>
                </c:pt>
                <c:pt idx="2">
                  <c:v>30509.3</c:v>
                </c:pt>
                <c:pt idx="3">
                  <c:v>32920.96</c:v>
                </c:pt>
                <c:pt idx="4">
                  <c:v>23118.43</c:v>
                </c:pt>
                <c:pt idx="5">
                  <c:v>39840.23</c:v>
                </c:pt>
                <c:pt idx="6">
                  <c:v>29800.25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(26.550,00 – 77.600,00)</c:v>
                </c:pt>
                <c:pt idx="1">
                  <c:v>Precio objetivo de los analistas (40.000,00 – 67.000,00)</c:v>
                </c:pt>
                <c:pt idx="2">
                  <c:v>Comparables: PER NTM (30.509,30 – 40.207,15)</c:v>
                </c:pt>
                <c:pt idx="3">
                  <c:v>DCF (WACC y g ± 0,5) (32.920,96 – 41.444,91)</c:v>
                </c:pt>
                <c:pt idx="4">
                  <c:v>Escenarios (bajista – alcista) (23.118,43 – 44.010,72)</c:v>
                </c:pt>
                <c:pt idx="5">
                  <c:v>DCF con la prima implícita del mercado (4,2 %)</c:v>
                </c:pt>
                <c:pt idx="6">
                  <c:v>Precio actual (29.950,00)</c:v>
                </c:pt>
              </c:strCache>
            </c:strRef>
          </c:cat>
          <c:val>
            <c:numRef>
              <c:f>Hoja1!$C$2:$C$8</c:f>
              <c:numCache>
                <c:formatCode>#,##0</c:formatCode>
                <c:ptCount val="7"/>
                <c:pt idx="0">
                  <c:v>51050</c:v>
                </c:pt>
                <c:pt idx="1">
                  <c:v>27000</c:v>
                </c:pt>
                <c:pt idx="2">
                  <c:v>9697.850000000002</c:v>
                </c:pt>
                <c:pt idx="3">
                  <c:v>8523.950000000004</c:v>
                </c:pt>
                <c:pt idx="4">
                  <c:v>20892.29</c:v>
                </c:pt>
                <c:pt idx="5">
                  <c:v>7002.8499999999985</c:v>
                </c:pt>
                <c:pt idx="6">
                  <c:v>299.5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