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DLocal Limited</w:t>
      </w:r>
    </w:p>
    <w:p>
      <w:pPr>
        <w:spacing w:after="60"/>
        <w:rPr>
          <w:color w:val="52514E"/>
          <w:sz w:val="22"/>
          <w:szCs w:val="22"/>
        </w:rPr>
      </w:pPr>
      <w:r>
        <w:rPr>
          <w:color w:val="52514E"/>
          <w:sz w:val="22"/>
          <w:szCs w:val="22"/>
        </w:rPr>
        <w:t xml:space="preserve">DLO · Nasdaq Global Select Market (EE. UU.) · ISIN KYG290181018 · Financieros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14,67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20,30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+39,7 % (base +32,4 %)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13,46 USD · mercado 15,22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4.341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10,8x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DLocal Limited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DLO / KYG290181018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 (EE. UU.)</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 (SPY) y Russell 2000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Financieros / Servicios de transacciones y procesamiento de pagos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Montevideo (Uruguay) · 2016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https://www.dlocal.com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14,67 (16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10,64 – 16,15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295,9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4.341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3.960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29,6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20,30 USD</w:t>
      </w:r>
      <w:r>
        <w:t xml:space="preserve"> frente a 14,67 · Rentabilidad a 12 meses </w:t>
      </w:r>
      <w:r>
        <w:rPr>
          <w:b/>
          <w:bCs/>
        </w:rPr>
        <w:t xml:space="preserve">+39,7 % (base +32,4 %)</w:t>
      </w:r>
      <w:r>
        <w:t xml:space="preserve"> · Valor intrínseco 13,46 USD · con la prima implícita del mercado: 15,22 (+3,7 %) · Alcista / bajista +33,2 % / -42,7 %</w:t>
      </w:r>
    </w:p>
    <w:p>
      <w:pPr>
        <w:spacing w:after="100"/>
      </w:pPr>
      <w:r>
        <w:rPr>
          <w:b/>
        </w:rPr>
        <w:t xml:space="preserve">La recomendación y por qué.</w:t>
      </w:r>
      <w:r>
        <w:t xml:space="preserve"> Mantener, con convicción media. El objetivo a 12 meses es de 20,30 USD frente a un precio de 14,67 (cierre del 16-oct-2026): una rentabilidad ponderada del +39,7 % con dividendo y del +32,4 % en el caso base, por encima del 15 % que pide la compra. Pero el valor intrínseco (13,46 USD) queda un 8,2 % por debajo del precio, y la regla exige que lo supere. La razón: el mercado probablemente pagará más por el beneficio de 2028, pero con un coste de capital del 14,59 % (riesgo país incluido) el negocio vale algo menos de lo que cuesta. La convicción es media porque la regla de múltiplos (+39,7 %) y el valor intrínseco (−8,2 %) apuntan en sentidos opuestos y la diferencia es sobre todo de tasa de descuento; la subirían dos trimestres de comisión estable, y la bajaría un 3T26 con el beneficio operativo lejos de la guía.</w:t>
      </w:r>
    </w:p>
    <w:p>
      <w:pPr>
        <w:spacing w:after="100"/>
      </w:pPr>
      <w:r>
        <w:rPr>
          <w:b/>
        </w:rPr>
        <w:t xml:space="preserve">El negocio.</w:t>
      </w:r>
      <w:r>
        <w:t xml:space="preserve"> dLocal cobra y paga en más de 40 países emergentes para comerciantes globales (comercio electrónico, VTC, software y suscripciones, remesas) y gana una comisión por cada pago, más un diferencial cambiario [1]. Movió 40.816 M USD en 2025 (+60 %) y 31.749 M en el 1S26 (+83 %) [1]. Es muy rentable: ROIC del 83,4 % sobre el capital operativo frente a un WACC del 14,59 %, porque los fondos de los comerciantes financian el circulante. La calidad sostiene el crecimiento que proyectamos (sostenibilidad: «Sí»): no necesita capital y la cuota pasa del 2,4 % al 3,1 % de su mercado en 2030e. El problema es el precio: el margen bruto sobre volumen ha caído del 1,15 % (2024) al 0,72 % (2T26) y los ingresos crecen la mitad que el volumen [5].</w:t>
      </w:r>
    </w:p>
    <w:p>
      <w:pPr>
        <w:spacing w:after="100"/>
      </w:pPr>
      <w:r>
        <w:rPr>
          <w:b/>
        </w:rPr>
        <w:t xml:space="preserve">Geografías.</w:t>
      </w:r>
      <w:r>
        <w:t xml:space="preserve"> Brasil (18,9 % de los ingresos en 2025), México (16,7 %), Argentina (14,7 %), el resto de Latinoamérica (29,5 %: Chile, Colombia, Perú, Uruguay, Centroamérica), Egipto (5,5 %) y el resto de África y Asia (14,7 %: Nigeria, Kenia, Sudáfrica, Turquía, India, Indonesia, Filipinas…) [1]. Argentina, Nigeria y Egipto aportan el riesgo de divisas y de repatriación; Brasil y México, la competencia de Adyen y Stripe.</w:t>
      </w:r>
    </w:p>
    <w:p>
      <w:pPr>
        <w:spacing w:after="100"/>
      </w:pPr>
      <w:r>
        <w:rPr>
          <w:b/>
        </w:rPr>
        <w:t xml:space="preserve">Equipo y gobierno.</w:t>
      </w:r>
      <w:r>
        <w:t xml:space="preserve"> Neutral. Pedro Arnt (ex director financiero de MercadoLibre) dirige desde 2023 y ha cumplido las guías de volumen, pero no las de BPA en 2026 [1, 39]. La clase B tiene el 79,55 % del voto; General Atlantic y un cofundador venden [1, 23, 25].</w:t>
      </w:r>
    </w:p>
    <w:p>
      <w:pPr>
        <w:spacing w:after="100"/>
      </w:pPr>
      <w:r>
        <w:rPr>
          <w:b/>
        </w:rPr>
        <w:t xml:space="preserve">Valoración.</w:t>
      </w:r>
      <w:r>
        <w:t xml:space="preserve"> El DCF da 13,66 USD; los escenarios, 13,82; el PER de los comparables, 12,44. El DCF inverso dice que el precio descuenta un crecimiento del 12,4 % anual (frente a nuestro 11,0 %): rinde un 13,8 % anual, algo menos que nuestro coste de capital. Con la prima implícita del mercado (4,20 %) el valor sube a 15,22 USD (+3,7 %).</w:t>
      </w:r>
    </w:p>
    <w:p>
      <w:pPr>
        <w:spacing w:after="100"/>
      </w:pPr>
      <w:r>
        <w:rPr>
          <w:b/>
        </w:rPr>
        <w:t xml:space="preserve">Riesgos y catalizadores.</w:t>
      </w:r>
      <w:r>
        <w:t xml:space="preserve"> La comisión (el bajista, −42,7 %), la concentración en dos comerciantes, las devaluaciones y el Pilar 2. Catalizadores: el 3T26 hacia el 18-nov, la guía de 2027 y la recompra de ≈ 214 M pendiente.</w:t>
      </w:r>
    </w:p>
    <w:p>
      <w:pPr>
        <w:spacing w:after="100"/>
      </w:pPr>
      <w:r>
        <w:rPr>
          <w:b/>
        </w:rPr>
        <w:t xml:space="preserve">Qué cambiaría la decisión.</w:t>
      </w:r>
      <w:r>
        <w:t xml:space="preserve"> Compraríamos por debajo de 13,46 USD, o con dos trimestres de comisión estable y el beneficio operativo del 2S26 en la guía. Venderíamos por encima de 22,76 USD o si uno de los dos grandes comerciantes se va.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20,30 USD</w:t>
      </w:r>
      <w:r>
        <w:t xml:space="preserve"> (rentabilidad +39,7 % (base +32,4 %)) · Valor intrínseco: 13,46 USD (-8,2 % sobre 14,67) · con la prima implícita del mercado: 15,22 (+3,7 %)</w:t>
      </w:r>
    </w:p>
    <w:p>
      <w:pPr>
        <w:spacing w:after="100"/>
      </w:pPr>
      <w:r>
        <w:t xml:space="preserve">dLocal es la plataforma que usan los grandes comerciantes globales para cobrar y pagar en mercados emergentes con medios de pago locales (Pix, OXXO, tarjetas locales, monederos móviles) sin tener filiales en cada país. Gana una comisión por pago y un diferencial cambiario; su ventaja son las licencias y conexiones en más de 40 países y la capacidad de mover divisas en mercados con controles. Crece mucho (ingresos +45,5 % anual en 2021-2025) con un ROIC altísimo.</w:t>
      </w:r>
    </w:p>
    <w:p>
      <w:pPr>
        <w:spacing w:after="100"/>
      </w:pPr>
      <w:r>
        <w:t xml:space="preserve">A 14,67 USD cotiza a 14,3 veces el beneficio de los próximos doce meses, en mínimos de su historia y con una prima pequeña sobre sus comparables (≈ 12x) para un crecimiento del 34 %. El precio descuenta un crecimiento del 12,4 % anual hasta 2035 con un coste de capital del 14,6 %.</w:t>
      </w:r>
    </w:p>
    <w:p>
      <w:pPr>
        <w:spacing w:after="100"/>
      </w:pPr>
      <w:r>
        <w:t xml:space="preserve">El mercado tiene razón en desconfiar del precio por operación: la comisión cae un 15-20 % al año y el beneficio por acción del 1S26 (0,33 USD) quedó por debajo del consenso. Para invertir hay que creer que la caída de la comisión se frena en 2027 y que el volumen sigue creciendo por encima del 30 %. Es posible, y la regla de múltiplos le da un +40 % a 12 meses, pero con nuestro coste de capital el precio ya paga el caso base.</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 × 0,92 = 11,68 · 15,9x × 1,21 = 19,24 · 21,4x × 1,45 = 31,03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39,7 % / 32,4 %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18,80 (nuestro base +2,3 %)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33,2 % / -42,7 %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 frente a 14,6 % y 12,9 %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12,9 %)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 frente a 14,9 %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(14,5 %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13,46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13,46 y 22,76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22,76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cae por debajo de 13,46 USD, con la sostenibilidad en «Sí» y el ROIC muy por encima del WACC, pasaríamos a Comprar.</w:t>
      </w:r>
    </w:p>
    <w:p>
      <w:pPr>
        <w:pStyle w:val="ListParagraph"/>
        <w:numPr>
          <w:ilvl w:val="0"/>
          <w:numId w:val="2"/>
        </w:numPr>
        <w:spacing w:after="60"/>
      </w:pPr>
      <w:r>
        <w:t xml:space="preserve">Si el 3T26 y el 4T26 muestran una comisión estable y el beneficio operativo de 2026 llega a la guía (280-291 M), revisaríamos el caso base al alza y el valor superaría el precio.</w:t>
      </w:r>
    </w:p>
    <w:p>
      <w:pPr>
        <w:pStyle w:val="ListParagraph"/>
        <w:numPr>
          <w:ilvl w:val="0"/>
          <w:numId w:val="2"/>
        </w:numPr>
        <w:spacing w:after="60"/>
      </w:pPr>
      <w:r>
        <w:t xml:space="preserve">Si uno de los dos grandes comerciantes internaliza el cobro o la comisión cae más de un 25 % interanual, pasaríamos a Vender.</w:t>
      </w:r>
    </w:p>
    <w:p>
      <w:pPr>
        <w:pStyle w:val="ListParagraph"/>
        <w:numPr>
          <w:ilvl w:val="0"/>
          <w:numId w:val="2"/>
        </w:numPr>
        <w:spacing w:after="60"/>
      </w:pPr>
      <w:r>
        <w:t xml:space="preserve">Si Argentina, Egipto o Nigeria vuelven a devaluar con restricciones de repatriación, revisaríamos el valor a la baja.</w:t>
      </w:r>
    </w:p>
    <w:p>
      <w:pPr>
        <w:pStyle w:val="ListParagraph"/>
        <w:numPr>
          <w:ilvl w:val="0"/>
          <w:numId w:val="2"/>
        </w:numPr>
        <w:spacing w:after="60"/>
      </w:pPr>
      <w:r>
        <w:t xml:space="preserve">Si el precio supera 22,76 USD, venderíamos.</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 los ingresos del 12,4 % anual en 2027-2035 con un margen EBITDA del 21 %, o un margen del 22,5 % con nuestro crecimiento. Los analistas van más allá: 9 de 10 recomiendan comprar con un objetivo medio de 18,8 USD y un BPA de 2028e de 1,27 USD [30, 31].</w:t>
      </w:r>
    </w:p>
    <w:p>
      <w:pPr>
        <w:keepNext/>
        <w:spacing w:after="100"/>
      </w:pPr>
      <w:r>
        <w:rPr>
          <w:b/>
          <w:bCs/>
        </w:rPr>
        <w:t xml:space="preserve">Lo que creemos nosotros.</w:t>
      </w:r>
    </w:p>
    <w:p>
      <w:pPr>
        <w:spacing w:after="100"/>
      </w:pPr>
      <w:r>
        <w:t xml:space="preserve">Coincidimos con el BPA (1,21 USD en 2028e, un 4,7 % menos) y con el objetivo a 12 meses (20,30 USD), pero no con el valor a largo plazo: con un riesgo país del 2,5 % sobre una beta de 1,30, el negocio vale 13,46 USD.</w:t>
      </w:r>
    </w:p>
    <w:p>
      <w:pPr>
        <w:keepNext/>
        <w:spacing w:after="100"/>
      </w:pPr>
      <w:r>
        <w:rPr>
          <w:b/>
          <w:bCs/>
        </w:rPr>
        <w:t xml:space="preserve">Por qué podemos tener razón.</w:t>
      </w:r>
    </w:p>
    <w:p>
      <w:pPr>
        <w:spacing w:after="100"/>
      </w:pPr>
      <w:r>
        <w:t xml:space="preserve">La diferencia es de tasa de descuento: el 79 % de los ingresos viene de países con prima de riesgo de entre el 2 % y más del 7 %, y el bajista (2024) ya ocurrió. Con la prima del mercado y sin riesgo país adicional el valor superaría los 17 USD.</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4,6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Volumen</w:t>
      </w:r>
      <w:r>
        <w:t xml:space="preserve">: +83 % en el 1S26 y guía de +60-70 % en 2026 [5].</w:t>
      </w:r>
    </w:p>
    <w:p>
      <w:pPr>
        <w:pStyle w:val="ListParagraph"/>
        <w:numPr>
          <w:ilvl w:val="0"/>
          <w:numId w:val="2"/>
        </w:numPr>
        <w:spacing w:after="60"/>
      </w:pPr>
      <w:r>
        <w:rPr>
          <w:b/>
        </w:rPr>
        <w:t xml:space="preserve">ROIC del 83,4 %</w:t>
      </w:r>
      <w:r>
        <w:t xml:space="preserve"> sobre el capital operativo, 68,8 puntos sobre el WACC.</w:t>
      </w:r>
    </w:p>
    <w:p>
      <w:pPr>
        <w:pStyle w:val="ListParagraph"/>
        <w:numPr>
          <w:ilvl w:val="0"/>
          <w:numId w:val="2"/>
        </w:numPr>
        <w:spacing w:after="60"/>
      </w:pPr>
      <w:r>
        <w:rPr>
          <w:b/>
        </w:rPr>
        <w:t xml:space="preserve">Barata frente a su historia</w:t>
      </w:r>
      <w:r>
        <w:t xml:space="preserve">: 14,4 veces el BPA de 2027e frente a una mediana adelantada de 24,6x.</w:t>
      </w:r>
    </w:p>
    <w:p>
      <w:pPr>
        <w:pStyle w:val="ListParagraph"/>
        <w:numPr>
          <w:ilvl w:val="0"/>
          <w:numId w:val="2"/>
        </w:numPr>
        <w:spacing w:after="60"/>
      </w:pPr>
      <w:r>
        <w:rPr>
          <w:b/>
        </w:rPr>
        <w:t xml:space="preserve">Recompra</w:t>
      </w:r>
      <w:r>
        <w:t xml:space="preserve"> de ≈ 214 M pendiente hasta marzo de 2027 (≈ 5 % del capital) y dividendo del 30 % del FCF ajustado [6, 15].</w:t>
      </w:r>
    </w:p>
    <w:p>
      <w:pPr>
        <w:pStyle w:val="ListParagraph"/>
        <w:numPr>
          <w:ilvl w:val="0"/>
          <w:numId w:val="2"/>
        </w:numPr>
        <w:spacing w:after="60"/>
      </w:pPr>
      <w:r>
        <w:rPr>
          <w:b/>
        </w:rPr>
        <w:t xml:space="preserve">Regla de múltiplos</w:t>
      </w:r>
      <w:r>
        <w:t xml:space="preserve">: +39,7 % ponderado a 12 meses.</w:t>
      </w:r>
    </w:p>
    <w:p>
      <w:pPr>
        <w:pStyle w:val="Heading2"/>
      </w:pPr>
      <w:r>
        <w:t xml:space="preserve">En contra</w:t>
      </w:r>
    </w:p>
    <w:p>
      <w:pPr>
        <w:pStyle w:val="ListParagraph"/>
        <w:numPr>
          <w:ilvl w:val="0"/>
          <w:numId w:val="2"/>
        </w:numPr>
        <w:spacing w:after="60"/>
      </w:pPr>
      <w:r>
        <w:rPr>
          <w:b/>
        </w:rPr>
        <w:t xml:space="preserve">Valor intrínseco por debajo del precio</w:t>
      </w:r>
      <w:r>
        <w:t xml:space="preserve">: 13,46 USD, −8,2 %.</w:t>
      </w:r>
    </w:p>
    <w:p>
      <w:pPr>
        <w:pStyle w:val="ListParagraph"/>
        <w:numPr>
          <w:ilvl w:val="0"/>
          <w:numId w:val="2"/>
        </w:numPr>
        <w:spacing w:after="60"/>
      </w:pPr>
      <w:r>
        <w:rPr>
          <w:b/>
        </w:rPr>
        <w:t xml:space="preserve">La comisión cae</w:t>
      </w:r>
      <w:r>
        <w:t xml:space="preserve">: margen bruto sobre volumen del 0,72 % en el 2T26 frente al 1,15 % de 2024 [5].</w:t>
      </w:r>
    </w:p>
    <w:p>
      <w:pPr>
        <w:pStyle w:val="ListParagraph"/>
        <w:numPr>
          <w:ilvl w:val="0"/>
          <w:numId w:val="2"/>
        </w:numPr>
        <w:spacing w:after="60"/>
      </w:pPr>
      <w:r>
        <w:rPr>
          <w:b/>
        </w:rPr>
        <w:t xml:space="preserve">Concentración</w:t>
      </w:r>
      <w:r>
        <w:t xml:space="preserve">: los 10 primeros comerciantes son el 61 % de los ingresos [1].</w:t>
      </w:r>
    </w:p>
    <w:p>
      <w:pPr>
        <w:pStyle w:val="ListParagraph"/>
        <w:numPr>
          <w:ilvl w:val="0"/>
          <w:numId w:val="2"/>
        </w:numPr>
        <w:spacing w:after="60"/>
      </w:pPr>
      <w:r>
        <w:rPr>
          <w:b/>
        </w:rPr>
        <w:t xml:space="preserve">Riesgo país</w:t>
      </w:r>
      <w:r>
        <w:t xml:space="preserve">: Argentina, Egipto y Nigeria pesan más del 20 % de los ingresos [1].</w:t>
      </w:r>
    </w:p>
    <w:p>
      <w:pPr>
        <w:pStyle w:val="ListParagraph"/>
        <w:numPr>
          <w:ilvl w:val="0"/>
          <w:numId w:val="2"/>
        </w:numPr>
        <w:spacing w:after="60"/>
      </w:pPr>
      <w:r>
        <w:rPr>
          <w:b/>
        </w:rPr>
        <w:t xml:space="preserve">BPA por debajo del consenso</w:t>
      </w:r>
      <w:r>
        <w:t xml:space="preserve"> en el 1T26 y el 2T26 [7, 39].</w:t>
      </w:r>
    </w:p>
    <w:p>
      <w:pPr>
        <w:pStyle w:val="ListParagraph"/>
        <w:numPr>
          <w:ilvl w:val="0"/>
          <w:numId w:val="2"/>
        </w:numPr>
        <w:spacing w:after="60"/>
      </w:pPr>
      <w:r>
        <w:rPr>
          <w:b/>
        </w:rPr>
        <w:t xml:space="preserve">Bajista profundo</w:t>
      </w:r>
      <w:r>
        <w:t xml:space="preserve">: −42,7 % si la comisión no se frena.</w:t>
      </w:r>
    </w:p>
    <w:p>
      <w:pPr>
        <w:pStyle w:val="Heading2"/>
      </w:pPr>
      <w:r>
        <w:t xml:space="preserve">Qué tiene que pasar para que la tesis funcione</w:t>
      </w:r>
    </w:p>
    <w:p>
      <w:pPr>
        <w:spacing w:after="100"/>
      </w:pPr>
      <w:r>
        <w:t xml:space="preserve">La tesis depende de que el margen bruto crezca al menos un 25 % al año aunque la comisión siga bajando, es decir, de que la caída de la comisión se frene. La señal de que no se cumple: un margen bruto sobre volumen por debajo del 0,65 % en el 3T26 o el 4T26, o una guía de beneficio operativo de 2027 por debajo del +20 %. La segunda condición es la de los dos grandes comerciantes: cualquier cambio en su peso.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sobre volumen (net take rate)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0,65 %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valor: separa el bajista del base.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+25-30 % guiado para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volumen compensa la comisión.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(TPV)</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crecimiento.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los 10 primeros comerciantes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65 %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concentración.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propia (corporate cash)</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369,1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250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Colchón para controles de cambio, recompras y dividendo.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14,6x / 10,8x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21,6x / 14,3x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 · -1,4x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dLocal nace en enero de 2016 en Montevideo como escisión de AstroPay, de la mano de Sergio Fogel y Andrés Bzurovski, para cobrar en mercados emergentes por cuenta de grandes comerciantes globales [1, 3]. General Atlantic entró en 2020 y la empresa salió a bolsa en el Nasdaq en junio de 2021, con un pico de capitalización por encima de 20.000 M USD. En noviembre de 2022 un informe bajista (Muddy Waters) cuestionó sus cifras; siguieron demandas, una revisión forense y la salida del consejero delegado fundador. Pedro Arnt, ex director financiero de Mercado Libre, es consejero delegado desde abril de 2023. De 2022 a 2024 la comisión cayó y la acción perdió un 87 % desde máximos; desde 2025 el volumen se ha acelerado (+60 % en 2025) y la empresa reparte caja [1,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Uruguay por los creadores de AstroPay; primer gran comerciante de comercio electrónico en 2018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(junio); compra de PrimeiroPay en Brasil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fuerte en Nigeria y Egipto; informe bajista en noviembre [1,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Pedro Arnt, consejero delegado; caída de Nigeria por la devaluación del naira; primeras recompras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Egipto llega a 94 M de ingresos; la comisión cae y el EBITDA baja; licencia de entidad de pago en Reino Unido [1,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+60 %; dividendo extraordinario de 150 M; colocación secundaria de General Atlantic en septiembre; consejo con cinco independientes [1,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Política de dividendo del 30 % del FCF, recompra de 300 M, crédito sindicado de 150 M; volumen del 2T26 +92 %; entra en el Russell 2000 [5, 6].</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dLocal es una plataforma de pagos que conecta a comerciantes globales (Amazon, Uber, Spotify, Microsoft, Shopify y similares, según el 20-F «tecnológicos de alto crecimiento») con consumidores y proveedores de más de 40 países emergentes de Latinoamérica, África y Asia [1]. Con un solo contrato y una sola API, el comerciante cobra en moneda local (pay-in: tarjetas locales, Pix, transferencias, efectivo, monederos) y paga en moneda local a conductores, vendedores o creadores (pay-out). dLocal cobra localmente, convierte la divisa, repatría el dinero y lo liquida al comerciante en dólares o euros (transfronterizo, 50 % del volumen de 2025) o en moneda local cuando el comerciante tiene filial (local-a-local, 50 %) [1, 9]. Los pay-in son el 69 % del volumen. Tiene 1.274 empleados y licencias en decenas de países, incluida la de entidad de dinero electrónico en la UE y la de entidad de pago en Reino Unido [1, 6].</w:t>
      </w:r>
    </w:p>
    <w:p>
      <w:pPr>
        <w:pStyle w:val="Heading2"/>
      </w:pPr>
      <w:r>
        <w:t xml:space="preserve">Cómo gana dinero</w:t>
      </w:r>
    </w:p>
    <w:p>
      <w:pPr>
        <w:spacing w:after="100"/>
      </w:pPr>
      <w:r>
        <w:t xml:space="preserve">Cobra una comisión por operación aprobada (porcentaje o fijo) más un diferencial cambiario en las transfronterizas, y paga a bancos, adquirentes y métodos de pago locales una comisión que es su coste principal (655 M de los 691 M de coste de los servicios de 2025) [1]. El margen bruto sobre volumen (0,99 % en 2025; 0,72 % en el 2T26) es la variable clave: depende de la mezcla transfronterizo/local, de los tramos de precio de los grandes comerciantes, del coste de expatriar divisa y de la volatilidad cambiaria (en Egipto, Nigeria o Argentina el diferencial se amplía con la crisis y se cierra al normalizarse) [9, 14]. Casi todo es recurrente: el 98,8 % del volumen viene de comerciantes con más de dos años en la plataforma [1]. Hay apalancamiento operativo: el gasto operativo es fijo a corto plazo (unos 63 M por trimestre) y la dirección busca un beneficio operativo de más del 50 % del margen bruto [5].</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Brasil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Argentina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México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Resto de Latinoamérica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África y Asia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Brasil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Argentina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México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Resto de Latinoamérica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África y Asia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Concentración alta: los diez primeros comerciantes son el 61 % de los ingresos (2025 y 1S26) y dos superan cada uno el 10 % [1, 6]. Los contratos son indefinidos y se pueden rescindir con preaviso sin penalización, pero el coste real de cambiar es alto (licencias, integración en 40 países, conversión). La retención neta de ingresos fue del 145 % en 2025 (113 % en 2024) y la cuota de cartera en los comerciantes actuales ronda el 10 % [1, 9]. </w:t>
      </w:r>
      <w:r>
        <w:rPr>
          <w:b/>
        </w:rPr>
        <w:t xml:space="preserve">Poder de precios: negativo.</w:t>
      </w:r>
      <w:r>
        <w:t xml:space="preserve"> La comisión efectiva ha caído cada año (margen bruto sobre volumen del 1,15 % en 2024 al 0,99 % en 2025 y al 0,72 % en el 2T26) porque los grandes comerciantes pasan a tramos de volumen más baratos; la empresa lo presenta como «descuento estructural por volumen» [5, 9]. En Egipto un gran comerciante redujo su cuota con dLocal en 2025 [9].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pagos (TPV)</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25.575 M USD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40.816 M USD (2025); 31.749 M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+83 % en el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Siete trimestres seguidos por encima del +50 % [5,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sobre volumen (net take rate)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0,99 % (2025); 0,72 % en el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pb; −35 pb interanual en el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Cae por mezcla local-a-local, tramos de precio de grandes comerciantes y menos diferencial cambiario [5,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neta de ingresos (NRR)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crecimiento sale de los comerciantes existentes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los 10 primeros comerciantes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 (2025 y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punto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comerciantes superan el 10 % de los ingresos cada uno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local-a-local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 (2025); 61 % en el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puntos en el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comisión por operación que el transfronterizo [9,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 (FTE)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Plantilla estable en 2026 según la dirección [1, 14].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los pagos digitales de comercio electrónico y remesas recibidas en los países emergentes donde opera dLocal, sin China: el volumen que los comerciantes globales y locales cobran o pagan en esos países. Usamos la estimación de la propia dLocal con datos de Statista (2,1 billones USD en 2025 y unos 4,2 billones en 2030), que es la que la empresa compara con su volumen [9]. La contrastamos con las remesas a países de renta baja y media, una parte del perímetro: 656.000 M USD en 2023 según el Banco Mundial y 728.600 M en 2025 según el FIDA [17, 18]. McKinsey da el marco de ingresos: el sector de pagos generó 2,5 billones USD de ingresos en 2024 y crecerá un 4 % anual hasta 2029 [19]. Como dLocal cobra un porcentaje del volumen, la serie va en volumen y la cuota se mide sobre él.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2,1 billones USD de volumen de pagos digitales (comercio electrónico y remesas recibidas) en los mercados emergentes de dLocal en 2025; ≈ 4,2 billones en 2030e (Statista, citado por dLocal) [9].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de volumen (estimación propia por interpolación geométrica entre 2025 y 2030e de la cifra de dLocal/Statist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Digitalización del pago y comercio electrónico en emergentes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TAM de dLocal se duplica de 2,1 a 4,2 billones USD entre 2025 y 2030 (TCAC del 15 %)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Comerciantes globales que localizan cobros y pagos (VTC, reparto, streaming, IA, cripto)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NRR del 145 % en 2025; los 50 primeros comerciantes operan de media en solo 12 de los 44 países [1,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Remesas y pagos a trabajadores de plataformas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Remesas a países de renta baja y media de 728.600 M USD en 2025, casi el doble que en 2016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Normalización cambiaria y fin de los controles de capital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Egipto pasó de 94,0 M de ingresos en 2024 a 59,7 M en 2025 al cerrarse el diferencial; Argentina se hundió en margen bruto en el 4T25 (8,3 M) por las elecciones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instantáneos públicos (Pix, SPEI) y presión de precios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McKinsey prevé que los ingresos del sector crezcan solo un 4 % anual hasta 2029 por el paso a cuenta-a-cuenta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Divisas y tipos de interés de los emergentes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moneda constante el volumen del 2T26 creció un 80 % frente al 92 % publicado [5].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Compite con Adyen, Stripe, EBANX, PayU (Prosus), Rapyd, Nuvei y bancos locales; la comisión efectiva de dLocal ha caído un 37 % en 6 trimestres [1, 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Diez comerciantes son el 61 % de los ingresos y negocian tramos de volumen; dos superan el 10 % cada uno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Adquirentes, bancos y métodos de pago locales cobran el 60 % de los ingresos; el coste de procesamiento como % del volumen subió en México en el 2T26 [1,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licencias y conexiones en 40 países son una barrera; los grandes procesadores globales (Adyen, Stripe) entran país a país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comerciantes pueden montar filiales locales y procesar con adquirentes locales; las monedas estables pueden abaratar la liquidación transfronteriza [1, 6].</w:t>
            </w:r>
          </w:p>
        </w:tc>
      </w:tr>
    </w:tbl>
    <w:p>
      <w:pPr>
        <w:spacing w:after="160" w:before="0"/>
      </w:pPr>
    </w:p>
    <w:p>
      <w:pPr>
        <w:pStyle w:val="Heading2"/>
      </w:pPr>
      <w:r>
        <w:t xml:space="preserve">Ciclo</w:t>
      </w:r>
    </w:p>
    <w:p>
      <w:pPr>
        <w:spacing w:after="100"/>
      </w:pPr>
      <w:r>
        <w:t xml:space="preserve">El volumen se acelera (+92 % en el 2T26, máximo de cuatro años) con el comercio electrónico y las plataformas en Latinoamérica, mientras los diferenciales cambiarios se estrechan [5]. En 2020 el sector se benefició del cierre de tiendas (ingresos de dLocal +88 %); en 2022 sufrió la subida de tipos y los controles de capital de Argentina, Nigeria y Egipto. El ciclo de dLocal lo marcan más las crisis cambiarias de cada país que el consumo mundial [1].</w:t>
      </w:r>
    </w:p>
    <w:p>
      <w:pPr>
        <w:pStyle w:val="Heading2"/>
      </w:pPr>
      <w:r>
        <w:t xml:space="preserve">Regulación</w:t>
      </w:r>
    </w:p>
    <w:p>
      <w:pPr>
        <w:spacing w:after="100"/>
      </w:pPr>
      <w:r>
        <w:t xml:space="preserve">Cada país regula pagos, divisas e impuestos: dLocal es entidad de dinero electrónico en la UE, entidad de pago en Reino Unido, está registrada en FinCEN y tiene licencias locales en Brasil, México y otros [6]. Afectan a las cifras: el control de cambios argentino (indagaciones administrativas desde 2023, sin sanciones), la restricción de repatriación en Egipto y Nigeria, la reforma tributaria de Brasil y el IOF sobre operaciones de cambio, y desde 2027 el impuesto mínimo global del Pilar 2 de la OCDE, que subirá su tipo efectivo del 14-16 % actual [1, 14].</w:t>
      </w:r>
    </w:p>
    <w:p>
      <w:pPr>
        <w:pStyle w:val="Heading2"/>
      </w:pPr>
      <w:r>
        <w:t xml:space="preserve">Tendencias y disrupción</w:t>
      </w:r>
    </w:p>
    <w:p>
      <w:pPr>
        <w:spacing w:after="100"/>
      </w:pPr>
      <w:r>
        <w:t xml:space="preserve">Tres tendencias: los comerciantes globales pasan de liquidar en dólares a operar en local (el local-a-local llegó al 61 % del volumen en el 2T26), lo que da volumen a dLocal pero menos margen por operación [14]; los pagos instantáneos públicos (Pix, SPEI) abaratan el cobro y dLocal los integra; y las monedas estables (USDC, USDT), que dLocal ya usa como activos de liquidación de tránsito, pueden abaratar la parte transfronteriza y la expatriación [6]. La IA genera más del 60 % de su código y abre comerciantes nuevos (empresas de IA que cobran en emergentes) [9, 14].</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Principal procesador independiente especializado en emergentes para comerciantes globales; menos del 2 % del TAM en 2025 y en torno al 2,4 % en los 12 meses a junio de 2026 (estimación propia: 55.200 M de volumen sobre ≈ 2,25 billones) [5, 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Adyen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ADYEN.AS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Procesador global con licencia bancaria; ingresos netos 2.364 M EUR en 2025, convertidos a 1,1213; crece en Latinoamérica con adquirencia local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PayPal (incluye Braintree)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PYPL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34.128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Monedero y procesador; compite en pay-in transfronterizo y en pagos a autónomos (Hyperwallet)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Payoneer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transfronterizos a pymes y vendedores de marketplaces en emergentes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Flywire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FLYW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transfronterizos de educación, salud y viajes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Remitly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Remesas digitales a emergentes; compite en pay-out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EBANX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no cotizado: pay-in local en Latinoamérica para comerciantes globales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Stripe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cotiza; amplía métodos locales en Latinoamérica y monedas estables (Bridge)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volumen da mejor liquidez de divisa y mejores datos de aprobación, que atraen más comerciantes («aggregation theory» de la guía 2026) [B2].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NRR del 145 % y 98,8 % del volumen de comerciantes con más de dos años; pero los contratos se rescinden sin penalización y un gran comerciante redujo su cuota en Egipto [B1, B2].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y conexiones en más de 40 países y experiencia regulatoria difícil de copiar rápido [B1, B10].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 operativo de 63 M al trimestre para 17.700 M de volumen; pero la comisión cae más rápido que el coste unitario [B8].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Nichos país a país donde pocos procesadores tienen licencia; Adyen y Stripe tienen más escala global [B1].</w:t>
            </w:r>
          </w:p>
        </w:tc>
      </w:tr>
    </w:tbl>
    <w:p>
      <w:pPr>
        <w:spacing w:after="160" w:before="0"/>
      </w:pPr>
    </w:p>
    <w:p>
      <w:pPr>
        <w:pStyle w:val="Heading2"/>
      </w:pPr>
      <w:r>
        <w:t xml:space="preserve">Amenazas</w:t>
      </w:r>
    </w:p>
    <w:p>
      <w:pPr>
        <w:spacing w:after="100"/>
      </w:pPr>
      <w:r>
        <w:t xml:space="preserve">La mayor amenaza es que los grandes comerciantes (dos superan el 10 % de los ingresos) internalicen el cobro local o lo repartan entre varios procesadores, como ocurrió en Egipto en 2025; probabilidad media. Segunda: Adyen y Stripe con adquirencia local en Brasil y México, que presiona la comisión; ya visible en el margen bruto mexicano del 2T26. Tercera: que la normalización cambiaria (Argentina, Egipto, Nigeria) cierre los diferenciales que hoy dan margen. Cuarta, a más plazo: monedas estables y pagos instantáneos que abaraten la expatriación [1, 9, 14].</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p>
      <w:pPr>
        <w:spacing w:after="100"/>
      </w:pPr>
      <w:r>
        <w:t xml:space="preserve">Crecimiento anual compuesto 2021-2025: ingresos </w:t>
      </w:r>
      <w:r>
        <w:rPr>
          <w:b/>
          <w:bCs/>
        </w:rPr>
        <w:t xml:space="preserve">45,5 %</w:t>
      </w:r>
      <w:r>
        <w:t xml:space="preserve">, EBITDA </w:t>
      </w:r>
      <w:r>
        <w:rPr>
          <w:b/>
          <w:bCs/>
        </w:rPr>
        <w:t xml:space="preserve">29,3 %</w:t>
      </w:r>
      <w:r>
        <w:t xml:space="preserve">, BPA </w:t>
      </w:r>
      <w:r>
        <w:rPr>
          <w:b/>
          <w:bCs/>
        </w:rPr>
        <w:t xml:space="preserve">27,0 %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244,1 M USD en 2021 a 1.093,6 M en 2025 (TCAC del 45 %), casi todo orgánico: los comerciantes con más de dos años en la plataforma generaron el 98,8 % del volumen de 2025 y los nuevos solo el 1-2 % de los ingresos [1]. El margen se ha estrechado porque el volumen crece más que la comisión: el margen bruto sobre ingresos bajó del 40 % en 2024 al 37 % en 2025 y al 32 % en el 2T26, y el margen bruto sobre volumen (net take rate) del 1,09 % del 4T24 al 0,72 % del 2T26, por más volumen local-a-local, grandes comerciantes con tramos de precio y menos diferencial cambiario en mercados volátiles [5, 8, 9]. El EBITDA publicado (EBIT + amortizaciones) cayó en 2024 (157,7 M desde 191,9 M) por Egipto, Argentina y la inversión en plantilla, y se recuperó en 2025 (246,2 M; margen del 22,5 %). La serie usa las cifras publicadas NIIF; la empresa dejó de usar el EBITDA ajustado en 2026 y guía el beneficio operativo [6, 8]. Ningún año tiene cambios de perímetro relevantes: la compra de NeWurth (Camerún, 23,0 M en febrero de 2026) es pequeña [1].</w:t>
      </w:r>
    </w:p>
    <w:p>
      <w:pPr>
        <w:pStyle w:val="Heading2"/>
      </w:pPr>
      <w:r>
        <w:t xml:space="preserve">Ajustes y partidas no recurrentes</w:t>
      </w:r>
    </w:p>
    <w:p>
      <w:pPr>
        <w:spacing w:after="100"/>
      </w:pPr>
      <w:r>
        <w:t xml:space="preserve">Las cifras son las publicadas. El EBITDA ajustado de la empresa (278,1 M en 2025; 188,7 M en 2024) suma al EBITDA publicado los pagos en acciones (24,1 M en 2025), el deterioro de activos financieros, las «otras pérdidas operativas» (4,7 M, sobre todo saldos de comerciantes y procesadores dados de baja), los costes del informe del bajista y de las demandas y los gastos de la colocación secundaria [1]. Solo tratamos como no recurrentes estos dos últimos (0,9 M en 2025; 1,6 M en 2024; 1,7 M en 2023) y, en el LTM, el ajuste de impuestos indirectos de ejercicios anteriores registrado en gastos operativos en el 1T26 (4,4 M) [7]; los pagos en acciones y las bajas de saldos se repiten todos los años y se quedan dentro. El BPA de 2026 lleva además 5,3 M de ese ajuste en el impuesto de sociedades [7]. El 2024 fue el año atípico: cayó el margen y el resultado financiero incluyó diferencias de cambio de un préstamo intragrupo con Argentina (cancelado en septiembre de 2025) [1, 6].</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1T26 (14-may) la dirección presentó el trimestre como de transición: gastos operativos +58 % interanuales por el arrastre de la inversión de 2025, un ajuste de impuestos de ejercicios anteriores de 9,7 M y un flujo de caja libre ajustado de solo 14,7 M por circulante (créditos fiscales y anticipos a comerciantes), con la promesa de apalancamiento operativo en el segundo semestre; la acción cayó un 13 % al día siguiente [7]. En la del 2T26 (13-ago) el discurso pasó de inversión a escala: volumen +92 %, margen bruto récord de 127 M, beneficio operativo +22 % trimestral y FCF ajustado de 68,5 M; subió la guía de volumen (60-70 %) y de margen bruto (25-30 %) pero mantuvo la de beneficio operativo (27,5-32,5 %) [5]. Los analistas (Goldman Sachs, JP Morgan, Truist, UBS, HSBC y otros) preguntaron sobre todo por el suelo de la comisión, la caída del margen bruto en México y la trayectoria de márgenes hacia 2027. El consejero delegado dijo que, sin un gran comerciante de VTC local-a-local, la comisión habría sido casi plana y que su caída es «asintótica»; que más del 60 % del código ya lo escribe la IA, y que el tipo efectivo subirá desde 2027 por el Pilar 2 de la OCDE. </w:t>
      </w:r>
      <w:r>
        <w:rPr>
          <w:b/>
        </w:rPr>
        <w:t xml:space="preserve">No dio</w:t>
      </w:r>
      <w:r>
        <w:t xml:space="preserve"> suelo de la comisión, ni guía de 2027, ni el efecto del Pilar 2, ni cuantificó el efecto cambiario en la guía de beneficio operativo [14]. El BPA de los dos trimestres de 2026 quedó por debajo del consenso (0,14 frente a 0,16 y 0,18 frente a 0,20) aunque los ingresos lo superaron [16].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Con los fondos de comerciantes fuera, el balance es de caja neta: caja propia de 427,9 M a cierre de 2025 frente a 86,9 M de deuda en pesos de corto plazo, y de 369,1 M a junio de 2026 tras pagar 57,2 M de dividendo y recomprar 86,1 M en el semestre [1, 5]. El circulante propio (anticipos menos otras cuentas a pagar) es pequeño, unos 10 M, pero la caja propia fluctúa con los anticipos a comerciantes y el calendario de créditos fiscales: por eso el FCF ajustado del 1T26 fue de 14,7 M y el del 2T26 de 68,5 M [5, 7]. El balance bruto creció mucho más que el negocio en el 1S26 (cuentas a cobrar de 521 M a 1.085 M) por el volumen de grandes comerciantes, sin efecto en la caja propia.</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580</w:t>
      </w:r>
      <w:r>
        <w:t xml:space="preserve">, conversión </w:t>
      </w:r>
      <w:r>
        <w:rPr>
          <w:b/>
          <w:bCs/>
        </w:rPr>
        <w:t xml:space="preserve">89 %</w:t>
      </w:r>
      <w:r>
        <w:t xml:space="preserve"> del beneficio neto; adquisiciones 0, dividendos 150, recompras 201.</w:t>
      </w:r>
    </w:p>
    <w:p>
      <w:pPr>
        <w:spacing w:after="100"/>
      </w:pPr>
      <w:r>
        <w:t xml:space="preserve">El flujo operativo publicado mezcla el dinero de los comerciantes (415,5 M en 2025 y −32,8 M en 2024) y no sirve para medir la caja que genera el negocio. Lo hemos limpiado restando la variación de las cuentas a pagar a comerciantes menos la de las cuentas a cobrar comerciales: 229,0 M en 2025 y 114,6 M en 2024, que menos el capex dan 192,2 M y 92,0 M, casi lo mismo que el «FCF ajustado» de la empresa (191 M y unos 91 M) [1, 8]. 2021 es una estimación propia con los saldos totales porque el 20-F 2022 no separa los de comerciantes de 2020. La conversión de beneficio en caja libre es de casi el 100 % (FCF ajustado del 97 % del beneficio en 2025; 86 % en el 1S26) [8, 14]. El capex es software capitalizado (3,4 % de los ingresos en 2025, de los que 20,8 M se amortizan en el coste de los servicios) y no distinguimos mantenimiento de crecimiento: la empresa no lo publica. Los intereses de los préstamos en pesos (15,9 M pagados en 2025) se registran como coste de los anticipos dentro del coste de los servicios, por lo que no se restan otra vez [1, 6].</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 Waterhouse &amp; Co. S.R.L. (PwC Argentina)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también sobre el control interno a 31-dic-2025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audita desde 2020 y emite opinión favorable sobre las cuentas y el control interno de 2025; los honorarios fueron de 2,47 M USD, con un sobrecoste de 0,125 M en la auditoría de 2024 [1]. Los ingresos se reconocen en el momento de cada transacción y en bruto (dLocal actúa como principal), lo que hincha ingresos y costes frente a quienes contabilizan en neto: por eso miramos también el margen bruto y el volumen [1]. Se capitaliza software (36,8 M en 2025, 3,4 % de los ingresos) y los pagos en acciones restan 24,1 M (2,2 % de los ingresos; 12,2 % del beneficio) [1]. El 1T26 incluyó un ajuste de 9,7 M por impuestos de ejercicios anteriores sobre productos de pago a plazos: no material, pero muestra el riesgo fiscal de operar en 40-60 países [7]. El informe del bajista de 2022-23 (Muddy Waters) motivó una revisión forense y demandas; la demanda de Nueva York se desestimó entera en apelación en abril de 2026 [1, 28]. Los indicadores del motor (Altman, Piotroski, Beneish) se calculan sobre el balance neteado y deben leerse con cautela en un procesador de pagos.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en bruto y cambio de presentación de la métrica de gestión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2026 la empresa abandona el EBITDA ajustado y guía el beneficio operativo publicado, una mejora de transparencia [6,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fiscales de ejercicios anteriores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9,7 M en el 1T26 (4,4 M en gastos operativos y 5,3 M en el impuesto); riesgo de repetición en jurisdicciones con normas cambiantes (Brasil, Argentina)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Bajas de saldos con procesadores y comerciantes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«Otras pérdidas operativas» de 4,7 M en 2025 y 5,3 M en 2024, más 2,1 M de un procesador en litigio [1].</w:t>
            </w:r>
          </w:p>
        </w:tc>
      </w:tr>
    </w:tbl>
    <w:p>
      <w:pPr>
        <w:spacing w:after="160" w:before="0"/>
      </w:pPr>
    </w:p>
    <w:p>
      <w:pPr>
        <w:pStyle w:val="Heading1"/>
      </w:pPr>
      <w:r>
        <w:t xml:space="preserve">10. Rentabilidad sobre 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4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69,9 % · </w:t>
      </w:r>
      <w:r>
        <w:rPr>
          <w:b/>
          <w:bCs/>
        </w:rPr>
        <w:t xml:space="preserve">WACC</w:t>
      </w:r>
      <w:r>
        <w:t xml:space="preserve">: 14,6 %.</w:t>
      </w:r>
    </w:p>
    <w:p>
      <w:pPr>
        <w:spacing w:after="100"/>
      </w:pPr>
      <w:r>
        <w:t xml:space="preserve">dLocal crea valor con mucha holgura: el ROIC sobre el capital operativo fue del 83,4 % en 2025 y del 57-117 % en 2021-2025, frente a un WACC del 14,59 %. La cifra es tan alta porque el negocio casi no necesita capital: el circulante comercial lo financian los propios comerciantes (los fondos en tránsito no son de dLocal y los quitamos del balance) y el inmovilizado es software capitalizado (74 M de intangibles) [1, 6]. El ROIC incremental de 2021-2025 es del 69,9 %. El ROE (37,2 % en 2025) es más bajo porque la empresa guarda 300-450 M de caja propia como colchón de liquidez para adelantar pagos en monedas con controles de cambio. El «ROIC medio del 30 %» del escáner mide el capital con toda esa caja dentro. La tendencia es el riesgo: el margen neto bajó del 31,9 % (2021) al 18,0 % (2025) por la comisión, y la rotación del capital subió para compensarlo.</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propia («corporate cash») de 369,1 M USD a 30-jun-2026 sobre una caja total de 794,9 M (los otros 425,9 M son de comerciantes), más 79,2 M en letras del Tesoro de EE. UU. y bonos argentinos, de los que 59,3 M garantizan préstamos en pesos; préstamo sindicado sin garantías de 150 M firmado el 12-ago-2026 (SOFR + 2,00 %, 11 cuotas trimestrales de 13,6 M desde febrero de 2027, vence en agosto de 2029) [5,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El pasivo relevante no es deuda: son 1.555 M de cuentas a pagar comerciales a 30-jun-2026, casi todo dinero de comerciantes pendiente de liquidar, frente a 1.149 M de cuentas a cobrar (a procesadores y adquirentes) y 425,9 M de caja de comerciantes [6]. Lo hemos neteado en el balance histórico y en el puente (caja propia = la que publica la empresa). Riesgos asociados: si un procesador o adquirente quiebra, dLocal paga igualmente al comerciante y no está asegurada (en 2025 dio de baja 2,1 M de un procesador y reclama el resto) [1]. No hay pensiones. Provisiones laborales y civiles de solo 0,4 M; las demandas colectivas de Nueva York (OPV de 2021) se desestimaron en apelación en abril de 2026 y queda la federal de Laurenzi sin provisión [1, 28]. Fondos en garantía y caja restringida de 24,6 M (Egipto y Marruecos) [6]. Los préstamos en pesos argentinos (64,6 M a junio) financian anticipos a comerciantes y su coste va en el coste de los servicios [6].</w:t>
      </w:r>
    </w:p>
    <w:p>
      <w:pPr>
        <w:pStyle w:val="Heading1"/>
      </w:pPr>
      <w:r>
        <w:t xml:space="preserve">12. Asignación de capital</w:t>
      </w:r>
    </w:p>
    <w:p>
      <w:pPr>
        <w:pStyle w:val="Confianza"/>
        <w:spacing w:after="100"/>
      </w:pPr>
      <w:r>
        <w:t xml:space="preserve">Confianza: Media</w:t>
      </w:r>
    </w:p>
    <w:p>
      <w:pPr>
        <w:spacing w:after="100"/>
      </w:pPr>
      <w:r>
        <w:t xml:space="preserve">Desde 2025 la empresa reparte el 30 % del FCF ajustado del año anterior: 57,2 M (0,1939 USD por acción) pagados el 10-jun-2026 con cargo a 2025 [1, 15]. En 2025 pagó además un dividendo extraordinario de 150 M [1]. El 13-mar-2026 aprobó recomprar hasta 300 M en acciones de clase A hasta marzo de 2027; a 30-jun había comprado 6,9 M de acciones por 86,1 M (12,49 USD de media) y las amortizó [6]. La prioridad declarada es no acumular caja por encima de la liquidez mínima operativa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PrimeiroPay (Brasil, pagos)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la directora jurídica actual procede de esa compra [1]. Sin deterioros.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Demerge (Argentina y Brasil, servicios y activos virtuales)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como filiales de cobro; sin deterioros publicados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Mint Code Solutions (Camerún) y activos de NeWurth en África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Ejercicio de una opción de compra; liberación de un crédito previo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de comercio de 6,6 M; refuerza África [1, 6].</w:t>
            </w:r>
          </w:p>
        </w:tc>
      </w:tr>
    </w:tbl>
    <w:p>
      <w:pPr>
        <w:spacing w:after="160" w:before="0"/>
      </w:pPr>
    </w:p>
    <w:p>
      <w:pPr>
        <w:spacing w:after="100"/>
      </w:pPr>
      <w:r>
        <w:t xml:space="preserve">La asignación de capital es buena en lo esencial y ha mejorado en 2025-26: el negocio necesita muy poco capital (capex del 3,4 % de los ingresos) y devuelve la caja sobrante con dividendo y recompras, sin compras grandes. Entre 2023 y 2025 recompró 199 M y en 2026 otros 86,1 M a precios medios de unos 12,5 USD, y pagó 207 M en dividendos [1, 6]. La dilución por pagos en acciones es moderada (7,8 M de acciones potenciales sobre 288 M) [6]. El punto débil fue 2022-24: entró en Nigeria, Egipto y Argentina con diferenciales cambiarios altos que luego se evaporaron, y el ROIC cayó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Pedro Arnt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Doce años como director financiero de Mercado Libre, donde entró en 1999; consejero de Allegro.eu [1]. En dLocal ha llevado el volumen de 17.677 M (2023) a 40.816 M (2025) y ha introducido dividendo y recompras; la comisión siguió bajando [1, 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Guillermo López Pérez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director financiero de Featurespace y de Visa Europa continental, 13 años en American Express y paso por Tink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Carlos Menéndez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30 años en Mastercard, Citibank y Procter &amp; Gamble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Andrés Bzurovski Bay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(cofundador)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de AstroPay y de dLocal; presidente desde diciembre de 2025; 37,8 % de la clase B [1,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Sebastián Kanovich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co-consejero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Dirigió la empresa desde su creación; vendió 1,1 M de acciones por 16,2 M USD en 2026 con un plan 10b5-1 [1,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John O'Brien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ingresos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años en la división de comercio electrónico de Worldpay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+35-50 %, margen bruto +25-40 %, EBITDA ajustado +25-40 % (guía de febrero de 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+60 %, margen bruto +37 %, EBITDA ajustado +47 %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+50-60 %, margen bruto +22,5-27,5 %, beneficio operativo +27,5-32,5 % (marzo); subida en agosto a volumen +60-70 % y margen bruto +25-30 %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volumen +83 %, margen bruto +34 %, beneficio operativo +15 % (necesita un 2S de +44 %)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profesionalizado tras la crisis de 2022-23: Arnt (ex Mercado Libre) y un director financiero, de operaciones y de ingresos fichados en Visa, Mastercard y Worldpay. La guía de 2025 se superó en las tres métricas; la de 2026 va por delante en volumen y margen bruto pero el beneficio operativo del 1S26 creció un 15 % frente a una guía del 27,5-32,5 %, que exige un segundo semestre de +44 % [5]. Los fundadores se han ido apartando de la gestión (Fogel pasó a asesor en diciembre de 2025) pero controlan el voto. Sin plan de sucesión publicado [1, 26].</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Andrés Bzurovski Bay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Producto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Pedro Arnt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Sebastián Kanovich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Producto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Luiz Ribeiro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(General Atlantic)</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William Pruett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(experto financiero)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Hyman Bielsky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Verónica Raffo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Francisco Fernández de Ybarra del Rey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Nelson Mattos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Producto y Tecnología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56 %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también sobre el control interno a 31-dic-2025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0,24 / ventas 16,23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Sergio Fogel (clase A y B)</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(clase B: 5 votos por acción)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(dic-2025)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Andrés Bzurovski Bay (clase A y B)</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presidente (clase B)</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General Atlantic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capital riesgo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9,8 M de acciones el 17-ago-2026 a 13,60 USD y en la colocación de septiembre de 2025; le quedan 36,8 M (21,4 % de la clase A) [22,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Alberto Eduardo Azar / Aqua Crystal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histórico (clase B)</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18,5 M de acciones (10,3 % de la clase A con conversión) a marzo de 2026 [24]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Emiliano Fernández Balagué</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publicados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Sebastián Kanovich (clase B)</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1,1 M de acciones en 2026 (plan 10b5-1) [25]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amortizadas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6,9 M de acciones recompradas y amortizadas en el 1S26 [6]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Sebastián Kanovich</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1.000.506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Sebastián Kanovich</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Sebastián Kanovich</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77.453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William Pruett</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Como emisor de las Islas Caimán no publica la retribución individual. La de todo el equipo directivo y el consejo fue de 22,5 M USD en 2025 (5,4 M en salarios y 17,1 M en pagos en acciones), frente a 19,8 M en 2024 y 9,0 M en 2023 [1]. Los consejeros fundadores no cobran; los independientes, en efectivo o acciones. No se publican métricas del variable ni cláusulas de recuperación. Desde 2026 existe una comisión de retribuciones (Ribeiro, Bielsky, Fernández de Ybarra), de carácter consultivo [1]. No hay voto consultivo de la retribución en la junta [27].</w:t>
      </w:r>
    </w:p>
    <w:p>
      <w:pPr>
        <w:pStyle w:val="Heading2"/>
      </w:pPr>
      <w:r>
        <w:t xml:space="preserve">Operaciones vinculadas, estructura de control y defensas</w:t>
      </w:r>
    </w:p>
    <w:p>
      <w:pPr>
        <w:spacing w:after="100"/>
      </w:pPr>
      <w:r>
        <w:t xml:space="preserve">Control por voto múltiple: las acciones de clase B (5 votos) de los fundadores e inversores originales (Bzurovski, Fogel, Azar, Kanovich y Singer) suman el 43,8 % del capital y el 79,6 % del voto, y mientras tengan clase B nombran al menos la mayoría del consejo [1]. El voto múltiple dura mientras la clase B sea al menos el 10 % del capital (hoy 40,3 %: 116,2 M de 288,4 M) [6]. Sociedad de las Islas Caimán, emisor extranjero que sigue prácticas del país de origen en lugar de algunas normas del Nasdaq [1]. Operaciones vinculadas: entidades de cobro vinculadas facturaron 27,9 M de costes en 2025 (0,9 M en 2024) [1]. Desde diciembre de 2025 hay cinco independientes de nueve y comités de nombramientos, retribuciones y producto [26].</w:t>
      </w:r>
    </w:p>
    <w:p>
      <w:pPr>
        <w:pStyle w:val="Heading2"/>
      </w:pPr>
      <w:r>
        <w:t xml:space="preserve">Señales de alerta</w:t>
      </w:r>
    </w:p>
    <w:p>
      <w:pPr>
        <w:pStyle w:val="ListParagraph"/>
        <w:numPr>
          <w:ilvl w:val="0"/>
          <w:numId w:val="2"/>
        </w:numPr>
        <w:spacing w:after="60"/>
      </w:pPr>
      <w:r>
        <w:t xml:space="preserve">Ventas de accionistas de referencia: General Atlantic vendió 9,8 M de acciones el 17-ago-2026 y aún tiene 36,8 M (≈ 12,8 % del capital) [23].</w:t>
      </w:r>
    </w:p>
    <w:p>
      <w:pPr>
        <w:pStyle w:val="ListParagraph"/>
        <w:numPr>
          <w:ilvl w:val="0"/>
          <w:numId w:val="2"/>
        </w:numPr>
        <w:spacing w:after="60"/>
      </w:pPr>
      <w:r>
        <w:t xml:space="preserve">Pagos a entidades de cobro vinculadas de 27,9 M en 2025, treinta veces los de 2024 [1].</w:t>
      </w:r>
    </w:p>
    <w:p>
      <w:pPr>
        <w:pStyle w:val="ListParagraph"/>
        <w:numPr>
          <w:ilvl w:val="0"/>
          <w:numId w:val="2"/>
        </w:numPr>
        <w:spacing w:after="60"/>
      </w:pPr>
      <w:r>
        <w:t xml:space="preserve">Demanda colectiva federal (Laurenzi) por la salida a bolsa, sin provisión; la de Nueva York se desestimó en abril de 2026 [1, 28].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(18-mar-2026): volumen +50-60 %, margen bruto +22,5-27,5 % (sobre 403 M) y beneficio operativo +27,5-32,5 % (sobre 220 M). El 13-ago-2026 subió el volumen a +60-70 % y el margen bruto a +25-30 % (≈ 504-524 M) y mantuvo el beneficio operativo (≈ 280-291 M), con la mejora del apalancamiento operativo concentrada en el 2S26 [6, 7]. No hay plan a medio plazo con cifras ni guía de 2027; la dirección pidió no extrapolar el margen de salida del 4T [39].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10 analistas [30]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 1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18,80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15,00 – 21,00</w:t>
            </w:r>
          </w:p>
        </w:tc>
      </w:tr>
    </w:tbl>
    <w:p>
      <w:pPr>
        <w:spacing w:after="160" w:before="0"/>
      </w:pPr>
    </w:p>
    <w:p>
      <w:pPr>
        <w:pStyle w:val="Heading2"/>
      </w:pPr>
      <w:r>
        <w:t xml:space="preserve">Revisiones de estimaciones</w:t>
      </w:r>
    </w:p>
    <w:p>
      <w:pPr>
        <w:spacing w:after="100"/>
      </w:pPr>
      <w:r>
        <w:t xml:space="preserve">Stock Analysis (S&amp;P Global, 10 analistas) da un objetivo medio de 18,8 USD (15-21) y recomendación de compra: 6 compra fuerte, 3 compra y 1 mantener; su BPA de 2026 (0,85) y 2027 (1,14) es ajustado y algo mayor que el de MarketScreener (0,82 y 1,08) [30, 31]. Los objetivos subieron en el verano: MarketBeat recogía 17,50 USD de media a finales de julio y UBS pasó a Comprar con 20 USD el 1-jul [40]. Las estimaciones de ingresos subieron tras el 2T26 (2026e ≈ 1.595 M, +46 %), mientras el BPA de 2026 se mantuvo cerca de 0,82-0,85 por el gasto operativo y el ajuste fiscal del 1T [30, 31].</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-86,9 %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dLocal sube un 5,5 % en 2026 (S&amp;P 500 +12,8 %) y pierde un 5,1 % anual en tres años frente al +22,9 % anual del índice [29]. La historia es la de una salida a bolsa de 2021 en plena euforia (cierre de 2021 a 35,69 USD, 102 veces el beneficio del año siguiente) y una caída del 86,9 % hasta agosto de 2024, con el informe bajista de Muddy Waters (nov-2022), la salida del fundador como consejero delegado y las devaluaciones de Egipto, Nigeria y Argentina [1, 29]. Desde entonces el beneficio por acción ha pasado de 0,39 USD (2024) a 0,68 USD en los últimos doce meses, pero el múltiplo no ha vuelto: la bolsa paga el volumen (+83 % en el 1S26) y castiga la caída de la comisión, como mostraron el −13 % del 15-may y el −14 % del 13-17 de noviembre de 2025 [5, 7, 10]. La volatilidad de un año es del 43,9 %.</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 / -0,3 % / +7,2 % / -7,3 %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 / +33,2 %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may-jun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1T26 (14-may): BPA de 0,14 USD frente a ≈ 0,17 esperado, gastos operativos +58 %, un ajuste fiscal de 9,7 M y un FCF ajustado de solo 14,7 M; la acción cayó un 13 % el 15-may [7].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jun-jul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el Russell 2000 el 26-jun (compras de fondos indexados) y UBS a Comprar con objetivo de 20 USD el 1-jul [40, 41]; el 2T26 (13-ago) confirmó el volumen (+92 %) aunque el BPA quedó por debajo del consenso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y 17-nov-2025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3T25: volumen +59 % pero la comisión bajó más de lo esperado; dos caídas diarias del −6,8 % y −7,0 %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12-feb, 23-feb y 26-mar-2026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Tres caídas diarias de −5,7 %, −7,3 % y −5,1 % sin noticia propia encontrada (ni 6-K ni Form 4 esos días): coinciden con la caída de los valores de pagos y de los emergentes en febrero-marzo; queda como hueco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General Atlantic vendió 9,84 M de acciones a 13,60 USD en bloque y conserva 36,8 M (≈ 12,7 % del capital); ya vendió en la colocación de septiembre de 2025 [22, 23]. Puede volver a vender (overhang), pero el bloque de agosto se absorbió y la acción cotiza un 8 % por encima.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ingresos +56 %, volumen +92 %, BPA de 0,18 USD frente a 0,20 de consenso; sube la guía de volumen (+60-70 %) y de margen bruto (+25-30 %) y mantiene la de beneficio operativo (+27,5-32,5 %) [5,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UBS pasa a Comprar con objetivo de 20 USD; el consenso de 10 analistas es de compra (9 de 10) con objetivo medio de 18,8 USD [31, 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el Russell 2000 tras la reconstitución anual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Sebastián Kanovich (consejero, ex co-consejero delegado) vendió 1,10 M de acciones (≈ 16,2 M USD) entre el 1-jul y el 5-ago a 14,63-15,54 USD con un plan 10b5-1; el consejero William Pruett compró 20.000 acciones a 11,85 USD el 29-may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sala de apelación confirma la desestimación de la demanda de accionistas de Nueva York; sigue la federal (Laurenzi), sin provisión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2026-11-18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3T26 (fecha estimada por el calendario de 2025): primer trimestre en que la dirección prometió el apalancamiento operativo del 2S26 [5].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en tendencia alcista (+33 % desde el mínimo de 52 semanas) y a un 7 % del máximo del año, tras recuperar la caída de los resultados del 1T26 con el Russell 2000 y la subida de UBS. No hay colocación anunciada: General Atlantic conserva 36,8 M de acciones y puede volver a vender, pero el bloque de agosto se absorbió sin daño. Los resultados del 3T26 están a unas cuatro semanas (no a 15 días) y la tendencia no es bajista. Veredicto: no cambia. Se buscó en los 6-K, 13D/13G y Form 4 de la SEC, Seeking Alpha, Investing.com y Stocktwits hasta el 18-oct-2026.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 14,67 USD, dLocal cotiza a 14,6 veces el EBITDA de los últimos doce meses y a 21,6 veces el beneficio, en el mínimo de su historia cotizada (medias de 23,0x y 32,5x en 2022-2025, sin 2021, año de la burbuja tras la salida a bolsa). El descuento del 34-37 % tiene causas estructurales: el crecimiento de los ingresos ya no viene con la misma comisión (margen bruto sobre volumen del 1,15 % en 2024 al 0,72 % en el 2T26) y los tipos de interés en dólares son más altos (10 años al 5,09 %) [5, 33]. En base adelantada (precio de cierre ÷ BPA del año siguiente) la historia es 31,8x (2022), 45,4x (2023), 17,3x (2024) y 17,2x (2025), y hoy paga 14,4 veces nuestro BPA de 2027e.</w:t>
      </w:r>
    </w:p>
    <w:p>
      <w:pPr>
        <w:pStyle w:val="Heading1"/>
      </w:pPr>
      <w:r>
        <w:t xml:space="preserve">18. Comparables cotizados</w:t>
      </w:r>
    </w:p>
    <w:p>
      <w:pPr>
        <w:pStyle w:val="Confianza"/>
        <w:spacing w:after="100"/>
      </w:pPr>
      <w:r>
        <w:t xml:space="preserve">Confianza: Media</w:t>
      </w:r>
    </w:p>
    <w:p>
      <w:pPr>
        <w:spacing w:after="100"/>
      </w:pPr>
      <w:r>
        <w:t xml:space="preserve">Procesadores de pagos y plataformas transfronterizas cotizadas: Adyen (procesador global), PayPal, Shift4 y Global Payments (adquirencia), StoneCo y PagSeguro (adquirencia en Brasil, el primer mercado de dLocal), y Payoneer, Flywire, Wise y Remitly (pagos transfronterizos y pay-out a emergentes) [32]. No hay ningún cotizado puro de pagos a emergentes para comerciantes globales: EBANX, Rapyd y Stripe no cotizan y Nuvei salió de bolsa en 2024. El PER de los próximos 12 meses mezcla BPA ajustado (Shift4, Global Payments, PayPal) y publicado; el EV/EBITDA de Adyen, Wise, StoneCo y PagSeguro no se usa porque su balance lleva caja o deuda de clientes.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dLocal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UY</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Adyen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PayPal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Shift4 Payments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Flywire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Payoneer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StoneCo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PagSeguro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Remitly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Global Payments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 / 10,2x / 19,6x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 / 12,1x / 16,2x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 / 2,2x / 2,7x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dLocal cotiza a 14,3 veces el beneficio de los próximos doce meses, por encima de la mediana de sus comparables (≈ 12x), con un crecimiento esperado de ingresos del 33,7 % frente al 15-20 % del grupo. La prima es pequeña para ese diferencial: Adyen (20,9x, +30 %) y Wise (24,1x) cobran más por un riesgo país mucho menor, mientras PayPal (10x), Global Payments (5,4x) y Shift4 (6,7x) son negocios maduros o apalancados, y StoneCo y PagSeguro (5-6x) son adquirentes brasileños con riesgo de crédito y de tipos locales [32]. Su ROIC sobre el capital operativo (83 %) no tiene par en el grupo porque los fondos de comerciantes financian el circulante. El PER mediano da 12,44 USD por acción, un 15 % por debajo del precio: es la lectura más severa y pesa un 20 %. El EV/EBITDA de los próximos 12 meses no es comparable entre proveedores, por lo que la síntesis usa el PER.</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Worldpay (Vantiv)</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43.000 M USD con deuda; prima del 14 % sobre el cierre previo; la nota no da el múltiplo [38].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Nexi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7.800 M EUR (≈ 9.200 M USD a 1,18) y ~20x el EBITDA 2020e según Nexi; pico de valoraciones [36].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Nuvei</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Advent International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Exclusión de bolsa a 34 USD por acción, prima del 56 % sobre el cierre no afectado del 15-mar-2024; procesador de pagos con fuerte presencia en Latinoamérica; la nota no da múltiplo [37].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Worldpay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Global Payments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neto de 22.700 M USD; ~8,5x el EBITDA ajustado 2025e con sinergias [35].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Issuer Solutions (de Global Payments)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13.500 M USD, ~12,3x el EBITDA ajustado 2025e; procesamiento para emisores, menos comparable [35].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12,3x (10,4x – 16,2x)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10,80 – 16,06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operaciones del sector se han pagado a 8,5-20 veces el EBITDA: 20x por Nets (Nexi, 2020, en el pico), 12,3x por Issuer Solutions y 8,5x por Worldpay (2025) [35, 36]. Nuvei, el comparable más cercano por su exposición a Latinoamérica, se excluyó de bolsa en 2024 con una prima del 56 % y sin múltiplo publicado [37]. La mediana da 12,54 USD por acción. No la ponderamos: la clase B (fundadores y General Atlantic) tiene el 79,55 % del voto y no hay indicio de venta, y las operaciones son de negocios maduros de países desarrollados [1].</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fija en el +46 % (1.597 M): 735,5 M en el 1S26 (+55 %) y un 2S26 que crece un 40 % sobre un 2S25 ya alto, coherente con la guía de volumen (+60-70 %) y de margen bruto (+25-30 %) y con los 1.595 M del consenso [5, 30]. Para 2027e (+25 %) y 2028e (+18 %) quedamos por debajo del consenso (+30 % y +22 %): el volumen se frena desde ritmos del +80-90 % y la comisión sigue bajando. Después el crecimiento baja del 14 % (2029e) al 4 % (2035e). Es mucho menos que el +45,5 % anual de 2021-2025, pero el mercado de pagos digitales de sus países crece en torno al 15 % anual hasta 2030 (de 2,1 a 4,2 billones de USD) [9].</w:t>
      </w:r>
    </w:p>
    <w:p>
      <w:pPr>
        <w:keepNext/>
        <w:spacing w:after="100"/>
      </w:pPr>
      <w:r>
        <w:rPr>
          <w:b/>
          <w:bCs/>
        </w:rPr>
        <w:t xml:space="preserve">Márgenes.</w:t>
      </w:r>
    </w:p>
    <w:p>
      <w:pPr>
        <w:spacing w:after="100"/>
      </w:pPr>
      <w:r>
        <w:t xml:space="preserve">El margen EBITDA de 2026e (20,0 %) sale de la guía de beneficio operativo (280-291 M) más 35 M de amortizaciones; el LTM está en el 19,6 % y el 1S26 en el 18,0 % [5, 6]. Lo subimos al 20,5 % en 2027e y al 21 % desde 2028e, por debajo del 22,5 % de 2025 y del 31-36 % de 2021-2022, cuando la comisión era el doble. La palanca es el apalancamiento operativo (plantilla estable, más del 60 % del código escrito con IA) frente a la comisión, que cae entre un 10 % y un 20 % al año [14]. El consenso ajustado de 2028e (≈ 20,6 % tras quitar la remuneración en acciones) queda cerca [30].</w:t>
      </w:r>
    </w:p>
    <w:p>
      <w:pPr>
        <w:keepNext/>
        <w:spacing w:after="100"/>
      </w:pPr>
      <w:r>
        <w:rPr>
          <w:b/>
          <w:bCs/>
        </w:rPr>
        <w:t xml:space="preserve">Inversión y circulante.</w:t>
      </w:r>
    </w:p>
    <w:p>
      <w:pPr>
        <w:spacing w:after="100"/>
      </w:pPr>
      <w:r>
        <w:t xml:space="preserve">dLocal apenas necesita capital: el capex (sobre todo desarrollo de software capitalizado) fue del 3,4 % de las ventas en 2025 y del 2,8-3,0 % en 2023-2024 [1]; proyectamos del 3,2 % al 2,6 %, siempre por encima de la amortización (2,2-2,5 %). El circulante comercial propio, una vez quitados los fondos de comerciantes, es pequeño (≈ 1 % de las ventas) [6]. El tipo impositivo sube del 17 % en 2026e (14 % en 2025) al 19 % en 2027e y al 20 % desde 2028e por el impuesto mínimo global del Pilar 2, que la dirección anunció para 2027 [1, 14].</w:t>
      </w:r>
    </w:p>
    <w:p>
      <w:pPr>
        <w:keepNext/>
        <w:spacing w:after="100"/>
      </w:pPr>
      <w:r>
        <w:rPr>
          <w:b/>
          <w:bCs/>
        </w:rPr>
        <w:t xml:space="preserve">Coste del capital.</w:t>
      </w:r>
    </w:p>
    <w:p>
      <w:pPr>
        <w:spacing w:after="100"/>
      </w:pPr>
      <w:r>
        <w:t xml:space="preserve">Tasa libre: bono de EE. UU. a 10 años al 5,09 % (16-oct-2026) [33]; los flujos están en dólares. Beta de 1,30, entre la de la acción (0,94 mensual a cinco años, 1,54 semanal a dos años) y la mediana de los comparables (≈ 1,4) [29, 32]. Prima de mercado del 5,5 % y prima adicional del 2,5 % por riesgo país: el 79 % de los ingresos viene de países con prima de Damodaran entre el 2 % (México) y más del 7 % (Argentina, Egipto, Nigeria); la media ponderada por ingresos ronda el 4 % y aplicamos algo más de la mitad porque la beta ya recoge parte [1]. Deuda casi nula (1,5 % del valor, líneas a corto para adelantar pagos al 6 %). Resultado: WACC del 14,59 %.</w:t>
      </w:r>
    </w:p>
    <w:p>
      <w:pPr>
        <w:keepNext/>
        <w:spacing w:after="100"/>
      </w:pPr>
      <w:r>
        <w:rPr>
          <w:b/>
          <w:bCs/>
        </w:rPr>
        <w:t xml:space="preserve">Valor terminal.</w:t>
      </w:r>
    </w:p>
    <w:p>
      <w:pPr>
        <w:spacing w:after="100"/>
      </w:pPr>
      <w:r>
        <w:t xml:space="preserve">Crecimiento a perpetuidad del 3,0 %: por debajo de la inflación más el crecimiento real de los pagos digitales en emergentes y de la tasa libre menos medio punto (4,6 %). Con un WACC del 14,59 %, Gordon implica unas 6 veces el EBITDA de salida, muy por debajo de los comparables (8-20x) y de las transacciones (mediana 12,3x): el terminal es prudente y pesa solo el 41 % del valor empresa. Si dLocal llega a 2035 como un líder de pagos con bajo riesgo, el WACC terminal sería menor y el valor mucho mayor; no lo suponemos.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15,6 %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16,66</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M (3 %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 (reinvierte el 19 %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47,9 % (histórico: 69,9 %)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 frente al 14,5 %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 (hoy: 2,4 %)</w:t>
            </w:r>
          </w:p>
        </w:tc>
      </w:tr>
    </w:tbl>
    <w:p>
      <w:pPr>
        <w:spacing w:after="160" w:before="0"/>
      </w:pPr>
    </w:p>
    <w:p>
      <w:pPr>
        <w:spacing w:after="100"/>
      </w:pPr>
      <w:r>
        <w:t xml:space="preserve">La proyección apenas necesita inversión neta de la amortización (reinversión acumulada de 119 M, el 3 % del NOPAT, con un capex bruto medio del 2,8 % de las ventas). En un negocio de activos ligeros, el crecimiento medio del 14,5 % tiene que salir de subir precios y de ganar volumen sin capital nuevo, y la prueba es el poder de precios y la cuota (3,1 % del mercado en 2030e, frente al 2,4 %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guía de +60-70 % (1S26 +83 %, 2T26 +92 %), con los grandes comerciantes de VTC, comercio electrónico y remesas en Brasil, México y Argentina [5]. Precio: el margen bruto crece un 25-30 % con un volumen del 60-70 %, y los ingresos sobre volumen bajan de ≈ 2,7 % a ≈ 2,3 % por mezcla local-a-local (61 % en el 2T26) y tramos de precio [5,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+40 % con la base de comerciantes actual (retención neta del 145 % en 2025) y nuevas licencias en África y Asia [1, 6]. Precio: la dirección dice que la caída de la comisión es «asintótica»; suponemos −15 %, algo menos que en 2026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+28 %, todavía por encima del crecimiento del mercado (≈ 15 %), lo que supone seguir ganando cuota [9]. Precio: −10 % por la renegociación de los grandes comerciantes (dos superan el 10 % de los ingresos)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+22 %, con la cuota del TAM subiendo del 2,4 % al ≈ 3,5 % del volumen (estimación propia). Precio: −8 %.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+17 % y precio −6 %: el crecimiento converge hacia el del mercado de pagos digitales en emergentes [9].</w:t>
            </w:r>
          </w:p>
        </w:tc>
      </w:tr>
    </w:tbl>
    <w:p>
      <w:pPr>
        <w:spacing w:after="160" w:before="0"/>
      </w:pPr>
    </w:p>
    <w:p>
      <w:pPr>
        <w:spacing w:after="100"/>
      </w:pPr>
      <w:r>
        <w:t xml:space="preserve">Sí. El negocio no necesita capital para crecer (reinversión del 3 % del NOPAT; ROIC del 83 % e incremental del 70 %), así que la prueba es la cuota y el precio. La cuota pasa del 2,4 % al 3,1 % del mercado en 2030e medido en ingresos a la comisión de hoy, 1,3 veces la actual y por debajo del límite de 1,5 veces; dLocal ganó cuota en cada uno de los últimos cinco años (volumen +60 % en 2025 frente a un mercado del ≈ 15 %) [1, 9]. El poder de precios es lo débil: la comisión cae cada año, y por eso el puente de ingresos la resta (−6 a −19 % anual) en vez de suponer que se estabiliza. El crecimiento proyectado (14,5 % anual) queda muy por debajo del histórico (45,5 %).</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12,4 % (base: 11,0 %)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22,5 % (base: 21,0 %)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13,8 % (WACC: 14,6 %)</w:t>
            </w:r>
          </w:p>
        </w:tc>
      </w:tr>
    </w:tbl>
    <w:p>
      <w:pPr>
        <w:spacing w:after="160" w:before="0"/>
      </w:pPr>
    </w:p>
    <w:p>
      <w:pPr>
        <w:spacing w:after="100"/>
      </w:pPr>
      <w:r>
        <w:t xml:space="preserve">El DCF da 13,66 USD por acción, un 6,9 % por debajo del precio, con un WACC del 14,59 % y un valor terminal que pesa solo el 41 %. El DCF inverso dice que el precio de 14,67 USD descuenta un crecimiento de los ingresos del 12,4 % anual en 2027e-2035e (frente a nuestro 11,0 %) o, con nuestro crecimiento, un margen EBITDA del 22,5 % (frente a nuestro 21 % y al 22,5 % de 2025): el precio rinde un 13,8 % anual, casi lo que pedimos. No es exigente frente a la historia de dLocal (+45 % anual en 2021-2025), pero sí frente a una comisión que cae un 15-20 % al año. La valoración depende sobre todo de la tasa de descuento: con la prima implícita del mercado (4,20 %) el WACC baja al 12,9 % y el DCF sube a 15,84 USD (+8 %). La variable de negocio que decide es la comisión: si se estabiliza en 2027, el crecimiento de los ingresos se acerca al del volumen y el valor supera los 19 USD (escenario alcista).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comisión sigue cayendo un 20 % al año sin freno (entra Adyen o Stripe con adquirencia local en México y Brasil, y uno de los dos grandes comerciantes internaliza el cobro, como pasó en Egipto en 2025), y una nueva devaluación en Argentina, Nigeria o Egipto deja otro año como 2024. El margen EBITDA se queda en el 18 % del 1S26 y el volumen crece la mitad de lo esperado.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y el volumen crece un 40 % en 2027 con una comisión que baja más despacio; el apalancamiento operativo lleva el margen EBITDA al 21 %. Los ingresos crecen un 14,5 % anual de media en 2026-2035 y el BPA llega a 1,21 USD en 2028e.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comisión se estabiliza en 2027, como sugiere la dirección, y el volumen sigue creciendo por encima del 40 %: los ingresos crecen cerca del consenso y el margen EBITDA vuelve al 23 %, el nivel de 2024-2025, con más productos (cobros en cuenta, pagos a proveedores, stablecoins) y nuevos países en África y Asia.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14,6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13,82 USD (-5,8 %).</w:t>
      </w:r>
    </w:p>
    <w:p>
      <w:pPr>
        <w:spacing w:after="100"/>
      </w:pPr>
      <w:r>
        <w:t xml:space="preserve">La asimetría con nuestro coste de capital es de 0,78 veces: el alcista gana un 33,2 % (19,54 USD) y el bajista pierde un 42,7 % (8,41 USD), y el valor ponderado (13,82 USD) queda por debajo del precio. El bajista no es teórico: en 2024 las devaluaciones de Egipto y Nigeria y la comisión hundieron el EBITDA un 18 % con ingresos creciendo. Con la prima implícita del mercado la asimetría sube a 1,61 veces. Para quien exija un 14,6 %, el perfil no compensa; para quien acepte el 12,9 % que pide hoy el mercado, sí, por poco.</w:t>
      </w:r>
    </w:p>
    <w:p>
      <w:pPr>
        <w:pStyle w:val="Heading1"/>
      </w:pPr>
      <w:r>
        <w:t xml:space="preserve">22. Suma de partes</w:t>
      </w:r>
    </w:p>
    <w:p>
      <w:pPr>
        <w:pStyle w:val="Confianza"/>
        <w:spacing w:after="100"/>
      </w:pPr>
      <w:r>
        <w:t xml:space="preserve">Confianza: Media</w:t>
      </w:r>
    </w:p>
    <w:p>
      <w:pPr>
        <w:spacing w:after="100"/>
      </w:pPr>
      <w:r>
        <w:t xml:space="preserve">No aplica: dLocal tiene un solo negocio (procesamiento de pagos de cobro y de pago para comerciantes globales), con los mismos clientes, la misma plataforma y la misma comisión en todos sus países; la segmentación es geográfica y los márgenes por país no se publican [1].</w:t>
      </w:r>
    </w:p>
    <w:p>
      <w:pPr>
        <w:spacing w:after="160" w:before="0"/>
      </w:pPr>
    </w:p>
    <w:p>
      <w:pPr>
        <w:pStyle w:val="Heading1"/>
      </w:pPr>
      <w:r>
        <w:t xml:space="preserve">23. Síntesis de valoración</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14,6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13,46 USD (-8,2 % sobre 14,67).</w:t>
      </w:r>
    </w:p>
    <w:p>
      <w:pPr>
        <w:spacing w:after="100"/>
      </w:pPr>
      <w:r>
        <w:t xml:space="preserve">El puente es el balance de 30-jun-2026: deuda financiera de 64,6 M (líneas a corto para adelantar pagos), arrendamientos de 2,7 M y minoritarios de 0,3 M [6]. La decisión clave es la caja: de los ≈ 900 M de caja e inversiones del balance, la mayor parte son fondos de comerciantes en tránsito, que se deben y no son de los accionistas; solo cuentan los 369,1 M de «corporate cash» que publica la empresa más 79,2 M de activos financieros propios (448,3 M) [5, 6]. Coincide con caja − cuentas a pagar a comerciantes + cuentas a cobrar (427,9 M frente a 424,5 M publicados a dic-2025). Acciones: 295,9 M diluidas del 2T26, sin las recompras pendientes (≈ 214 M USD hasta marzo de 2027). Pesos: DCF (50 %) y escenarios (30 %), porque el valor depende de la comisión y del riesgo país; PER de comparables (20 %); transacciones, nada.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(14.4x) × 1.1 (tope: la mediana de 5 años, 24.6x,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+112,8 %</w:t>
            </w:r>
          </w:p>
        </w:tc>
      </w:tr>
    </w:tbl>
    <w:p>
      <w:pPr>
        <w:spacing w:after="160" w:before="0"/>
      </w:pPr>
    </w:p>
    <w:p>
      <w:pPr>
        <w:spacing w:after="100"/>
      </w:pPr>
      <w:r>
        <w:rPr>
          <w:b/>
          <w:bCs/>
        </w:rPr>
        <w:t xml:space="preserve">Objetivo a 12 meses (ponderado):</w:t>
      </w:r>
      <w:r>
        <w:t xml:space="preserve"> 20,30 USD · rentabilidad +39,7 % (base +32,4 %) · señal Mantener.</w:t>
      </w:r>
    </w:p>
    <w:p>
      <w:pPr>
        <w:spacing w:after="100"/>
      </w:pPr>
      <w:r>
        <w:t xml:space="preserve">Para comparar, con la regla v2 (historia al cierre, mismo precio): 12,3x / 14,4x / 18,8x, 26,4 % Mantener; con el tope anterior del base (×1,3, 14-oct mediodía): 64,9 %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2028e (1,21 USD) queda un 4,7 % por debajo del consenso (1,27) y el de 2027e (1,02) un 6 % por debajo (1,08) [30]. La diferencia está en las ventas (2.355 M frente a 2.542 M en 2028e): suponemos que la comisión sigue cayendo un 10 % en 2028; el margen EBITDA es parecido una vez quitada la remuneración en acciones del consenso ajustado. Nuestro precio base (19,24 USD) queda un 2,3 % por encima del objetivo medio de los analistas (18,80), con un múltiplo (15,9x) parecido al que implica ese objetivo sobre el BPA de 2028e del consenso (14,8x).</w:t>
      </w:r>
    </w:p>
    <w:p>
      <w:pPr>
        <w:keepNext/>
        <w:spacing w:after="100"/>
      </w:pPr>
      <w:r>
        <w:rPr>
          <w:b/>
          <w:bCs/>
        </w:rPr>
        <w:t xml:space="preserve">Del valor intrínseco al objetivo a 12 meses.</w:t>
      </w:r>
    </w:p>
    <w:p>
      <w:pPr>
        <w:spacing w:after="100"/>
      </w:pPr>
      <w:r>
        <w:t xml:space="preserve">El objetivo a 12 meses (20,30 USD, +39,7 % con dividendo; base 19,24, +32,4 %) queda un 51 % por encima del valor intrínseco (13,46 USD). La distancia es grande y se explica por dos cosas: el PER que la regla supone dentro de un año (15,9x, a mitad de camino del actual hacia una mediana de 24,6x hecha con solo cuatro años, dos de ellos de crecimientos del 70-80 %) y un WACC del 14,59 % que penaliza el largo plazo. La rentabilidad es frágil: con el PER de hoy (14,4x) y nuestro BPA, el base rendiría un 20 %; con un BPA un 10 % menor, en torno al +26 %. La regla no recomienda comprar porque el valor intrínseco está por debajo del precio. Cerraría la distancia una comisión estable en el 3T26 y el 4T26 o una prima de riesgo país menor.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18-nov-2026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el apalancamiento operativo prometido para el 2S26; la guía de beneficio operativo (280-291 M) exige ≈ 163-174 M en el semestre frente a 116,9 M del 1S26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Febrero-marzo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el Pilar 2 y con el crecimiento del volumen ya frenado; la acción cayó un 14 % con el 3T25 y un 13 % con el 1T26 por la comisión [7, 10]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marzo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hasta 300 M (≈ 214 M pendientes)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5 % del capital al precio actual; apoyo al BPA [6]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ventas de General Atlantic (36,8 M de acciones)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Overhang de ≈ 12,7 % del capital; la venta de agosto fue a 13,60 USD [23]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Renegociación o internalización de uno de los dos grandes comerciantes (más del 10 % de los ingresos cada uno)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 la comisión y del crecimiento; ya ocurrió en Egipto en 2025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la comisión más rápida que el crecimiento del volumen (mezcla local-a-local, tramos de precio de grandes comerciantes, competencia de Adyen y Stripe con adquirencia local)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en el escenario bajista (comisión −20 % anual y margen del 18 %)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bruto absoluto sigue creciendo (+25-30 % en 2026); la dirección dice que sin un gran comerciante de VTC la comisión habría estado casi plana [5, 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creciendo menos del 20 % interanual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los 10 primeros comerciantes son el 61 % de los ingresos y dos superan el 10 % cada uno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a −25 % si uno de los dos internaliza el cobro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neta del 145 % y 98,8 % del volumen de comerciantes con más de dos años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los 10 primeros por encima del 65 % o salida de un gran comerciante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Divisas y controles de capital: devaluaciones y restricciones de repatriación en Argentina, Nigeria y Egipto (en 2024 hundieron el EBITDA un 18 %)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−20 % (un año como 2024)</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en más de 40 países; Argentina pesa el 14,7 % de los ingresos y Egipto el 5,5 % (2025)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Diferencias de cambio y pérdidas por controles en el resultado financiero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Pilar 2 y fiscalidad local (Brasil: reforma tributaria e IOF; Argentina: indagaciones)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a −6 % (tipo del 14 % al 20 %, ya en la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incorporado en el caso base [14]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Tipo efectivo de 2027 por encima del 22 %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clase B con el 79,55 % del voto; ventas de General Atlantic y de fundadores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Prima de riesgo +0,5 puntos ≈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y dividendo del 30 % del FCF ajustado; consejo renovado en dic-2025 [1, 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colocación o 13D/A con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Litigios y cumplimiento (blanqueo, sanciones, datos) en 40 países con controles de cambio; demanda federal de accionistas (Laurenzi)</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de Nueva York desestimada en apelación (abr-2026) [28]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Sanción de un banco central o provisión nueva</w:t>
            </w:r>
          </w:p>
        </w:tc>
      </w:tr>
    </w:tbl>
    <w:p>
      <w:pPr>
        <w:spacing w:after="160" w:before="0"/>
      </w:pPr>
    </w:p>
    <w:p>
      <w:pPr>
        <w:pStyle w:val="Heading2"/>
      </w:pPr>
      <w:r>
        <w:t xml:space="preserve">Pre-mortem</w:t>
      </w:r>
    </w:p>
    <w:p>
      <w:pPr>
        <w:spacing w:after="100"/>
      </w:pPr>
      <w:r>
        <w:t xml:space="preserve">Octubre de 2029: la acción vale 7 USD. La comisión siguió cayendo un 20 % al año: Adyen y Stripe abrieron adquirencia local en México y Brasil, y el mayor comerciante de VTC repartió su volumen entre tres procesadores. El volumen creció, pero los ingresos solo un 10 % y el margen bruto se estancó. Argentina volvió a devaluar en 2027 y Egipto restringió otra vez la repatriación; el Pilar 2 subió el tipo al 20 %. El margen EBITDA se quedó en el 17-18 %, el BPA de 2028 en 0,85 USD y el mercado lo pagó como a StoneCo y PagSeguro (8-10x). Lo habrían anticipado el margen bruto sobre volumen por debajo del 0,6 %, el peso de los dos grandes comerciantes y la guía de 2027.</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+3 a +5 % a 3-5 años (estimación propia: ≈ 1 punto de margen EBITDA por productividad, compensado en parte por el riesgo de los pagos con agentes)</w:t>
      </w:r>
    </w:p>
    <w:p>
      <w:pPr>
        <w:spacing w:after="100"/>
      </w:pPr>
      <w:r>
        <w:t xml:space="preserve">La IA ayuda en costes: más del 60 % del código ya lo escribe la IA y la dirección espera mantener la plantilla estable mientras el volumen crece un 60-70 % [14]; también mejora la detección de fraude y la tasa de aprobación. En ingresos es mixta: las empresas de IA son una vertical nueva de comerciantes globales que cobran suscripciones en emergentes (oportunidad), pero los pagos iniciados por agentes y los rieles nuevos (stablecoins, pagos instantáneos tipo Pix) pueden reducir el valor de la capa de procesamiento local y empujar más la comisión. Señal: la plantilla y los gastos operativos sobre el margen bruto en 2027, y el peso de los comerciantes de IA en el volumen.</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Los asuntos ESG que mueven las cifras son de gobierno y cumplimiento, no ambientales: prevención de blanqueo y sanciones en 40 países con controles de cambio (las indagaciones en Argentina desde 2023 son el ejemplo) [1]; protección de datos y ciberseguridad de una plataforma que mueve 70.000 M al año, supervisadas por el comité de producto y tecnología creado en 2025 [1]; e inclusión financiera, que es parte del negocio (pagos a conductores y vendedores con monederos locales) [1].</w:t>
      </w:r>
    </w:p>
    <w:p>
      <w:pPr>
        <w:pStyle w:val="Heading2"/>
      </w:pPr>
      <w:r>
        <w:t xml:space="preserve">Controversias</w:t>
      </w:r>
    </w:p>
    <w:p>
      <w:pPr>
        <w:spacing w:after="100"/>
      </w:pPr>
      <w:r>
        <w:t xml:space="preserve">Informe bajista de Muddy Waters (noviembre de 2022) y demandas colectivas por la salida a bolsa: la de Nueva York se desestimó en primera instancia (marzo de 2025) y en apelación por unanimidad (abril de 2026); sigue la federal (Laurenzi) sin provisión [1]. Indagaciones administrativas y judiciales en Argentina sobre cambios e impuestos, sin sanción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fue el margen bruto sobre volumen del 3T26 sin el gran comerciante de VTC local-a-local, y en qué nivel esperan que se estabilice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decide el valor: el bajista (−20 % anual) vale 8,41 USD y el alcista (estable desde 2027) 19,54.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tienen hoy los dos comerciantes que superan el 10 % de los ingresos y cuándo vencen sus contratos?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10 primeros son el 61 % de los ingresos; una renegociación mueve el valor un 15-25 %.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 operativo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llegan a 280-291 M de beneficio operativo en 2026 con 116,9 M en el 1S26?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Exige un 2S26 un 40-50 % mejor que el 1S26; el 1T26 y el 2T26 quedaron por debajo del consenso.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saldo de caja tienen atrapado en Argentina, Nigeria y Egipto y qué coste tuvo la repatriación en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2024 las devaluaciones hundieron el EBITDA un 18 %; la caja propia del puente supone que es libre.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Fiscalidad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será el tipo efectivo de 2027 con el Pilar 2?</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Proyectamos el 19-20 %; cada punto vale ≈ 1 % del BPA.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Accionistas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¿Tiene General Atlantic algún compromiso de no venta tras el bloque de agosto?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 quedan 36,8 M de acciones (≈ 12,7 % del capital).</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($DLO)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Mayoría de mensajes alcistas o de corto plazo; tras la caída de septiembre varios ven la acción «en el suelo del rango» y esperan que la recompra la sostenga; alguno pregunta si las elecciones de Brasil la afectan y otro duda de que algo salvo una opa convenza a Wall Street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octubre y septiembre)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dos últimos artículos defienden que la caída de la comisión es efecto de la escala y no rompe la tesis: el margen bruto absoluto sigue creciendo un 25-30 % [43, 44].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julio y agosto)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Tesis de «primeras entradas» del crecimiento y de analistas que se vuelven alcistas tras la entrada en el Russell 2000 y la subida de UBS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Simply Wall St (narrativa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Registra varias subidas de objetivos de analistas en 2026 y una narrativa de crecimiento por digitalización de pagos en emergentes [45].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la comisión (take rate)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dan la razón a los preocupados en el margen por operación (0,72 % en el 2T26 frente a 1,07 % un año antes) y a los optimistas en el absoluto (margen bruto +29 %) [5].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y precio bajo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86,1 M recomprados en el 1S26 a 12,49 USD de media y quedan ≈ 214 M del programa hasta marzo de 2027 [6].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General Atlantic y de fundadores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General Atlantic vendió 9,8 M de acciones en agosto y le quedan 36,8 M; Kanovich vendió 1,1 M con un plan 10b5-1 [23].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Elecciones y política en Brasil y Argentina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cita la incertidumbre electoral y el tipo de cambio argentino como riesgos de su guía [8].</w:t>
            </w:r>
          </w:p>
        </w:tc>
      </w:tr>
    </w:tbl>
    <w:p>
      <w:pPr>
        <w:spacing w:after="160" w:before="0"/>
      </w:pPr>
    </w:p>
    <w:p>
      <w:pPr>
        <w:spacing w:after="100"/>
      </w:pPr>
      <w:r>
        <w:t xml:space="preserve">El sentimiento de los particulares es positivo y algo más optimista que hace seis meses, en línea con los analistas (9 de 10 en compra). La discusión gira en torno a la comisión: los foros la tratan como efecto de escala, y los datos dicen que el margen bruto absoluto sigue creciendo pero cada vez menos que el volumen. Nadie habla de la concentración en dos grandes comerciantes ni del Pilar 2 fiscal de 2027, dos riesgos que el informe sí recoge. No hay euforia ni capitulación: la acción sigue un 76 % por debajo del máximo de 2021.</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20 controles correctos. Fuentes: 45 (26 primarias); citas distintas en el texto: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3,1 % en 2030e frente al 2,4 %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1,0 % frente a 0,9 % real: genera una variación de circulante de 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45 fuentes (26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 11, 12, 13.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crecimiento del 3T24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prensa del 3T25 (solo comparativos de ingresos y BPA); 2) nota del 4T24; 3) restar del año requiere el 3T23, no descargado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previo de los trimestres de 2024-2025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(no lo dan); 2) Seeking Alpha y Earnings Whispers solo para 2026; 3) Nasdaq/Zacks solo 2T26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 histórico y cuota de los cinco primeros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y presentación (solo TAM 2025 y 2030); 2) búsqueda de estudios de Statista y PCMI (de pago); 3) McKinsey solo da ingresos globales del sector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(no las cita); 2) web de inversores (sin informe ESG reciente); 3) no se gastaron búsquedas en Sustainalytics/MSCI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Retribución individual del consejero delegado y votos de la junta sobre retribución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Item 6B (solo el total agregado: no se publica por persona en Caimán); 2) resultados de la junta de 2025 (6-K, sin voto de retribución); 3) 20-F 2024 (mismo criterio)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Nasdaq short interest (requiere sesión); 2) Stock Analysis (no lo muestra en la página de previsiones); 3) no se gastaron más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 y EV/EBITDA de los próximos 12 meses históricos de proveedor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(sin serie histórica gratuita); 2) Stock Analysis (de pago); 3) calculados por el motor con el BPA real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20-F 2025 (cuentas consolidadas auditadas NIIF 2025-2023 con notas 5, 6, 13, 14, 16, 21, 22, 25-28 y 32; Item 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DLocal Limited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https://www.sec.gov/Archives/edgar/data/1846832/000207097926000113/dlo-20251231.htm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20-F 2023 (cuentas 2023-2021: ingresos por región, clientes y proveedores, concentración)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DLocal Limited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https://www.sec.gov/Archives/edgar/data/1846832/000095017024033510/dlo-20231231.htm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2022 (cuentas 2022-2020: ingresos por región, deuda, salida a bolsa)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DLocal Limited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https://www.sec.gov/Archives/edgar/data/1846832/000095017023011942/dlo-20221231.htm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XBRL de los 20-F (companyfacts): cuenta, balance y flujos 2019-2025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https://data.sec.gov/api/xbrl/companyfacts/CIK0001846832.json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dLocal Reports Second Quarter 2026 Financial Results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DLocal Limited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https://www.sec.gov/Archives/edgar/data/1846832/000184683226000031/ex_991-dlocalxearningsxres.htm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Unaudited Consolidated Condensed Interim Financial Statements at June 30, 2026 (6-K, notas 5, 14, 17, 18 y 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DLocal Limited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https://www.sec.gov/Archives/edgar/data/1846832/000184683226000031/dlo-20260630.htm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dLocal Reports First Quarter 2026 Financial Results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DLocal Limited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https://www.sec.gov/Archives/edgar/data/1846832/000184683226000019/ex_991-dlocalearningsresul.htm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dLocal Reports 2025 Fourth Quarter Financial Results y guía 2026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DLocal Limited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https://www.sec.gov/Archives/edgar/data/1846832/000207097926000110/a991dlocal4q25_earningsres.htm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4Q25 Earnings Release y presentación (6-K, anexos 99.2 y 99.3): TPV por producto y flujo, ingresos y margen bruto por país, NRR, TAM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DLocal Limited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https://www.sec.gov/Archives/edgar/data/1846832/000207097926000110/a993dlocal_4q25xearnings.htm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dLocal Reports Third Quarter 2025 Financial Results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DLocal Limited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https://www.sec.gov/Archives/edgar/data/1846832/000119312525277539/dlo-ex99_1.htm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dLocal Reports Second Quarter 2025 Financial Results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DLocal Limited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https://www.sec.gov/Archives/edgar/data/1846832/000095017025108015/dlo-ex99_1.htm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dLocal Reports First Quarter 2025 Financial Results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DLocal Limited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https://www.sec.gov/Archives/edgar/data/1846832/000095017025071516/dlo-ex99_1.htm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dLocal Reports 2024 Fourth Quarter Financial Results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DLocal Limited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https://www.sec.gov/Archives/edgar/data/1846832/000095017025029045/dlo-ex99_1.htm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DLocal (DLO) Q2 2026 earnings call transcript (resumen de la conferencia del 13-ago-2026)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Whispers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https://earningswhispers.com/transcript/DLO/Q22026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DLocal Limited Declares Dividend Distribution (6-K, anexo 99.4)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DLocal Limited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https://www.sec.gov/Archives/edgar/data/1846832/000207097926000110/a994exdividendsannoucement2.htm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dLocal posts mixed Q2 results with earnings miss, while revenue and payment volume beat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(noticias)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https://seekingalpha.com/news/4632769-dlocal-posts-mixed-q2-results-with-earnings-miss-while-revenue-and-payment-volume-beat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Remittances nearly double in a decade: migrants send home US$729 billion in 2025 (informe Sending Money Home 2026 del FIDA)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Gleaner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https://jamaica-gleaner.com/article/news/20260916/remittances-nearly-double-decade-migrants-send-home-us729-billion-2025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Remittance flows to low-middle-income countries moderated in 2023, reaching $656 billion: World Bank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https://www.wam.ae/en/article/b3uyx4u-remittance-flows-low-middle-income-countries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2025 McKinsey Global Payments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McKinsey &amp; Company (copia de finews.asia)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https://www.finews.asia/images/download/McKinsey_The_2025_Global_Payments_Report_DRAFT_EMBARGOv2914040.pdf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Yahoo Finance de Adyen, PayPal, Payoneer, Flywire, Remitly y Wise (ingresos y margen operativo de los últimos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https://finance.yahoo.com/quote/DLO/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informe value del 12-oct-2026 (cuenta 2025 de las cuentas anuales de Adyen)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propio (informes/adyen-2026-10-12)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https://www.adyen.com/investor-relations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DLocal Limited Announces Pricing of Secondary Offering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DLocal Limited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https://www.sec.gov/Archives/edgar/data/1846832/000095010325011217/dp233930_ex9901.htm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de General Atlantic (venta de 9.842.559 acciones el 17-ago-2026)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https://www.sec.gov/Archives/edgar/data/1846832/000095014226002390/xslSCHEDULE_13D_X02/primary_doc.xml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Alberto Eduardo Azar y Aqua Crystal Investments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https://www.sec.gov/Archives/edgar/data/1846832/000095010326006779/xslSCHEDULE_13G_X02/primary_doc.xml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(oct-2025 a oct-2026), extraídos con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https://www.sec.gov/cgi-bin/browse-edgar?action=getcompany&amp;CIK=0001846832&amp;type=4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dLocal announces Board transition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DLocal Limited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https://www.sec.gov/Archives/edgar/data/1846832/000095010325016463/dp239080_ex9901.htm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Annual General Meeting 2025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DLocal Limited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https://www.sec.gov/Archives/edgar/data/1846832/000119312525319349/dlo-ex99_1.htm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Appellate Division affirms dismissal of New York State Action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DLocal Limited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https://www.sec.gov/Archives/edgar/data/1846832/000184683226000004/a991exdismissalofsecuritie.htm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DLO, SPY e IPAY (herramientas/bolsa.mjs y movimiento.mjs): precio, rango, rentabilidades, beta, volatilidad, caída máxima y cierres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https://finance.yahoo.com/quote/DLO/history/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DLocal Limited: finances (estimaciones 2026-2028, deuda neta, FCF,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https://www.marketscreener.com/quote/stock/DLOCAL-LIMITED-123219061/finances/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dLocal (DLO) stock forecast &amp; price target (consenso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https://stockanalysis.com/stocks/dlo/forecast/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Yahoo Finance (quoteSummary: precio, capitalización, valor empresa, márgenes, estimaciones de BPA e ingresos) de Adyen, PayPal, Shift4, Flywire, Payoneer, StoneCo, PagSeguro, Wise, Remitly y Global Payments; tipos EURUSD, GBPUSD y BRLUSD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https://finance.yahoo.com/quote/PYPL/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5,09 % el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 con payout sostenible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to divest Issuer Solutions to FIS and acquire Worldpay (8-K anexos 99.1 y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https://www.sec.gov/Archives/edgar/data/1123360/000110465925035771/tm2512552d1_ex99-1.htm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e Nets: comunicato stampa sulla fusione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https://emarketstorage.it/sites/default/files/comunicati/2022-05/20201115_87109.pdf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Nuvei enters into agreement to be taken private by Advent International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Nuvei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https://www.sec.gov/Archives/edgar/data/1765159/000095010324004743/dp209291_ex9901.htm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 and Worldpay to Combine (8-K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Worldpay,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https://www.sec.gov/Archives/edgar/data/1533932/000119312519077546/d720414dex992.htm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DLocal (DLO) Q2 2026 earnings: EPS 0,18 frente a 0,20 de consenso; próximos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Whispers / 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https://www.investing.com/equities/dlocal-earnings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recomendaciones de analistas de DLO (UBS a Comprar, objetivo 20 USD, 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https://www.investing.com/equities/dlocal-consensus-estimates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dLocal is set to join the small-cap Russell 2000 index (noticia en el canal RSS de DLO)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https://seekingalpha.com/api/sa/combined/DLO.xml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$DLO (30 mensajes del 22-sep al 18-oct-2026)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https://api.stocktwits.com/api/2/streams/symbol/DLO.json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DLocal: Margin Compression Is A Feature Of Scale, Not A Defect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(autor independiente)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https://seekingalpha.com/article/4952467-dlocal-margin-compression-is-a-feature-of-scale-not-a-defect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dLocal: Why Lower Take Rates Do Not Break The Thesis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(autor independiente)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https://seekingalpha.com/article/4948781-dlocal-why-lower-take-rates-do-not-break-thesis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narrativa de la comunidad sobre dLocal y revisiones de objetivos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https://simplywall.st/community/narratives/us/diversified-financials/nasdaq-dlo/dlocal/a40l8khc-confidence-will-strengthen-as-digital-payment-momentum-grows-in-emerging-markets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88,6 %</w:t>
      </w:r>
      <w:r>
        <w:t xml:space="preserve"> · Secciones con menos del 60 % de campos cubiertos: </w:t>
      </w:r>
      <w:r>
        <w:rPr>
          <w:b/>
          <w:bCs/>
        </w:rPr>
        <w:t xml:space="preserve">gobierno, rentabilidad</w:t>
      </w:r>
      <w:r>
        <w:t xml:space="preserve"> · Generado el 19 oct 2026.</w:t>
      </w:r>
    </w:p>
    <w:p>
      <w:pPr>
        <w:pStyle w:val="Nota"/>
        <w:spacing w:after="100"/>
      </w:pPr>
      <w:r>
        <w:t xml:space="preserve">Análisis completo desde cero con corte el 19-oct-2026 y precio de cierre del viernes 16-oct-2026 (14,67 USD, Nasdaq). Cuentas: 20-F de 2025 (XBRL de la SEC con cuentas.mjs, 2019-2025) y estados intermedios no auditados del 2T26 (6-K del 13-ago-2026); el LTM es a 30-jun-2026. El 3T26 se publica hacia el 18-nov-2026 (fecha estimada por el calendario de 2025). Criterio de flotante (procesador de pagos, como Adyen): el balance se presenta limpio de los fondos de comerciantes (cuentas a pagar a comerciantes fuera del activo y del pasivo, y el flujo operativo sin la variación neta de esos saldos); la caja del puente es la «corporate cash» que publica la empresa (369,1 M) más los activos financieros propios (79,2 M), no los 600-900 M de caja en balance que pertenecen a comerciantes. dLocal presenta la cuenta por función (coste de ventas = comisiones de procesamiento y costes de red) y dejó de publicar el EBITDA ajustado en 2026; el consenso de EBITDA de MarketScreener es ajustado (excluye la remuneración en acciones, ≈ 2,6 % de las ventas). No hay transcripción completa del 1T26 (solo la nota de prensa y la prensa). Los comparables se tomaron de Yahoo Finance el 19-oct-2026 con sus múltiplos de los próximos 12 meses; Adyen en euros convertido.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DLocal Limited (DLO)</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14,67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(10,64 – 16,15)</c:v>
                </c:pt>
                <c:pt idx="1">
                  <c:v>Precio objetivo de los analistas (15,00 – 21,00)</c:v>
                </c:pt>
                <c:pt idx="2">
                  <c:v>Comparables: PER NTM (6,35 – 16,63)</c:v>
                </c:pt>
                <c:pt idx="3">
                  <c:v>Transacciones precedentes (EV/EBITDA) (10,80 – 16,06)</c:v>
                </c:pt>
                <c:pt idx="4">
                  <c:v>DCF (WACC y g ± 0,5) (12,91 – 14,53)</c:v>
                </c:pt>
                <c:pt idx="5">
                  <c:v>Escenarios (bajista – alcista) (8,41 – 19,54)</c:v>
                </c:pt>
                <c:pt idx="6">
                  <c:v>DCF con la prima implícita del mercado (4,2 %)</c:v>
                </c:pt>
                <c:pt idx="7">
                  <c:v>Precio actual (14,67)</c:v>
                </c:pt>
              </c:strCache>
            </c:strRef>
          </c:cat>
          <c:val>
            <c:numRef>
              <c:f>Hoja1!$B$2:$B$9</c:f>
              <c:numCache>
                <c:formatCode>#,##0.0</c:formatCode>
                <c:ptCount val="8"/>
                <c:pt idx="0">
                  <c:v>10.64</c:v>
                </c:pt>
                <c:pt idx="1">
                  <c:v>15</c:v>
                </c:pt>
                <c:pt idx="2">
                  <c:v>6.35</c:v>
                </c:pt>
                <c:pt idx="3">
                  <c:v>10.8</c:v>
                </c:pt>
                <c:pt idx="4">
                  <c:v>12.91</c:v>
                </c:pt>
                <c:pt idx="5">
                  <c:v>8.41</c:v>
                </c:pt>
                <c:pt idx="6">
                  <c:v>15.11</c:v>
                </c:pt>
                <c:pt idx="7">
                  <c:v>14.6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(10,64 – 16,15)</c:v>
                </c:pt>
                <c:pt idx="1">
                  <c:v>Precio objetivo de los analistas (15,00 – 21,00)</c:v>
                </c:pt>
                <c:pt idx="2">
                  <c:v>Comparables: PER NTM (6,35 – 16,63)</c:v>
                </c:pt>
                <c:pt idx="3">
                  <c:v>Transacciones precedentes (EV/EBITDA) (10,80 – 16,06)</c:v>
                </c:pt>
                <c:pt idx="4">
                  <c:v>DCF (WACC y g ± 0,5) (12,91 – 14,53)</c:v>
                </c:pt>
                <c:pt idx="5">
                  <c:v>Escenarios (bajista – alcista) (8,41 – 19,54)</c:v>
                </c:pt>
                <c:pt idx="6">
                  <c:v>DCF con la prima implícita del mercado (4,2 %)</c:v>
                </c:pt>
                <c:pt idx="7">
                  <c:v>Precio actual (14,67)</c:v>
                </c:pt>
              </c:strCache>
            </c:strRef>
          </c:cat>
          <c:val>
            <c:numRef>
              <c:f>Hoja1!$C$2:$C$9</c:f>
              <c:numCache>
                <c:formatCode>#,##0.0</c:formatCode>
                <c:ptCount val="8"/>
                <c:pt idx="0">
                  <c:v>5.509999999999998</c:v>
                </c:pt>
                <c:pt idx="1">
                  <c:v>6</c:v>
                </c:pt>
                <c:pt idx="2">
                  <c:v>10.28</c:v>
                </c:pt>
                <c:pt idx="3">
                  <c:v>5.259999999999998</c:v>
                </c:pt>
                <c:pt idx="4">
                  <c:v>1.6199999999999992</c:v>
                </c:pt>
                <c:pt idx="5">
                  <c:v>11.129999999999999</c:v>
                </c:pt>
                <c:pt idx="6">
                  <c:v>1.5399999999999991</c:v>
                </c:pt>
                <c:pt idx="7">
                  <c:v>0.14000000000000057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Brasil</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59.7</c:v>
                </c:pt>
                <c:pt idx="1">
                  <c:v>84</c:v>
                </c:pt>
                <c:pt idx="2">
                  <c:v>159</c:v>
                </c:pt>
                <c:pt idx="3">
                  <c:v>152</c:v>
                </c:pt>
                <c:pt idx="4">
                  <c:v>207.2</c:v>
                </c:pt>
              </c:numCache>
            </c:numRef>
          </c:val>
        </c:ser>
        <c:ser>
          <c:idx val="1"/>
          <c:order val="1"/>
          <c:tx>
            <c:strRef>
              <c:f>Hoja1!$C$1</c:f>
              <c:strCache>
                <c:ptCount val="1"/>
                <c:pt idx="0">
                  <c:v>Argentina</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50.2</c:v>
                </c:pt>
                <c:pt idx="1">
                  <c:v>77.6</c:v>
                </c:pt>
                <c:pt idx="2">
                  <c:v>75.1</c:v>
                </c:pt>
                <c:pt idx="3">
                  <c:v>85.5</c:v>
                </c:pt>
                <c:pt idx="4">
                  <c:v>161.1</c:v>
                </c:pt>
              </c:numCache>
            </c:numRef>
          </c:val>
        </c:ser>
        <c:ser>
          <c:idx val="2"/>
          <c:order val="2"/>
          <c:tx>
            <c:strRef>
              <c:f>Hoja1!$D$1</c:f>
              <c:strCache>
                <c:ptCount val="1"/>
                <c:pt idx="0">
                  <c:v>México</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33.4</c:v>
                </c:pt>
                <c:pt idx="1">
                  <c:v>68</c:v>
                </c:pt>
                <c:pt idx="2">
                  <c:v>116.8</c:v>
                </c:pt>
                <c:pt idx="3">
                  <c:v>149.2</c:v>
                </c:pt>
                <c:pt idx="4">
                  <c:v>183</c:v>
                </c:pt>
              </c:numCache>
            </c:numRef>
          </c:val>
        </c:ser>
        <c:ser>
          <c:idx val="3"/>
          <c:order val="3"/>
          <c:tx>
            <c:strRef>
              <c:f>Hoja1!$E$1</c:f>
              <c:strCache>
                <c:ptCount val="1"/>
                <c:pt idx="0">
                  <c:v>Resto de Latinoamérica</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80.4</c:v>
                </c:pt>
                <c:pt idx="1">
                  <c:v>115.8</c:v>
                </c:pt>
                <c:pt idx="2">
                  <c:v>141.7</c:v>
                </c:pt>
                <c:pt idx="3">
                  <c:v>175.5</c:v>
                </c:pt>
                <c:pt idx="4">
                  <c:v>322.8</c:v>
                </c:pt>
              </c:numCache>
            </c:numRef>
          </c:val>
        </c:ser>
        <c:ser>
          <c:idx val="4"/>
          <c:order val="4"/>
          <c:tx>
            <c:strRef>
              <c:f>Hoja1!$F$1</c:f>
              <c:strCache>
                <c:ptCount val="1"/>
                <c:pt idx="0">
                  <c:v>África y Asia</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20.5</c:v>
                </c:pt>
                <c:pt idx="1">
                  <c:v>73.6</c:v>
                </c:pt>
                <c:pt idx="2">
                  <c:v>157.7</c:v>
                </c:pt>
                <c:pt idx="3">
                  <c:v>183.8</c:v>
                </c:pt>
                <c:pt idx="4">
                  <c:v>219.4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Brasil</c:v>
                </c:pt>
                <c:pt idx="1">
                  <c:v>Argentina</c:v>
                </c:pt>
                <c:pt idx="2">
                  <c:v>México</c:v>
                </c:pt>
                <c:pt idx="3">
                  <c:v>Resto de Latinoamérica</c:v>
                </c:pt>
                <c:pt idx="4">
                  <c:v>África y Asia</c:v>
                </c:pt>
              </c:strCache>
            </c:strRef>
          </c:cat>
          <c:val>
            <c:numRef>
              <c:f>Hoja1!$B$2:$B$6</c:f>
              <c:numCache>
                <c:formatCode>General</c:formatCode>
                <c:ptCount val="5"/>
                <c:pt idx="0">
                  <c:v>18.9</c:v>
                </c:pt>
                <c:pt idx="1">
                  <c:v>14.7</c:v>
                </c:pt>
                <c:pt idx="2">
                  <c:v>16.7</c:v>
                </c:pt>
                <c:pt idx="3">
                  <c:v>29.5</c:v>
                </c:pt>
                <c:pt idx="4">
                  <c:v>20.1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Brasil</c:v>
                </c:pt>
                <c:pt idx="1">
                  <c:v>México</c:v>
                </c:pt>
                <c:pt idx="2">
                  <c:v>Argentina</c:v>
                </c:pt>
                <c:pt idx="3">
                  <c:v>Resto de Latinoamérica</c:v>
                </c:pt>
                <c:pt idx="4">
                  <c:v>Egipto</c:v>
                </c:pt>
                <c:pt idx="5">
                  <c:v>Resto de África y Asia</c:v>
                </c:pt>
              </c:strCache>
            </c:strRef>
          </c:cat>
          <c:val>
            <c:numRef>
              <c:f>Hoja1!$B$2:$B$7</c:f>
              <c:numCache>
                <c:formatCode>0"%"</c:formatCode>
                <c:ptCount val="6"/>
                <c:pt idx="0">
                  <c:v>18.9</c:v>
                </c:pt>
                <c:pt idx="1">
                  <c:v>16.7</c:v>
                </c:pt>
                <c:pt idx="2">
                  <c:v>14.7</c:v>
                </c:pt>
                <c:pt idx="3">
                  <c:v>29.5</c:v>
                </c:pt>
                <c:pt idx="4">
                  <c:v>5.5</c:v>
                </c:pt>
                <c:pt idx="5">
                  <c:v>14.7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de volumen (estimación propia por interpolación geométrica entre 2025 y 2030e de la cifra de dLocal/Statista))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2100</c:v>
                </c:pt>
                <c:pt idx="1">
                  <c:v>2412</c:v>
                </c:pt>
                <c:pt idx="2">
                  <c:v>2771</c:v>
                </c:pt>
                <c:pt idx="3">
                  <c:v>3183</c:v>
                </c:pt>
                <c:pt idx="4">
                  <c:v>3656</c:v>
                </c:pt>
                <c:pt idx="5">
                  <c:v>4200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5</c:v>
                </c:pt>
                <c:pt idx="2">
                  <c:v>3</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dLocal</c:v>
                </c:pt>
                <c:pt idx="1">
                  <c:v>Adyen</c:v>
                </c:pt>
                <c:pt idx="2">
                  <c:v>PayPal (incluye Braintree)</c:v>
                </c:pt>
                <c:pt idx="3">
                  <c:v>Payoneer</c:v>
                </c:pt>
                <c:pt idx="4">
                  <c:v>Flywire</c:v>
                </c:pt>
                <c:pt idx="5">
                  <c:v>Remitly</c:v>
                </c:pt>
                <c:pt idx="6">
                  <c:v>EBANX</c:v>
                </c:pt>
                <c:pt idx="7">
                  <c:v>Stripe</c:v>
                </c:pt>
              </c:strCache>
            </c:strRef>
          </c:cat>
          <c:val>
            <c:numRef>
              <c:f>Hoja1!$B$2:$B$9</c:f>
              <c:numCache>
                <c:formatCode>0.0"%"</c:formatCode>
                <c:ptCount val="8"/>
                <c:pt idx="0">
                  <c:v>20.2</c:v>
                </c:pt>
                <c:pt idx="1">
                  <c:v>46.9</c:v>
                </c:pt>
                <c:pt idx="2">
                  <c:v>17</c:v>
                </c:pt>
                <c:pt idx="3">
                  <c:v>6.2</c:v>
                </c:pt>
                <c:pt idx="4">
                  <c:v>-1.4</c:v>
                </c:pt>
                <c:pt idx="5">
                  <c:v>14.3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3</c:v>
                </c:pt>
                <c:pt idx="2">
                  <c:v>3</c:v>
                </c:pt>
                <c:pt idx="3">
                  <c:v>2</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244.1</c:v>
                </c:pt>
                <c:pt idx="1">
                  <c:v>418.9</c:v>
                </c:pt>
                <c:pt idx="2">
                  <c:v>650.4</c:v>
                </c:pt>
                <c:pt idx="3">
                  <c:v>746</c:v>
                </c:pt>
                <c:pt idx="4">
                  <c:v>1093.6</c:v>
                </c:pt>
                <c:pt idx="5">
                  <c:v>1597</c:v>
                </c:pt>
                <c:pt idx="6">
                  <c:v>1996</c:v>
                </c:pt>
                <c:pt idx="7">
                  <c:v>2355</c:v>
                </c:pt>
                <c:pt idx="8">
                  <c:v>2685</c:v>
                </c:pt>
                <c:pt idx="9">
                  <c:v>2980</c:v>
                </c:pt>
                <c:pt idx="10">
                  <c:v>3248</c:v>
                </c:pt>
                <c:pt idx="11">
                  <c:v>3476</c:v>
                </c:pt>
                <c:pt idx="12">
                  <c:v>3684</c:v>
                </c:pt>
                <c:pt idx="13">
                  <c:v>3868</c:v>
                </c:pt>
                <c:pt idx="14">
                  <c:v>4023</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88.5</c:v>
                </c:pt>
                <c:pt idx="1">
                  <c:v>136</c:v>
                </c:pt>
                <c:pt idx="2">
                  <c:v>193.6</c:v>
                </c:pt>
                <c:pt idx="3">
                  <c:v>159.29999999999998</c:v>
                </c:pt>
                <c:pt idx="4">
                  <c:v>247.1</c:v>
                </c:pt>
                <c:pt idx="5">
                  <c:v>319</c:v>
                </c:pt>
                <c:pt idx="6">
                  <c:v>409</c:v>
                </c:pt>
                <c:pt idx="7">
                  <c:v>495</c:v>
                </c:pt>
                <c:pt idx="8">
                  <c:v>564</c:v>
                </c:pt>
                <c:pt idx="9">
                  <c:v>626</c:v>
                </c:pt>
                <c:pt idx="10">
                  <c:v>682</c:v>
                </c:pt>
                <c:pt idx="11">
                  <c:v>730</c:v>
                </c:pt>
                <c:pt idx="12">
                  <c:v>774</c:v>
                </c:pt>
                <c:pt idx="13">
                  <c:v>812</c:v>
                </c:pt>
                <c:pt idx="14">
                  <c:v>845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53.4</c:v>
                </c:pt>
                <c:pt idx="1">
                  <c:v>48.2</c:v>
                </c:pt>
                <c:pt idx="2">
                  <c:v>42.6</c:v>
                </c:pt>
                <c:pt idx="3">
                  <c:v>39.5</c:v>
                </c:pt>
                <c:pt idx="4">
                  <c:v>36.8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36.3</c:v>
                </c:pt>
                <c:pt idx="1">
                  <c:v>32.5</c:v>
                </c:pt>
                <c:pt idx="2">
                  <c:v>29.8</c:v>
                </c:pt>
                <c:pt idx="3">
                  <c:v>21.4</c:v>
                </c:pt>
                <c:pt idx="4">
                  <c:v>22.6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34.3</c:v>
                </c:pt>
                <c:pt idx="1">
                  <c:v>30.5</c:v>
                </c:pt>
                <c:pt idx="2">
                  <c:v>27.9</c:v>
                </c:pt>
                <c:pt idx="3">
                  <c:v>19</c:v>
                </c:pt>
                <c:pt idx="4">
                  <c:v>20.2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31.9</c:v>
                </c:pt>
                <c:pt idx="1">
                  <c:v>25.9</c:v>
                </c:pt>
                <c:pt idx="2">
                  <c:v>22.9</c:v>
                </c:pt>
                <c:pt idx="3">
                  <c:v>16.1</c:v>
                </c:pt>
                <c:pt idx="4">
                  <c:v>18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1">
                  <c:v>8.8</c:v>
                </c:pt>
                <c:pt idx="2">
                  <c:v>17.6</c:v>
                </c:pt>
                <c:pt idx="3">
                  <c:v>49.7</c:v>
                </c:pt>
                <c:pt idx="4">
                  <c:v>52</c:v>
                </c:pt>
                <c:pt idx="5">
                  <c:v>65.2</c:v>
                </c:pt>
                <c:pt idx="6">
                  <c:v>54.9</c:v>
                </c:pt>
                <c:pt idx="7">
                  <c:v>55.8</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4">
                  <c:v>63</c:v>
                </c:pt>
                <c:pt idx="5">
                  <c:v>69</c:v>
                </c:pt>
                <c:pt idx="6">
                  <c:v>52</c:v>
                </c:pt>
                <c:pt idx="7">
                  <c:v>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18</c:v>
                </c:pt>
                <c:pt idx="1">
                  <c:v>19</c:v>
                </c:pt>
                <c:pt idx="2">
                  <c:v>25</c:v>
                </c:pt>
                <c:pt idx="3">
                  <c:v>19</c:v>
                </c:pt>
                <c:pt idx="4">
                  <c:v>17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25</c:v>
                </c:pt>
                <c:pt idx="1">
                  <c:v>21</c:v>
                </c:pt>
                <c:pt idx="2">
                  <c:v>29</c:v>
                </c:pt>
                <c:pt idx="3">
                  <c:v>28</c:v>
                </c:pt>
                <c:pt idx="4">
                  <c:v>22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44.00000000000001</c:v>
                </c:pt>
                <c:pt idx="1">
                  <c:v>55.5</c:v>
                </c:pt>
                <c:pt idx="2">
                  <c:v>197.8</c:v>
                </c:pt>
                <c:pt idx="3">
                  <c:v>91.4</c:v>
                </c:pt>
                <c:pt idx="4">
                  <c:v>191.6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77.9</c:v>
                </c:pt>
                <c:pt idx="1">
                  <c:v>108.7</c:v>
                </c:pt>
                <c:pt idx="2">
                  <c:v>149</c:v>
                </c:pt>
                <c:pt idx="3">
                  <c:v>120.4</c:v>
                </c:pt>
                <c:pt idx="4">
                  <c:v>196.8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116.9</c:v>
                </c:pt>
                <c:pt idx="1">
                  <c:v>117</c:v>
                </c:pt>
                <c:pt idx="2">
                  <c:v>98.4</c:v>
                </c:pt>
                <c:pt idx="3">
                  <c:v>56.7</c:v>
                </c:pt>
                <c:pt idx="4">
                  <c:v>83.4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14.6</c:v>
                </c:pt>
                <c:pt idx="1">
                  <c:v>14.6</c:v>
                </c:pt>
                <c:pt idx="2">
                  <c:v>14.6</c:v>
                </c:pt>
                <c:pt idx="3">
                  <c:v>14.6</c:v>
                </c:pt>
                <c:pt idx="4">
                  <c:v>14.6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27.8</c:v>
                </c:pt>
                <c:pt idx="1">
                  <c:v>32</c:v>
                </c:pt>
                <c:pt idx="2">
                  <c:v>34.9</c:v>
                </c:pt>
                <c:pt idx="3">
                  <c:v>25.5</c:v>
                </c:pt>
                <c:pt idx="4">
                  <c:v>37.2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-2.43</c:v>
                </c:pt>
                <c:pt idx="1">
                  <c:v>-1.97</c:v>
                </c:pt>
                <c:pt idx="2">
                  <c:v>-1.44</c:v>
                </c:pt>
                <c:pt idx="3">
                  <c:v>-1.66</c:v>
                </c:pt>
                <c:pt idx="4">
                  <c:v>-1.37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c:v>
                </c:pt>
                <c:pt idx="2">
                  <c:v>2028</c:v>
                </c:pt>
                <c:pt idx="3">
                  <c:v>2029</c:v>
                </c:pt>
              </c:strCache>
            </c:strRef>
          </c:cat>
          <c:val>
            <c:numRef>
              <c:f>Hoja1!$B$2:$B$5</c:f>
              <c:numCache>
                <c:formatCode>#,##0</c:formatCode>
                <c:ptCount val="4"/>
                <c:pt idx="0">
                  <c:v>64.6</c:v>
                </c:pt>
                <c:pt idx="1">
                  <c:v>54.5</c:v>
                </c:pt>
                <c:pt idx="2">
                  <c:v>54.5</c:v>
                </c:pt>
                <c:pt idx="3">
                  <c:v>41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150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2</c:v>
                </c:pt>
                <c:pt idx="2">
                  <c:v>97.9</c:v>
                </c:pt>
                <c:pt idx="3">
                  <c:v>101.1</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Ejecutivo</c:v>
                </c:pt>
                <c:pt idx="2">
                  <c:v>Independiente</c:v>
                </c:pt>
              </c:strCache>
            </c:strRef>
          </c:cat>
          <c:val>
            <c:numRef>
              <c:f>Hoja1!$B$2:$B$4</c:f>
              <c:numCache>
                <c:formatCode>0</c:formatCode>
                <c:ptCount val="3"/>
                <c:pt idx="0">
                  <c:v>3</c:v>
                </c:pt>
                <c:pt idx="1">
                  <c:v>1</c:v>
                </c:pt>
                <c:pt idx="2">
                  <c:v>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Sergio Fogel (clase A y B)</c:v>
                </c:pt>
                <c:pt idx="1">
                  <c:v>Andrés Bzurovski Bay (clase A y B)</c:v>
                </c:pt>
                <c:pt idx="2">
                  <c:v>General Atlantic</c:v>
                </c:pt>
                <c:pt idx="3">
                  <c:v>Alberto Eduardo Azar / Aqua Crystal</c:v>
                </c:pt>
                <c:pt idx="4">
                  <c:v>Emiliano Fernández Balagué</c:v>
                </c:pt>
                <c:pt idx="5">
                  <c:v>Sebastián Kanovich (clase B)</c:v>
                </c:pt>
                <c:pt idx="6">
                  <c:v>Autocartera</c:v>
                </c:pt>
              </c:strCache>
            </c:strRef>
          </c:cat>
          <c:val>
            <c:numRef>
              <c:f>Hoja1!$B$2:$B$8</c:f>
              <c:numCache>
                <c:formatCode>0.0"%"</c:formatCode>
                <c:ptCount val="7"/>
                <c:pt idx="0">
                  <c:v>17.2</c:v>
                </c:pt>
                <c:pt idx="1">
                  <c:v>17</c:v>
                </c:pt>
                <c:pt idx="2">
                  <c:v>12.8</c:v>
                </c:pt>
                <c:pt idx="3">
                  <c:v>6.4</c:v>
                </c:pt>
                <c:pt idx="4">
                  <c:v>4.6</c:v>
                </c:pt>
                <c:pt idx="5">
                  <c:v>4.3</c:v>
                </c:pt>
                <c:pt idx="6">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-56.4</c:v>
                </c:pt>
                <c:pt idx="1">
                  <c:v>13.6</c:v>
                </c:pt>
                <c:pt idx="2">
                  <c:v>-36.3</c:v>
                </c:pt>
                <c:pt idx="3">
                  <c:v>31.7</c:v>
                </c:pt>
              </c:numCache>
            </c:numRef>
          </c:val>
        </c:ser>
        <c:ser>
          <c:idx val="1"/>
          <c:order val="1"/>
          <c:tx>
            <c:strRef>
              <c:f>Hoja1!$C$1</c:f>
              <c:strCache>
                <c:ptCount val="1"/>
                <c:pt idx="0">
                  <c:v>Índice</c:v>
                </c:pt>
              </c:strCache>
            </c:strRef>
          </c:tx>
          <c:spPr>
            <a:solidFill>
              <a:srgbClr val="EB6834"/>
            </a:solidFill>
            <a:ln w="9525">
              <a:no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-18.2</c:v>
                </c:pt>
                <c:pt idx="1">
                  <c:v>26.2</c:v>
                </c:pt>
                <c:pt idx="2">
                  <c:v>24.9</c:v>
                </c:pt>
                <c:pt idx="3">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122.1</c:v>
                </c:pt>
                <c:pt idx="1">
                  <c:v>33.9</c:v>
                </c:pt>
                <c:pt idx="2">
                  <c:v>26.2</c:v>
                </c:pt>
                <c:pt idx="3">
                  <c:v>19.9</c:v>
                </c:pt>
                <c:pt idx="4">
                  <c:v>15.9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23</c:v>
                </c:pt>
                <c:pt idx="1">
                  <c:v>23</c:v>
                </c:pt>
                <c:pt idx="2">
                  <c:v>23</c:v>
                </c:pt>
                <c:pt idx="3">
                  <c:v>23</c:v>
                </c:pt>
                <c:pt idx="4">
                  <c:v>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dLocal</c:v>
                </c:pt>
                <c:pt idx="1">
                  <c:v>Adyen</c:v>
                </c:pt>
                <c:pt idx="2">
                  <c:v>PayPal</c:v>
                </c:pt>
                <c:pt idx="3">
                  <c:v>Shift4 Payments</c:v>
                </c:pt>
                <c:pt idx="4">
                  <c:v>Flywire</c:v>
                </c:pt>
                <c:pt idx="5">
                  <c:v>Payoneer</c:v>
                </c:pt>
                <c:pt idx="6">
                  <c:v>StoneCo</c:v>
                </c:pt>
                <c:pt idx="7">
                  <c:v>PagSeguro</c:v>
                </c:pt>
                <c:pt idx="8">
                  <c:v>Wise</c:v>
                </c:pt>
                <c:pt idx="9">
                  <c:v>Remitly</c:v>
                </c:pt>
                <c:pt idx="10">
                  <c:v>Global Payments</c:v>
                </c:pt>
              </c:strCache>
            </c:strRef>
          </c:cat>
          <c:val>
            <c:numRef>
              <c:f>Hoja1!$B$2:$B$12</c:f>
              <c:numCache>
                <c:formatCode>0.0"x"</c:formatCode>
                <c:ptCount val="11"/>
                <c:pt idx="0">
                  <c:v>10.8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Worldpay (Vantiv)</c:v>
                </c:pt>
                <c:pt idx="1">
                  <c:v>Nets</c:v>
                </c:pt>
                <c:pt idx="2">
                  <c:v>Nuvei</c:v>
                </c:pt>
                <c:pt idx="3">
                  <c:v>Worldpay</c:v>
                </c:pt>
                <c:pt idx="4">
                  <c:v>Issuer Solutions (de Global Payments)</c:v>
                </c:pt>
              </c:strCache>
            </c:strRef>
          </c:cat>
          <c:val>
            <c:numRef>
              <c:f>Hoja1!$B$2:$B$6</c:f>
              <c:numCache>
                <c:formatCode>0.0"x"</c:formatCode>
                <c:ptCount val="5"/>
                <c:pt idx="1">
                  <c:v>20</c:v>
                </c:pt>
                <c:pt idx="3">
                  <c:v>8.5</c:v>
                </c:pt>
                <c:pt idx="4">
                  <c:v>12.3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214</c:v>
                </c:pt>
                <c:pt idx="1">
                  <c:v>276</c:v>
                </c:pt>
                <c:pt idx="2">
                  <c:v>335</c:v>
                </c:pt>
                <c:pt idx="3">
                  <c:v>385</c:v>
                </c:pt>
                <c:pt idx="4">
                  <c:v>432</c:v>
                </c:pt>
                <c:pt idx="5">
                  <c:v>471</c:v>
                </c:pt>
                <c:pt idx="6">
                  <c:v>509</c:v>
                </c:pt>
                <c:pt idx="7">
                  <c:v>539</c:v>
                </c:pt>
                <c:pt idx="8">
                  <c:v>567</c:v>
                </c:pt>
                <c:pt idx="9">
                  <c:v>590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2163</c:v>
                </c:pt>
                <c:pt idx="1">
                  <c:v>1497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14,67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8.41</c:v>
                </c:pt>
                <c:pt idx="1">
                  <c:v>13.66</c:v>
                </c:pt>
                <c:pt idx="2">
                  <c:v>19.54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14,67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(10,64 – 16,15)</c:v>
                </c:pt>
                <c:pt idx="1">
                  <c:v>Precio objetivo de los analistas (15,00 – 21,00)</c:v>
                </c:pt>
                <c:pt idx="2">
                  <c:v>Comparables: PER NTM (6,35 – 16,63)</c:v>
                </c:pt>
                <c:pt idx="3">
                  <c:v>Transacciones precedentes (EV/EBITDA) (10,80 – 16,06)</c:v>
                </c:pt>
                <c:pt idx="4">
                  <c:v>DCF (WACC y g ± 0,5) (12,91 – 14,53)</c:v>
                </c:pt>
                <c:pt idx="5">
                  <c:v>Escenarios (bajista – alcista) (8,41 – 19,54)</c:v>
                </c:pt>
                <c:pt idx="6">
                  <c:v>DCF con la prima implícita del mercado (4,2 %)</c:v>
                </c:pt>
                <c:pt idx="7">
                  <c:v>Precio actual (14,67)</c:v>
                </c:pt>
              </c:strCache>
            </c:strRef>
          </c:cat>
          <c:val>
            <c:numRef>
              <c:f>Hoja1!$B$2:$B$9</c:f>
              <c:numCache>
                <c:formatCode>#,##0.0</c:formatCode>
                <c:ptCount val="8"/>
                <c:pt idx="0">
                  <c:v>10.64</c:v>
                </c:pt>
                <c:pt idx="1">
                  <c:v>15</c:v>
                </c:pt>
                <c:pt idx="2">
                  <c:v>6.35</c:v>
                </c:pt>
                <c:pt idx="3">
                  <c:v>10.8</c:v>
                </c:pt>
                <c:pt idx="4">
                  <c:v>12.91</c:v>
                </c:pt>
                <c:pt idx="5">
                  <c:v>8.41</c:v>
                </c:pt>
                <c:pt idx="6">
                  <c:v>15.11</c:v>
                </c:pt>
                <c:pt idx="7">
                  <c:v>14.6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(10,64 – 16,15)</c:v>
                </c:pt>
                <c:pt idx="1">
                  <c:v>Precio objetivo de los analistas (15,00 – 21,00)</c:v>
                </c:pt>
                <c:pt idx="2">
                  <c:v>Comparables: PER NTM (6,35 – 16,63)</c:v>
                </c:pt>
                <c:pt idx="3">
                  <c:v>Transacciones precedentes (EV/EBITDA) (10,80 – 16,06)</c:v>
                </c:pt>
                <c:pt idx="4">
                  <c:v>DCF (WACC y g ± 0,5) (12,91 – 14,53)</c:v>
                </c:pt>
                <c:pt idx="5">
                  <c:v>Escenarios (bajista – alcista) (8,41 – 19,54)</c:v>
                </c:pt>
                <c:pt idx="6">
                  <c:v>DCF con la prima implícita del mercado (4,2 %)</c:v>
                </c:pt>
                <c:pt idx="7">
                  <c:v>Precio actual (14,67)</c:v>
                </c:pt>
              </c:strCache>
            </c:strRef>
          </c:cat>
          <c:val>
            <c:numRef>
              <c:f>Hoja1!$C$2:$C$9</c:f>
              <c:numCache>
                <c:formatCode>#,##0.0</c:formatCode>
                <c:ptCount val="8"/>
                <c:pt idx="0">
                  <c:v>5.509999999999998</c:v>
                </c:pt>
                <c:pt idx="1">
                  <c:v>6</c:v>
                </c:pt>
                <c:pt idx="2">
                  <c:v>10.28</c:v>
                </c:pt>
                <c:pt idx="3">
                  <c:v>5.259999999999998</c:v>
                </c:pt>
                <c:pt idx="4">
                  <c:v>1.6199999999999992</c:v>
                </c:pt>
                <c:pt idx="5">
                  <c:v>11.129999999999999</c:v>
                </c:pt>
                <c:pt idx="6">
                  <c:v>1.5399999999999991</c:v>
                </c:pt>
                <c:pt idx="7">
                  <c:v>0.14000000000000057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