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Eastroc Beverage (Group) Co., Ltd. (东鹏饮料（集团）股份有限公司)</w:t>
      </w:r>
    </w:p>
    <w:p>
      <w:pPr>
        <w:spacing w:after="60"/>
        <w:rPr>
          <w:color w:val="52514E"/>
          <w:sz w:val="22"/>
          <w:szCs w:val="22"/>
        </w:rPr>
      </w:pPr>
      <w:r>
        <w:rPr>
          <w:color w:val="52514E"/>
          <w:sz w:val="22"/>
          <w:szCs w:val="22"/>
        </w:rPr>
        <w:t xml:space="preserve">9980.HK · Bolsa de Hong Kong (línea H, 9980.HK, HKD); también Bolsa de Shanghái (línea A, 605499.SS, CNY) · ISIN n.d.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83,04 CNY (97,40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91,25 CNY (107,03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+15,8 % (base +12,1 %)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135,70 CNY (159,16 HKD) · mercado 152,86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60.377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Eastroc Beverage (Group) Co., Ltd. (东鹏饮料（集团）股份有限公司)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9980.HK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Hong Kong (línea H, 9980.HK, HKD); también Bolsa de Shanghái (línea A, 605499.SS,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 (A) / Hang Seng (H)</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Refrescos y bebidas no alcohólicas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Shenzhen (Guangdong) · 1994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https://www.szeastroc.com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83,04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78,95 – 194,13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60.377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45.059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62,5 M HKD/día en la H (3 meses); ≈ 780 M CNY/día en la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91,25 CNY (107,03 HKD)</w:t>
      </w:r>
      <w:r>
        <w:t xml:space="preserve"> frente a 83,04 (97,40 HKD) · Rentabilidad a 12 meses </w:t>
      </w:r>
      <w:r>
        <w:rPr>
          <w:b/>
          <w:bCs/>
        </w:rPr>
        <w:t xml:space="preserve">+15,8 % (base +12,1 %)</w:t>
      </w:r>
      <w:r>
        <w:t xml:space="preserve"> · Valor intrínseco 135,70 CNY (159,16 HKD) · con la prima implícita del mercado: 152,86 (179,29 HKD) (+84,1 %) · Alcista / bajista +105,6 % / +16,4 %</w:t>
      </w:r>
    </w:p>
    <w:p>
      <w:pPr>
        <w:spacing w:after="100"/>
      </w:pPr>
      <w:r>
        <w:rPr>
          <w:b/>
        </w:rPr>
        <w:t xml:space="preserve">La recomendación y por qué.</w:t>
      </w:r>
      <w:r>
        <w:t xml:space="preserve"> Comprar la línea H (9980.HK) según la regla a 12 meses, con convicción baja, y </w:t>
      </w:r>
      <w:r>
        <w:rPr>
          <w:b/>
        </w:rPr>
        <w:t xml:space="preserve">no como compra robusta</w:t>
      </w:r>
      <w:r>
        <w:t xml:space="preserve">. Nuestro objetivo a 12 meses es de 91,25 CNY (107,03 HKD): +15,8 % con dividendo (+12,1 % en el caso base), frente a un precio de 83,04 CNY (97,40 HKD, cierre del 16-oct-2026; Hong Kong cerró el 19-oct) [26]. Pasa los umbrales de compra (15 % y 12 %) por menos de un punto: con un BPA un 10 % peor la ponderada baja al 4,8 %, así que la acción robusta es Mantener (marca B1). El límite de compra común es de 97,43 HKD, tres céntimos sobre el precio; el robusto, de 88,24 HKD. El valor intrínseco (135,70 CNY, 159,16 HKD) está un 63 % por encima: el negocio vale mucho más que el precio, pero el objetivo a 12 meses no supone que el mercado vuelva a pagar más por él. La H cotiza un 27 % más barata que la A de Shanghái (114,25 CNY), con los mismos derechos y dividendos [26]. La convicción es baja, por debajo de la «media» que dan los criterios del motor, porque la rentabilidad a 12 meses está a menos de un punto de los umbrales y no aguanta un BPA un 10 % peor; subiría si las energéticas crecen más de un 10 % en el 3T26 o si la empresa recompra H, y bajaría (a Mantener) si crecen menos de un 5 %.</w:t>
      </w:r>
    </w:p>
    <w:p>
      <w:pPr>
        <w:spacing w:after="100"/>
      </w:pPr>
      <w:r>
        <w:rPr>
          <w:b/>
        </w:rPr>
        <w:t xml:space="preserve">El negocio.</w:t>
      </w:r>
      <w:r>
        <w:t xml:space="preserve"> Eastroc vende bebidas energéticas baratas (Eastroc Super Drink, 3-6 CNY la botella) en China: es la primera en volumen (40 % de las energéticas en 2024) y la segunda en valor tras Red Bull [10]. El 75 % de las ventas son energéticas, el 16 % la bebida de electrolitos Sip Water y el resto té, café y agua de coco [1]. Vende a través de unos 3.200 distribuidores que pagan por adelantado y llegan a más de 4 millones de tiendas con neveras propias [1]. Por regiones, el 30 % es el sur (Guangdong y Hainan), el 22 % el centro, el 16 % el este, el 15 % el oeste y el 13 % el norte; empieza en el sudeste asiático (fábrica en Indonesia, equipos en Vietnam y Malasia) [1, 5]. Su foso es estrecho: marca, red de distribución y el coste más bajo del sector. </w:t>
      </w:r>
      <w:r>
        <w:rPr>
          <w:b/>
        </w:rPr>
        <w:t xml:space="preserve">Calidad: Sí</w:t>
      </w:r>
      <w:r>
        <w:t xml:space="preserve">, con mucha holgura: ROIC prudente del 41,9 % en 2025 frente a un WACC del 8,24 % (33,7 puntos). La sostenibilidad del crecimiento es </w:t>
      </w:r>
      <w:r>
        <w:rPr>
          <w:b/>
        </w:rPr>
        <w:t xml:space="preserve">sí</w:t>
      </w:r>
      <w:r>
        <w:t xml:space="preserve">: proyectamos un 6,4 % anual frente al 33 % de 2020-2025, con la cuota de su mercado del 23,0 % al 24,7 %.</w:t>
      </w:r>
    </w:p>
    <w:p>
      <w:pPr>
        <w:spacing w:after="100"/>
      </w:pPr>
      <w:r>
        <w:rPr>
          <w:b/>
        </w:rPr>
        <w:t xml:space="preserve">Finanzas y el frenazo.</w:t>
      </w:r>
      <w:r>
        <w:t xml:space="preserve"> Las ventas se multiplicaron por 4,2 entre 2020 y 2025 (20.875 M CNY) y el beneficio por 5,4 (4.415 M), con el margen EBIT del 20,2 % al 24,8 % [1, 4]. En 2026 el crecimiento se frena: +21,5 % en el 1T y +11,3 % en el 2T, con las energéticas +1,5 % y el sur +2,9 % en el trimestre, y Sip Water del +119 % de 2025 al +12 % en el 1S26 por una guerra de precios [5, 8, 11]. La dirección lo atribuye al tiempo y a la competencia, sin dar cifras. Tiene 21 CNY por acción de caja neta (25 % del precio) y reparte al menos el 80 % del beneficio en 2026-2028: 4,92 CNY en los últimos 12 meses (5,9 %) [5, 14].</w:t>
      </w:r>
    </w:p>
    <w:p>
      <w:pPr>
        <w:spacing w:after="100"/>
      </w:pPr>
      <w:r>
        <w:rPr>
          <w:b/>
        </w:rPr>
        <w:t xml:space="preserve">Equipo y gobierno.</w:t>
      </w:r>
      <w:r>
        <w:t xml:space="preserve"> Lin Muqin compró la empresa en 2003 con un grupo de socios, la preside y dirige y tiene el 46,25 % (57 % con la familia) [1, 5]. Compra acciones H con un plan de 100-200 M HKD y no ha vendido [22]. El consejo tiene 7 ejecutivos de 11 y no hay plan de sucesión publicado para un presidente de 62 años [21]. Dos decisiones discutibles: la salida a bolsa H a 248 HKD con 13.000 M de caja y la recompra de A a 134-155 CNY, por encima del precio de hoy [5, 16].</w:t>
      </w:r>
    </w:p>
    <w:p>
      <w:pPr>
        <w:spacing w:after="100"/>
      </w:pPr>
      <w:r>
        <w:rPr>
          <w:b/>
        </w:rPr>
        <w:t xml:space="preserve">Valoración.</w:t>
      </w:r>
      <w:r>
        <w:t xml:space="preserve"> El DCF da 137,54 CNY (WACC 8,24 %, crecimiento terminal 1,1 %) y el precio equivale a que las ventas bajen un 3,3 % al año o a un margen EBITDA del 16 % para siempre, frente a un mínimo del 22,3 % en seis años. El objetivo a 12 meses es el PER de hoy (11,2x, regla v2 por ser una empresa desrateada) por nuestro BPA de 2028e (7,87 CNY, un 14 % por debajo del consenso), más el dividendo. Los analistas valoran la A en 151,27 CNY (110 CNY en base H) [28].</w:t>
      </w:r>
    </w:p>
    <w:p>
      <w:pPr>
        <w:spacing w:after="100"/>
      </w:pPr>
      <w:r>
        <w:rPr>
          <w:b/>
        </w:rPr>
        <w:t xml:space="preserve">Qué puede ir mal y qué vigilar.</w:t>
      </w:r>
      <w:r>
        <w:t xml:space="preserve"> Que el 2T26 no fuera el tiempo sino el techo del núcleo en el sur: el bajista a 12 meses es de 62,99 CNY (−24 %). Los resultados del 3T26 del 29-oct son el examen: energéticas por debajo del +5 % confirmarían el bajista. Veredicto de precio y noticias: </w:t>
      </w:r>
      <w:r>
        <w:rPr>
          <w:b/>
        </w:rPr>
        <w:t xml:space="preserve">no cambia</w:t>
      </w:r>
      <w:r>
        <w:t xml:space="preserve"> (sin hechos pendientes ajenos al análisis).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91,25 CNY (107,03 HKD)</w:t>
      </w:r>
      <w:r>
        <w:t xml:space="preserve"> (rentabilidad +15,8 % (base +12,1 %)) · Valor intrínseco: 135,70 CNY (159,16 HKD) (+63,4 % sobre 83,04) · con la prima implícita del mercado: 152,86 (179,29 HKD) (+84,1 %)</w:t>
      </w:r>
    </w:p>
    <w:p>
      <w:pPr>
        <w:spacing w:after="100"/>
      </w:pPr>
      <w:r>
        <w:t xml:space="preserve">Eastroc es una máquina de caja con un ROIC del 42 %, caja neta del 25 % del precio y un reparto de al menos el 80 % del beneficio, que la H permite comprar a 11 veces el beneficio de 2027e y con un 27 % de descuento frente a la A. El mercado descuenta que el núcleo se ha agotado; nosotros proyectamos un crecimiento que se frena al 9-10 % y un margen algo menor. Con eso, el objetivo a 12 meses da un 15,8 % sin que el PER suba, pero no aguanta un BPA un 10 % peor: es una compra justa, no robusta, y el 3T26 del 29-oct dirá cuál de las dos lecturas es la buena.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91,25 CNY (107,03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6,63 = 62,99 · 11,2x × 7,87 = 88,14 · 14,6x × 8,61 = 125,71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 / 12,1 %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(21,3x) es 1,9 veces el PER de hoy (11,2x);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109,96 (nuestro base -19,8 %)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135,70 CNY (159,16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(HKD al tipo de 0,8526 CNY por HKD)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83,04 CNY (97,40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105,6 % / 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frente a 8,2 %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152,86 CNY (179,29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 frente a 10,9 %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n.d.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83,09 (97,45 HKD)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83,09 y 106,85 (97,45 y 125,32 HKD)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106,85 (125,32 HKD)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97,43 HKD (83,07 CNY): pasaríamos a Mantener; por encima de 123,9 HKD (105,66 CNY), a Vender.</w:t>
      </w:r>
    </w:p>
    <w:p>
      <w:pPr>
        <w:pStyle w:val="ListParagraph"/>
        <w:numPr>
          <w:ilvl w:val="0"/>
          <w:numId w:val="2"/>
        </w:numPr>
        <w:spacing w:after="60"/>
      </w:pPr>
      <w:r>
        <w:t xml:space="preserve">Energéticas por debajo del +5 % en el 3T26: bajaríamos el base al bajista y la recomendación a Mantener.</w:t>
      </w:r>
    </w:p>
    <w:p>
      <w:pPr>
        <w:pStyle w:val="ListParagraph"/>
        <w:numPr>
          <w:ilvl w:val="0"/>
          <w:numId w:val="2"/>
        </w:numPr>
        <w:spacing w:after="60"/>
      </w:pPr>
      <w:r>
        <w:t xml:space="preserve">Energéticas por encima del +10 % en el 3T26 o recompra de H: la compra sería robusta.</w:t>
      </w:r>
    </w:p>
    <w:p>
      <w:pPr>
        <w:pStyle w:val="ListParagraph"/>
        <w:numPr>
          <w:ilvl w:val="0"/>
          <w:numId w:val="2"/>
        </w:numPr>
        <w:spacing w:after="60"/>
      </w:pPr>
      <w:r>
        <w:t xml:space="preserve">Margen bruto por debajo del 43 % en un semestre: rebajaríamos el margen de todo el periodo.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núcleo ha tocado techo y el negocio deja de crecer: el precio equivale a ventas que bajan un 3,3 % al año o a un margen EBITDA del 16 % para siempre.</w:t>
      </w:r>
    </w:p>
    <w:p>
      <w:pPr>
        <w:keepNext/>
        <w:spacing w:after="100"/>
      </w:pPr>
      <w:r>
        <w:rPr>
          <w:b/>
          <w:bCs/>
        </w:rPr>
        <w:t xml:space="preserve">Lo que creemos nosotros.</w:t>
      </w:r>
    </w:p>
    <w:p>
      <w:pPr>
        <w:spacing w:after="100"/>
      </w:pPr>
      <w:r>
        <w:t xml:space="preserve">El crecimiento se frena pero no se para: fuera del sur, los electrolitos, el té y el sudeste asiático dan un 9-10 % en 2027-2028, con un margen EBITDA del 27-28 %.</w:t>
      </w:r>
    </w:p>
    <w:p>
      <w:pPr>
        <w:keepNext/>
        <w:spacing w:after="100"/>
      </w:pPr>
      <w:r>
        <w:rPr>
          <w:b/>
          <w:bCs/>
        </w:rPr>
        <w:t xml:space="preserve">Por qué podemos tener razón.</w:t>
      </w:r>
    </w:p>
    <w:p>
      <w:pPr>
        <w:spacing w:after="100"/>
      </w:pPr>
      <w:r>
        <w:t xml:space="preserve">Fuera del sur las energéticas aún crecen al 17-25 %, el consumo per cápita de China es un tercio del de EE. UU. y el grupo creció un 15,9 % en el 1S26 pese al 2T [5, 8, 10].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83,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muy alta</w:t>
      </w:r>
      <w:r>
        <w:t xml:space="preserve">: ROIC del 41,9 % y margen EBIT del 24,8 % en 2025 [1].</w:t>
      </w:r>
    </w:p>
    <w:p>
      <w:pPr>
        <w:pStyle w:val="ListParagraph"/>
        <w:numPr>
          <w:ilvl w:val="0"/>
          <w:numId w:val="2"/>
        </w:numPr>
        <w:spacing w:after="60"/>
      </w:pPr>
      <w:r>
        <w:rPr>
          <w:b/>
        </w:rPr>
        <w:t xml:space="preserve">Caja y dividendo</w:t>
      </w:r>
      <w:r>
        <w:t xml:space="preserve">: 21 CNY por acción de caja neta y al menos el 80 % del beneficio repartido (5,9 % en 12 meses) [5, 14].</w:t>
      </w:r>
    </w:p>
    <w:p>
      <w:pPr>
        <w:pStyle w:val="ListParagraph"/>
        <w:numPr>
          <w:ilvl w:val="0"/>
          <w:numId w:val="2"/>
        </w:numPr>
        <w:spacing w:after="60"/>
      </w:pPr>
      <w:r>
        <w:rPr>
          <w:b/>
        </w:rPr>
        <w:t xml:space="preserve">Barata frente a sí misma</w:t>
      </w:r>
      <w:r>
        <w:t xml:space="preserve">: 11,2 veces el BPA de 2027e frente a una mediana de 21-28 veces, y la H un 27 % más barata que la A [26].</w:t>
      </w:r>
    </w:p>
    <w:p>
      <w:pPr>
        <w:pStyle w:val="ListParagraph"/>
        <w:numPr>
          <w:ilvl w:val="0"/>
          <w:numId w:val="2"/>
        </w:numPr>
        <w:spacing w:after="60"/>
      </w:pPr>
      <w:r>
        <w:rPr>
          <w:b/>
        </w:rPr>
        <w:t xml:space="preserve">El dueño compra</w:t>
      </w:r>
      <w:r>
        <w:t xml:space="preserve">: el presidente compra H con un plan de 100-200 M HKD [22].</w:t>
      </w:r>
    </w:p>
    <w:p>
      <w:pPr>
        <w:pStyle w:val="Heading2"/>
      </w:pPr>
      <w:r>
        <w:t xml:space="preserve">En contra</w:t>
      </w:r>
    </w:p>
    <w:p>
      <w:pPr>
        <w:pStyle w:val="ListParagraph"/>
        <w:numPr>
          <w:ilvl w:val="0"/>
          <w:numId w:val="2"/>
        </w:numPr>
        <w:spacing w:after="60"/>
      </w:pPr>
      <w:r>
        <w:rPr>
          <w:b/>
        </w:rPr>
        <w:t xml:space="preserve">Frenazo del núcleo</w:t>
      </w:r>
      <w:r>
        <w:t xml:space="preserve">: energéticas +1,5 % y sur de China +2,9 % en el 2T26 [8, 11].</w:t>
      </w:r>
    </w:p>
    <w:p>
      <w:pPr>
        <w:pStyle w:val="ListParagraph"/>
        <w:numPr>
          <w:ilvl w:val="0"/>
          <w:numId w:val="2"/>
        </w:numPr>
        <w:spacing w:after="60"/>
      </w:pPr>
      <w:r>
        <w:rPr>
          <w:b/>
        </w:rPr>
        <w:t xml:space="preserve">Guerra de precios en electrolitos</w:t>
      </w:r>
      <w:r>
        <w:t xml:space="preserve">: Sip Water del +119 % al +12 % [11].</w:t>
      </w:r>
    </w:p>
    <w:p>
      <w:pPr>
        <w:pStyle w:val="ListParagraph"/>
        <w:numPr>
          <w:ilvl w:val="0"/>
          <w:numId w:val="2"/>
        </w:numPr>
        <w:spacing w:after="60"/>
      </w:pPr>
      <w:r>
        <w:rPr>
          <w:b/>
        </w:rPr>
        <w:t xml:space="preserve">Compra frágil</w:t>
      </w:r>
      <w:r>
        <w:t xml:space="preserve">: no aguanta un BPA un 10 % peor; el límite de compra está en el precio.</w:t>
      </w:r>
    </w:p>
    <w:p>
      <w:pPr>
        <w:pStyle w:val="ListParagraph"/>
        <w:numPr>
          <w:ilvl w:val="0"/>
          <w:numId w:val="2"/>
        </w:numPr>
        <w:spacing w:after="60"/>
      </w:pPr>
      <w:r>
        <w:rPr>
          <w:b/>
        </w:rPr>
        <w:t xml:space="preserve">Gobierno concentrado</w:t>
      </w:r>
      <w:r>
        <w:t xml:space="preserve">: el presidente tiene el 46 %, consejo con mayoría ejecutiva y sin sucesor [21].</w:t>
      </w:r>
    </w:p>
    <w:p>
      <w:pPr>
        <w:pStyle w:val="Heading2"/>
      </w:pPr>
      <w:r>
        <w:t xml:space="preserve">Qué tiene que pasar para que la tesis funcione</w:t>
      </w:r>
    </w:p>
    <w:p>
      <w:pPr>
        <w:spacing w:after="100"/>
      </w:pPr>
      <w:r>
        <w:t xml:space="preserve">Las energéticas en el 3T26 (29-oct) y el 4T26: por encima del +5 % confirman el base; por debajo, el bajista. El margen bruto (por encima del 43 %), el descuento H/A y si la empresa recompra H en vez de 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energéticas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tiempo del techo del núcleo.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el sur de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30 % de las ventas y el mercado más maduro.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guerra de precios y la mezcla.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Sip Water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motor de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 de la H frente a la 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 (16-oct-2026)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 se compra por el descuento.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Reparto del beneficio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80 % (política 2026-2028)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80 %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mitad de la rentabilidad es el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10,7x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Eastroc nació en 1994 como una embotelladora municipal de Shenzhen. En 2003 la compró Lin Muqin, entonces directivo, con un grupo de socios, la reestructuró y en 2009 lanzó Eastroc Super Drink en botella PET a mitad de precio que Red Bull [1, 10]. El crecimiento se aceleró a partir de 2016 con la expansión fuera de Guangdong y la red de neveras. Salió a bolsa en Shanghái en mayo de 2021 (400 millones de acciones a 46,27 CNY) [1]. En 2023 lanzó Sip Water y en 2024-2025 una cartera de té y café. En febrero de 2026 salió a bolsa en Hong Kong (248 HKD, 10.141 M HKD brutos), con 16 inversores ancla, para financiar la expansión al sudeste asiático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la embotelladora en Shenzhen.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 Muqin y socios compran la empresa; reestructuración.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Eastroc Super Drink en PET de 500 ml.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Shanghái (605499).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Sip Water (electrolitos).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15.839 M (+40,6 %) y ampliación liberada de 3 ×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a bolsa H en Hong Kong (3-feb), ampliación liberada 3 × 10 (mayo), recompra de 1.039 M y frenazo del núcleo en el 2T.</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Eastroc fabrica y vende bebidas funcionales en China. Su producto central es Eastroc Super Drink (东鹏特饮), una bebida energética con taurina y cafeína en botella PET de 250 y 500 ml a 3-6 CNY, dirigida a conductores, obreros, repartidores y estudiantes; supuso el 74,8 % de las ventas en 2025 [1]. Desde 2023 vende Sip Water (补水啦), bebida de electrolitos (15,7 %), y una cartera de té (果之茶), café listo para beber (东鹏大咖), agua de coco y otras (9,5 %) [1]. Vende a través de unos 3.200 distribuidores exclusivos que llegan a más de 4 millones de puntos de venta (tiendas de barrio, gasolineras, comedores de fábrica), con neveras propias y códigos QR en cada botella que le dan datos del punto de venta [1, 10]. Tiene 13 bases de producción en China y empieza en el sudeste asiático (Vietnam, Malasia, Indonesia) [1, 11].</w:t>
      </w:r>
    </w:p>
    <w:p>
      <w:pPr>
        <w:pStyle w:val="Heading2"/>
      </w:pPr>
      <w:r>
        <w:t xml:space="preserve">Cómo gana dinero</w:t>
      </w:r>
    </w:p>
    <w:p>
      <w:pPr>
        <w:spacing w:after="100"/>
      </w:pPr>
      <w:r>
        <w:t xml:space="preserve">Margen bruto del 45 % (51 % en energéticas, 35 % en electrolitos, 16 % en otras) sobre una botella barata: el 80 % del coste son materias primas, sobre todo PET (polietileno), azúcar y cartón, y el 7 % es transporte [1]. El beneficio depende de tres cosas: el precio del PET y el azúcar (bajaron en 2024-2025 y subieron el margen energético 2,5 puntos), la mezcla (cada punto de peso que gana el té o el café resta margen) y el volumen por fábrica, porque las plantas regionales recortan el flete [1]. Los gastos comerciales (16,3 % de las ventas) son sobre todo neveras, promoción en el punto de venta y patrocinios [1]. No hay ingresos recurrentes por contrato, pero sí recompra diaria: es un consumo de impulso. La estacionalidad es fuerte: el 2T y el 3T suman el 58 % de las ventas del año [1 de 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energéticas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de electrolitos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bebidas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energéticas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de electrolitos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bebidas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depende de ningún cliente: los cinco primeros distribuidores sumaron un 5-6 % de las ventas y ninguno pasa del 2 % [1]. Los distribuidores son exclusivos por zona, pagan por adelantado (anticipos de 5.974 M a fin de 2025, el 29 % de las ventas) y su número se mantiene en unos 3.200 [1]. El poder de precios es limitado: el precio de Eastroc Super Drink en 500 ml lleva años en 5 CNY y la estrategia es vender barato frente a Red Bull (6-7 CNY por 250 ml) [10, 17]. La empresa sí ha subido el precio por litro con formatos (Sip Water de 555 ml) y en 2026 se habla de subidas en el sector [11, 19]. En electrolitos la competencia (segunda unidad a mitad de precio) le obliga a promocionar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vendido (toneladas)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6.026.702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Energéticas +19,2 %, electrolitos +121,9 %, otras +87,4 %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bebidas energéticas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13.304 M CNY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15.599 M (2025); 8.937 M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 +6,9 %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 en el 2T26: el núcleo frena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electrolitos (Sip Water)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 M (2025); 1.672 M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+119,0 %; +12,0 %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precios con más de 100 marcas [1, 8,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fuera del sur de China (peso)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 (2025); 74,4 %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 +67,9 % y oeste +40,8 % en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Distribuidores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 (fin de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estable; el crecimiento viene de puntos de venta y venta por punto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del negocio principal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 (2025); 48,4 %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puntos; +3,5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 y azúcar comprados a precio cerrado [1,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bebidas funcionales en China (energéticas, de electrolitos y deportivas) a precio de venta al público, según Frost &amp; Sullivan en el folleto H [10]: 166.500 M CNY en 2024, de los que 111.400 M son energéticas. Usamos este y no el de refrescos (1,25 billones) porque es donde compite el 90 % de las ventas de Eastroc. Contrastamos con NielsenIQ (cuota en energéticas del 51,6 % en volumen y 38,3 % en valor en 2025) [17]. Ojo con la base: las cifras de mercado son a precio de venta al público, y las ventas de Eastroc a precio de fábrica (≈ 40 % del precio de venta, estimación propia: 15.839 M de ventas de 2024 frente a una cuota del 23,0 % de 166.500 M)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166.500 M CNY de venta al público en 2024 (bebidas funcionales en China; energéticas 111.400 M)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NY (venta al público, bebidas funcionales en Chin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per cápita de energéticas bajo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 litros por habitante en China en 2024 frente a 17,1 en EE. UU. y 9,4 en Tailandia; previsión de 8,4 litros en 2029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Hábitos de salud y menos azúcar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té sin azúcar es lo único que crece en el verano de 2026 [19]; Eastroc lanzó versiones sin azúcar, aún pequeñas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PET y del azúcar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PET cayó un 2,1 % anual de 2019 a 2024 y el margen energético subió 2,5 puntos en 2025 [1,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electrolitos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100 marcas y descuentos de «segunda unidad a mitad de precio»: Sip Water pasó de +119 % a +12 %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Tiempo en verano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Lluvias y calor extremo en el sur en el 2T26: energéticas +1,5 %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Repartidores y trabajo manual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consumidores de base (conductores, mensajeros, obreros) crecen con el comercio electrónico y la entrega a domicilio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Bull (dos grupos), Monster (+95 % en China en el 1T26), Carabao y marcas locales; en electrolitos, guerra de precios [11,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atomizada a millones de tiendas a través de distribuidores exclusivos que pagan por adelantado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 azúcar y cartón son materias primas con muchos proveedores; el riesgo es de precio, no de poder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Fabricar es fácil; la barrera es la red de 4 millones de puntos con neveras y la marca. Monster y Nongfu entran con fuerza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Café, té listo para beber y bebidas sin azúcar compiten por la misma ocasión de consumo [19].</w:t>
            </w:r>
          </w:p>
        </w:tc>
      </w:tr>
    </w:tbl>
    <w:p>
      <w:pPr>
        <w:spacing w:after="160" w:before="0"/>
      </w:pPr>
    </w:p>
    <w:p>
      <w:pPr>
        <w:pStyle w:val="Heading2"/>
      </w:pPr>
      <w:r>
        <w:t xml:space="preserve">Ciclo</w:t>
      </w:r>
    </w:p>
    <w:p>
      <w:pPr>
        <w:spacing w:after="100"/>
      </w:pPr>
      <w:r>
        <w:t xml:space="preserve">Tras crecer al 8 % anual de 2019 a 2024, el verano de 2026 fue de «temporada alta floja»: solo creció el té sin azúcar [10, 19]. Las bebidas de bajo precio aguantaron en 2020 y 2022 (Eastroc creció en ambos años un 17-22 %) porque su consumidor no deja el producto en las crisis, pero el canal de tiendas sufre con la caída del consumo [1]. El índice chino de alimentación y bebidas bajó un 20 % en el 1S26 [17]. Lo que vemos (frenazo del núcleo en el 2T26 y guerra de precios) es más competencia que ciclo.</w:t>
      </w:r>
    </w:p>
    <w:p>
      <w:pPr>
        <w:pStyle w:val="Heading2"/>
      </w:pPr>
      <w:r>
        <w:t xml:space="preserve">Regulación</w:t>
      </w:r>
    </w:p>
    <w:p>
      <w:pPr>
        <w:spacing w:after="100"/>
      </w:pPr>
      <w:r>
        <w:t xml:space="preserve">Las bebidas energéticas con taurina y cafeína tienen límites de dosis en la norma GB y parte de la gama de Eastroc está registrada como alimento saludable (保健食品), con aprobación de la administración del mercado (SAMR) [1]. No hay impuesto sobre el azúcar en China, pero las autoridades promueven el «menos azúcar» y el etiquetado nutricional obligatorio se endurece desde 2025-2027 [1]. Un impuesto al azúcar o restricciones de venta a menores, como en el Reino Unido, serían el riesgo regulatorio mayor (estimación propia: el 75 % de las ventas lleva azúcar).</w:t>
      </w:r>
    </w:p>
    <w:p>
      <w:pPr>
        <w:pStyle w:val="Heading2"/>
      </w:pPr>
      <w:r>
        <w:t xml:space="preserve">Tendencias y disrupción</w:t>
      </w:r>
    </w:p>
    <w:p>
      <w:pPr>
        <w:spacing w:after="100"/>
      </w:pPr>
      <w:r>
        <w:t xml:space="preserve">Tres tendencias: (1) bebidas sin azúcar y «saludables», donde Eastroc llega tarde; (2) concentración del canal de tiendas en cadenas y venta instantánea en línea (Meituan), que reduce el valor de la red propia de neveras; y (3) internacionalización al sudeste asiático, donde el consumo per cápita es el doble [10, 11, 19]. Eastroc gana con la tercera (fábrica en Indonesia y equipos en Vietnam y Malasia) y pierde con las dos primeras. La digitalización (códigos QR en cada botella, 270 millones de usuarios) le da datos de venta en tiempo real que los competidores no tienen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volumen y 2.º en valor en bebidas funcionales en China (26,3 % y 23,0 % en 2024); en energéticas, 40,1 % del volumen y 31,4 % del valor, 2.º tras Red Bull (Frost &amp; Sullivan) [10]. NielsenIQ: 51,6 % del volumen y 38,3 % del valor de energéticas en 2025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 Bull China (Reignwood / TCP, privadas)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CN/TH</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«Compañía A» del folleto: 36,9 % del valor de energéticas en 2024, ventas planas (−0,4 % anual 2022-2024); disputa de marca entre Reignwood y TCP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MNST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China +95 % en el 1T26 con Predator, su marca barata [17,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Nongfu Spring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9633.HK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Scream (尖叫) y bebidas funcionales; distribución nacional de agua y té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Carabao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CBG.BK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«Compañía E» del folleto: 7,7 % del valor de energéticas en China [10,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Tingyi (Master Kong)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0322.HK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Bebidas y fideos; distribuidor de Pepsi en China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Resources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2460.HK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Agua C'estbon y bebidas funcionales (至本清润); ventas en caída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los códigos QR mejoran con la escala, pero el consumidor no gana nada porque otros beban la misma marca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bebida cuesta cero al consumidor; para el tendero, la nevera es de Eastroc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en el segmento barato: 51,6 % del volumen de energéticas en 2025 [3]; registros de alimento saludable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24,8 % vendiendo a la mitad del precio de Red Bull; 13 fábricas regionales y botella PET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3.200 distribuidores exclusivos y más de 4 millones de puntos con neveras: difícil de copiar deprisa [1, 2].</w:t>
            </w:r>
          </w:p>
        </w:tc>
      </w:tr>
    </w:tbl>
    <w:p>
      <w:pPr>
        <w:spacing w:after="160" w:before="0"/>
      </w:pPr>
    </w:p>
    <w:p>
      <w:pPr>
        <w:pStyle w:val="Heading2"/>
      </w:pPr>
      <w:r>
        <w:t xml:space="preserve">Amenazas</w:t>
      </w:r>
    </w:p>
    <w:p>
      <w:pPr>
        <w:spacing w:after="100"/>
      </w:pPr>
      <w:r>
        <w:t xml:space="preserve">Tres amenazas con probabilidad media: Monster con una marca barata (Predator) y la red de Coca-Cola en China, que ataca justo el segmento de 3-5 CNY [17]; la guerra de precios en electrolitos, que ya frenó Sip Water del +119 % al +12 % [11]; y el cambio de gusto hacia lo sin azúcar [19]. El riesgo es un margen que vuelva del 25 % al 20 % (el de 2021) si hay que subir la promoción, no la pérdida del canal.</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2020-2025: ingresos </w:t>
      </w:r>
      <w:r>
        <w:rPr>
          <w:b/>
          <w:bCs/>
        </w:rPr>
        <w:t xml:space="preserve">33,3 %</w:t>
      </w:r>
      <w:r>
        <w:t xml:space="preserve">, EBITDA </w:t>
      </w:r>
      <w:r>
        <w:rPr>
          <w:b/>
          <w:bCs/>
        </w:rPr>
        <w:t xml:space="preserve">37,9 %</w:t>
      </w:r>
      <w:r>
        <w:t xml:space="preserve">, BPA </w:t>
      </w:r>
      <w:r>
        <w:rPr>
          <w:b/>
          <w:bCs/>
        </w:rPr>
        <w:t xml:space="preserve">37,4 %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Eastroc creció las ventas de 4.959 M CNY en 2020 a 20.875 M en 2025 (tasa anual del 33 %) sin compras de empresas: todo es orgánico [1, 4]. El motor de 2025 cambió: la bebida energética creció un 17,3 % (15.599 M) y las de electrolitos un 119,0 % (3.274 M) y otras un 94,1 % [1]. El margen EBIT (sin ingresos financieros) pasó del 20,2 % de 2020 al 24,8 % de 2025 por el apalancamiento operativo: los gastos comerciales, generales y de I+D bajaron del 22,7 % al 19,4 % de las ventas mientras el margen bruto se mantuvo en el 44-45 % [1, 3, 4]. En 2025 el margen bruto de la energética subió 2,5 puntos (50,8 %) por el abaratamiento del PET y el azúcar, y el de otras bebidas cayó 6,7 puntos (15,5 %) [1]. En el 1S26 las ventas crecieron un 15,9 % (12.443 M) y el EBIT un 20,7 %, pero el 2T26 frenó: energéticas +1,5 % y sur de China +2,9 % en el trimestre [5, 8, 11].</w:t>
      </w:r>
    </w:p>
    <w:p>
      <w:pPr>
        <w:pStyle w:val="Heading2"/>
      </w:pPr>
      <w:r>
        <w:t xml:space="preserve">Ajustes y partidas no recurrentes</w:t>
      </w:r>
    </w:p>
    <w:p>
      <w:pPr>
        <w:spacing w:after="100"/>
      </w:pPr>
      <w:r>
        <w:t xml:space="preserve">Cifras publicadas (CAS), sin ajustes. Para el EBIT se sacan del resultado de explotación los ingresos financieros netos, los resultados de los productos de tesorería y los cambios de valor razonable (en 2025, 414 M; en el 1S26, 244 M, con pérdidas de cambio por los fondos de la salida a bolsa en HKD), que pasan al resultado financiero; las subvenciones públicas (81 M en 2025) se quedan en el EBIT porque se repiten cada año [1, 5]. Los BPA y DPA de todos los años van en acciones de hoy: ÷ 1,3 por la ampliación liberada de 3 × 10 de septiembre de 2024 y otra vez ÷ 1,3 por la de mayo de 2026 [2, 5]. El beneficio sin extraordinarios (扣非) fue de 4.184 M en 2025 (−5,2 % sobre el publicado), por las ganancias de tesorería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1S26 (17-sep-2026) los analistas preguntaron sobre todo por el frenazo del 2T: energéticas +1,46 % y sur de China (Guangdong) +2,89 % en el trimestre, frente al +15,89 % del grupo en el semestre [11]. La dirección lo atribuyó al tiempo extremo en el sur y a la competencia, y dijo que el inventario del canal es «razonable», pero no dio cifras de rotación del distribuidor ni de venta por punto, que eran lo que se le pidió [11]. Reconoció la guerra de precios en electrolitos (más de 100 marcas, «segunda unidad a mitad de precio»): Sip Water pasó de +119 % en 2025 a +12 % en el 1S26 y la empresa prefiere «cuota sostenible» antes que margen o crecimiento [11]. Sobre el flujo de caja (2.493 M frente a 2.867 M de beneficio en el 1S26) citó compras de materias primas a precio cerrado y más neveras en el punto de venta [11]. La diferencia de 8,8 puntos entre beneficio y beneficio sin extraordinarios del 2T vino de pérdidas de cambio (recurrentes) y ganancias de tesorería (extraordinarias) [11]. Frente a la conferencia de mayo, el discurso pasó de «el multiproducto confirma la estrategia» y la recompra hasta el tope de 2.000 M [12] a medir «impulso puntual o tendencia» en el norte y el este [11]. No dio guía ni objetivo de beneficio sin extraordinarios para el 2S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el activo total crece un 52 % y los ingresos un 22 %).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es negativo (−551 M en 2025: existencias 657 M y clientes 91 M frente a 1.289 M de proveedores) y, con los anticipos de distribuidores, la empresa crece con el dinero de su red [1]. La caja neta de deuda pasó de 751 M en 2020 a unos 8.500 M a fin de 2025 contando productos de tesorería y depósitos a plazo, y a 17.500 M en jun-26 tras la salida a bolsa H (9.280 M netos) [1, 5]. La deuda bruta a corto subió de 474 M (2020) a 6.630 M (2025) sin necesidad: se toma a tipos del 1-2 % y se coloca la tesorería a más plazo [1]. En el 1S26 las existencias subieron a 744 M y los anticipos a proveedores siguieron altos por las compras de PET y azúcar a precio cerrado [5,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13.492</w:t>
      </w:r>
      <w:r>
        <w:t xml:space="preserve">, conversión </w:t>
      </w:r>
      <w:r>
        <w:rPr>
          <w:b/>
          <w:bCs/>
        </w:rPr>
        <w:t xml:space="preserve">102 %</w:t>
      </w:r>
      <w:r>
        <w:t xml:space="preserve"> del beneficio neto; adquisiciones 368, dividendos 7.147, recompras 0.</w:t>
      </w:r>
    </w:p>
    <w:p>
      <w:pPr>
        <w:spacing w:after="100"/>
      </w:pPr>
      <w:r>
        <w:t xml:space="preserve">La conversión del beneficio en caja es alta y estructural: el flujo operativo fue 1,4 veces el beneficio en 2025 (6.174 M) y 1,7 en 2024, porque los distribuidores pagan por adelantado [1]. El capex se disparó (2.269 M en 2025, el 10,9 % de las ventas, frente al 8,1 % de 2023) por las fábricas nuevas de Hainan, Kunming, Tianjin, Chongqing y otras bases; la empresa no separa mantenimiento y crecimiento, y con una amortización del 2,4 % de las ventas estimamos (estimación propia) que unos 8 puntos del capex de 2025 son de crecimiento [1]. En el 1S26 el flujo operativo cayó por debajo del beneficio (2.493 M frente a 2.867 M) por compras anticipadas de materias primas y neveras [5, 11]. Los dividendos absorben la mayor parte del flujo libre (2.600 M pagados en 2025) y la política 2026-2028 promete al menos el 80 % del beneficio [1, 14]. Las «adquisiciones» de 2025 (356 M) son la compra de una sociedad tenedora de suelo, no un negocio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(德勤华永; Deloitte Hong Kong para la 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también la auditoría del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desde 2024; antes, PwC Zhong Tian (cinco años hasta 2023), cambio habitual en China tras la sanción a PwC por Evergrande, no por un desacuerdo [1, 3]. No hay pagos en acciones ni capitalización de I+D (66 M de I+D a gastos). El reconocimiento de ingresos es al entregar al distribuidor; el riesgo está en las bonificaciones comerciales: se registran como menos ingreso y su saldo por pagar subió un 70 % en el 1T26 [12]. Si el canal se llena para llegar a las cifras, lo veríamos en anticipos de distribuidores que bajan (−14 % entre dic-25 y jun-26, en parte estacional) y bonificaciones que suben: es la señal a vigilar [5, 12]. El beneficio sin extraordinarios es un 5 % menor que el publicado en 2025 y un 9 % menor en el 1S26 por las ganancias de tesorería [1,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Bonificaciones comerciales por pagar +70 % en el 1T26 (3.448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atribuye a la promoción de productos nuevos y a más competencia; puede anticipar un margen neto menor o un canal empujado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del 1S26 por debajo del beneficio (0,87 veces)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materias primas a precio cerrado y neveras; en el año completo la conversión suele superar 1,3 veces por los anticipos de distribuidores del 4T [1,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Préstamos a corto de 5.649-6.630 M con 13.000-23.600 M de tesorería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Arbitraje de tipos habitual en China; no es necesidad de caja, pero infla el balance y la deuda bruta [1,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5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38,4 % · </w:t>
      </w:r>
      <w:r>
        <w:rPr>
          <w:b/>
          <w:bCs/>
        </w:rPr>
        <w:t xml:space="preserve">WACC</w:t>
      </w:r>
      <w:r>
        <w:t xml:space="preserve">: 8,2 %.</w:t>
      </w:r>
    </w:p>
    <w:p>
      <w:pPr>
        <w:spacing w:after="100"/>
      </w:pPr>
      <w:r>
        <w:t xml:space="preserve">Eastroc crea mucho valor: el ROIC prudente fue del 41,9 % en 2025 frente a un WACC del 8,24 %, y ha estado entre el 27,6 % y el 68,1 % en 2020-2025 [1, 2, 3, 4]. Es prudente porque deja dentro del capital invertido los depósitos y la tesorería. Viene de un margen EBIT del 25 % sobre una botella barata y de un capital pequeño: los distribuidores pagan por adelantado y las fábricas cuestan poco para lo que venden (las ventas fueron 3,3 veces el inmovilizado en 2025). El ROIC incremental de 2020-2025 fue del 38,4 %: cada yuan invertido en fábricas nuevas ha rendido casi lo mismo que los viejos. El ROE fue del 51,6 % en 2025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14.475 M + productos de tesorería y depósitos a corto 8.248 M + depósitos e inversiones a largo 881 M a 30-jun-2026 (23.604 M en total) frente a 5.649 M de préstamos a corto (sobre todo descuento de efectos y préstamos bancarios al 1-2 %)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más grande no es deuda: los anticipos de distribuidores (合同负债) suman 5.974 M a fin de 2025 (5.130 M en jun-26), el 29 % de las ventas: los distribuidores pagan antes de recibir la mercancía [1, 5]. Los «otros acreedores» (1.397 M) incluyen depósitos de distribuidores y las bonificaciones comerciales por pagar, que en el 1T26 subieron un 70 % hasta 3.448 M según la propia empresa por la promoción de los productos nuevos [12]. Sin pensiones, litigios ni garantías relevantes a terceros; la empresa avala a sus filiales [1]. Los préstamos a corto (6.630 M a fin de 2025) conviven con 13.000-23.000 M de tesorería: es arbitraje de tipos (préstamo al 1-2 %, depósitos al 2-3 %), no necesidad de financiación [1, 5].</w:t>
      </w:r>
    </w:p>
    <w:p>
      <w:pPr>
        <w:pStyle w:val="Heading1"/>
      </w:pPr>
      <w:r>
        <w:t xml:space="preserve">12. Asignación de capital</w:t>
      </w:r>
    </w:p>
    <w:p>
      <w:pPr>
        <w:pStyle w:val="Confianza"/>
        <w:spacing w:after="100"/>
      </w:pPr>
      <w:r>
        <w:t xml:space="preserve">Confianza: Alta</w:t>
      </w:r>
    </w:p>
    <w:p>
      <w:pPr>
        <w:spacing w:after="100"/>
      </w:pPr>
      <w:r>
        <w:t xml:space="preserve">Política de dividendos 2026-2028: al menos el 80 % del beneficio atribuido, con dividendo anual y a cuenta [14]. Dividendos de 2025: 25 CNY por 10 acciones a cuenta (1.300 M) y 25 por 10 final (1.412 M), el 61 % del beneficio; a cuenta de 2026, 30 CNY por 10 acciones (2.181 M, el 76 % del beneficio del 1S26) [1, 5]. Recompra de A de 1.000-2.000 M aprobada en abril de 2026 (12 meses, para amortizar o planes de empleados): 1.038,7 M ejecutados a 134-155 CNY por acción hasta jun-26 y nada más hasta el 30-sep [16]. Autorización para recomprar hasta el 10 % de las H (julio de 2026), sin uso conocido [5]. La salida a bolsa H aportó 9.280 M netos para capacidad, marca y el sudeste asiático [5,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dirección asigna capital con disciplina pero con dos dudas. A favor: crecimiento orgánico sin compras, capex que entra en servicio con rapidez (el inmovilizado se multiplicó por 3,4 entre 2020 y 2025 y las ventas por 4,2) y un reparto creciente de dividendos [1, 4]. En contra: la salida a bolsa H se hizo a 248 HKD (190,8 HKD en acciones de hoy) cuando la empresa ya tenía más de 13.000 M de tesorería, diluyendo un 8,6 % para guardar el dinero; y la recompra de A se ejecutó a 134-155 CNY, entre un 18 % y un 37 % por encima del precio actual de la A [5, 16]. Pagar el 80 % del beneficio con 17.500 M de caja neta es coherente: la caja sobra. No hay compras de empresas en diez años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Muqin (林木勤)</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(总裁)</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de hecho: entró en 1997, compró la empresa en 2003 y lanzó Eastroc Super Drink en 2009. Con él las ventas pasaron de unos 300 M a 20.875 M CNY (2025) con márgenes crecientes [1,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Mugang (林木港)</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ejecutivo adjunto (执行总裁)</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Hermano del presidente; dirige ventas y marketing desde 2001. Responsable de la red de distribuidores [1,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Peng Dexin (彭得新)</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2003 (jefe de finanzas y director financiero adjunto); director financiero desde octubre de 2021 [1,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 Yifu (卢义富)</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vicepresidente, ventas nacionales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Once años en JDB (加多宝) como director regional y uno en Xiangpiaopiao; llegó en 2018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 Weiwei (蒋薇薇)</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y vicepresidenta, marca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Viene de la publicidad (Charm Media); dirige la marca y los patrocinios deportivos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 Yajun (胡亚军)</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 director del área internacional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en Swire Coca-Cola y Pepsi China; dirige el sudeste asiático, la apuesta de crecimiento con los fondos de la H [21].</w:t>
            </w:r>
          </w:p>
        </w:tc>
      </w:tr>
    </w:tbl>
    <w:p>
      <w:pPr>
        <w:spacing w:after="160" w:before="0"/>
      </w:pPr>
    </w:p>
    <w:p>
      <w:pPr>
        <w:spacing w:after="100"/>
      </w:pPr>
      <w:r>
        <w:t xml:space="preserve">Equipo estable y de la casa: el presidente lleva 23 años al frente y su hermano 25; el director financiero, 23 en la empresa [1, 21]. La renovación del consejo de octubre de 2026 (anticipada cuatro meses) metió a dos ejecutivos comerciales (Hu Yajun y Yu Bin) y sacó a un consejero ejecutivo (Zhang Lei) y a una independiente [21]. No hay plan de sucesión publicado para un presidente de 62 años que concentra la marca, la estrategia y el 46 % del capital: es el riesgo de persona clave. La empresa no da guía anual, así que no se puede medir su cumplimiento; en la salida a bolsa de 2021 y en la H prometió crecer y lo hizo hasta 2025 [1, 10].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Muqin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sostenibilidad (presidente), 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Mugang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adjunto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 Weiwei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 Yifu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 Yajun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internacional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Bin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personas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Daiji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de los trabajadores (financiación)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Tai Kwok Leung Alexander (戴国良)</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Zhao Yali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Hongbin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(presidente), retribuciones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también la auditoría del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5,51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Muqin (presidente)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(persona física)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compra de H desde mayo de 2026 (180.800 H a 30-jun) con un plan de 100-200 M HKD [5,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Mugang (hermano,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(acción concertada)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(solo la ampliación liberada)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 Daiqin (sobrino)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Ruichang Kunpeng (sociedad de los directivos; socio: el hijo del 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 y familia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HKSCC Nominees (titular de las 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de las H (inversores ancla y otros)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desde feb-2026; los 16 anclas (49 % de las H) quedaron libres el 3-ago-2026 [5,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 Securities Clearing (Stock Connect hacia la 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extranjeros en la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−22,1 M acciones en el 1S26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 Yunsheng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histórico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(recompra de 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7.122.551 A compradas en mayo-junio de 2026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 Muqin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 Muqin (presidente), compras acumuladas de H hasta jun-26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5,32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cobró 5,32 M CNY en 2025 (antes de impuestos) y los cuatro ejecutivos siguientes entre 3,3 y 4,4 M [1]. El informe no separa fijo y variable; el variable anual se fija con la evaluación de ventas y beneficio de la comisión de retribuciones, sin métricas de rentabilidad sobre el capital ni de flujo de caja [1]. No hay planes de acciones ni opciones desde la salida a bolsa (la recompra de 2026 podría destinarse a uno) [1, 5]. La política de 2026 se aprobó con el 99,99 % a favor y un 0,02 % en contra entre los accionistas de menos del 5 % [23]. Con un 46 % del capital, el incentivo del presidente es el dividendo, no el sueldo: cobró unos 1.200 M CNY de dividendos en 2025 (estimación propia: 258,7 M de acciones × 4,7 CNY por acción antiguos).</w:t>
      </w:r>
    </w:p>
    <w:p>
      <w:pPr>
        <w:pStyle w:val="Heading2"/>
      </w:pPr>
      <w:r>
        <w:t xml:space="preserve">Operaciones vinculadas, estructura de control y defensas</w:t>
      </w:r>
    </w:p>
    <w:p>
      <w:pPr>
        <w:spacing w:after="100"/>
      </w:pPr>
      <w:r>
        <w:t xml:space="preserve">Lin Muqin controla la empresa con el 46,25 % de los votos (sin autocartera) y, con su hermano, su cuñado y la sociedad de la que es socio su hijo, el 57 % [5, 22]. Una acción, un voto, sin blindajes, pero ninguna junta puede ir contra él. El consejo de 11 tiene 7 ejecutivos (tres de la familia Lin: el presidente, su hermano y un consejero apellidado Lin) y 4 independientes, justo el tercio legal [21]. Las comisiones de auditoría, nombramientos y retribuciones están presididas por independientes [21]. No hay operaciones vinculadas relevantes publicadas. La A y la H votan juntas; la H tiene un 8 % del capital y su precio cotiza con un 27 % de descuento sobre la A [15].</w:t>
      </w:r>
    </w:p>
    <w:p>
      <w:pPr>
        <w:pStyle w:val="Heading2"/>
      </w:pPr>
      <w:r>
        <w:t xml:space="preserve">Señales de alerta</w:t>
      </w:r>
    </w:p>
    <w:p>
      <w:pPr>
        <w:pStyle w:val="ListParagraph"/>
        <w:numPr>
          <w:ilvl w:val="0"/>
          <w:numId w:val="2"/>
        </w:numPr>
        <w:spacing w:after="60"/>
      </w:pPr>
      <w:r>
        <w:t xml:space="preserve">Concentración del poder en el presidente (62 años): presidente y consejero delegado a la vez, 46 % del capital y sin plan de sucesión publicado [1, 21].</w:t>
      </w:r>
    </w:p>
    <w:p>
      <w:pPr>
        <w:pStyle w:val="ListParagraph"/>
        <w:numPr>
          <w:ilvl w:val="0"/>
          <w:numId w:val="2"/>
        </w:numPr>
        <w:spacing w:after="60"/>
      </w:pPr>
      <w:r>
        <w:t xml:space="preserve">Consejo con mayoría ejecutiva (7 de 11) y familiar; la renovación de octubre de 2026 se adelantó cuatro meses [21].</w:t>
      </w:r>
    </w:p>
    <w:p>
      <w:pPr>
        <w:pStyle w:val="ListParagraph"/>
        <w:numPr>
          <w:ilvl w:val="0"/>
          <w:numId w:val="2"/>
        </w:numPr>
        <w:spacing w:after="60"/>
      </w:pPr>
      <w:r>
        <w:t xml:space="preserve">Inversores ancla de la H (49 % de las H) sin bloqueo desde el 3-ago-2026 [24].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Eastroc no da guía anual de ventas ni de beneficio (lo repitió en septiembre de 2026: «no publicamos objetivos internos») [5]. Los compromisos cuantificados son de reparto: dividendo de al menos el 80 % del beneficio en 2026-2028 y recompra de A de 1.000-2.000 M hasta abril de 2027 [5]. Los resultados del 3T26 se aprueban el 29-oct-2026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86,50 – 154,33</w:t>
            </w:r>
          </w:p>
        </w:tc>
      </w:tr>
    </w:tbl>
    <w:p>
      <w:pPr>
        <w:spacing w:after="160" w:before="0"/>
      </w:pPr>
    </w:p>
    <w:p>
      <w:pPr>
        <w:pStyle w:val="Heading2"/>
      </w:pPr>
      <w:r>
        <w:t xml:space="preserve">Revisiones de estimaciones</w:t>
      </w:r>
    </w:p>
    <w:p>
      <w:pPr>
        <w:spacing w:after="100"/>
      </w:pPr>
      <w:r>
        <w:t xml:space="preserve">Las estimaciones bajaron desde abril: Jefferies recortó el objetivo de la A de 345,30 a 298 y luego a 268 CNY (en acciones antiguas), Nomura de 352,81 a 278,38 y Citi rebajó el BPA de 2026 y 2027 un 10 % y un 15 % y el objetivo de la H de 310,80 a 161,70 HKD por el tiempo y la competencia [17, 28]. El objetivo medio de 151,27 CNY para la A (19 analistas, todos con «comprar» de media) queda un 32 % sobre el precio de la A; pasado a base H con el cociente H/A de hoy (0,727) son 110,0 CNY (129 HKD) [28]. Dongfang Securities mantuvo «comprar» el 13-oct esperando un 3T parecido al 2T [19]. Las cifras de EBITDA y EBIT de MarketScreener incluyen ingresos financieros (su EBIT de 2025 es el resultado de explotación, 5.602 M): solo usamos ventas y BPA [27].</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H cotiza desde el 3-feb-2026: salió a 248 HKD (190,8 en acciones de hoy) y cerró el 16-oct en 97,40 HKD, un 49 % menos [26, 35]. La A, que da la historia, perdió un 49,5 % en un año frente al −5,9 % del CSI 300 y el −20,5 % del sector de alimentación y bebidas [26]. Tres golpes: la salida a bolsa H en máximos (febrero), el frenazo del 2T y la guerra de precios en electrolitos, y el vídeo falso del presidente (junio, −21 % en un mes en la A) [17, 37]. La H se ha abaratado más que la A: el descuento H/A pasó del 12 % en la salida a bolsa al 27 % (cociente 0,727) tras quedar libres los anclas en agosto [26]. La volatilidad de la H (54 %) y su caída máxima (−53,9 %) son de 8 meses. Beta de la A: 0,73 mensual a 5 años (0,51 semanal) frente al CSI 300 [26].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 -13,5 % / -38,8 % / -48,7 %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-54,1 % / +4,3 %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 cayó un 18,6 % en marzo. El 31-mar la A cayó un 10 % (límite diario) el día de los resultados de 2025: el beneficio del 4T25 creció solo un 6 % con ventas +23 % [1, 2]. En la H, caídas del 6-8 % el 2 y 4-mar al acabar la estabilización de la salida a bolsa (sobreasignación parcial) [35] y del 9 % el 26-mar.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 cayó un 13,8 % en mayo, con un −8,9 % el 26-may sin hecho de la empresa ese día; antes, un −9,7 % el 30-abr, día de los resultados del 1T26 (ventas +21,5 %, beneficio +28 %). Jefferies y Nomura recortaron objetivos en primavera [6,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 cayó un 19,0 % en junio y la mayor caída de un mes fue del −29,9 % hasta el 22-jun (A −21,4 % hasta el 24-jun): circuló un vídeo hecho con IA en el que el presidente rechazaba su bebida (la policía identificó al autor) y crecía el miedo a un verano flojo en el sur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 un mes hasta el 31-jul (+16,6 % en julio) (A +15,8 % hasta el 27-jul) pese al recorte de Citi del 16-jul: compras de H del presidente (plan de 100-200 M HKD) y avance del 1S26 con ventas +15,9 % [5, 17,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H devolvió el rebote (−5,4 % el 11-ago y −5,3 % el 26-ago) tras quedar libres el 3-ago los 16 inversores ancla (49 % de las H) y conocerse el frenazo del 2T26 en las energéticas (+1,5 %) [8,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aprueba los resultados del 3T26 el 29-oct [33]. Es el examen de la tesis: el 3T25 fue el mayor trimestre (6.107 M de ventas)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Dongfang Securities mantiene «comprar» y espera un 3T parecido al 2T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nuevo consejo de 11 (7 ejecutivos), cuatro meses antes de lo previsto, con el presidente al frente [15,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de A suma 7,12 M de acciones por 1.038,7 M CNY (134-155 CNY), toda en mayo-junio; nada en el 3T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bloqueo de seis meses de los 16 inversores ancla de la H (49 % de las H) [24]. El overhang ya está libre y la H cayó en agosto; no hay colocaciones anunciadas.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ventas +15,9 %, beneficio +20,7 %; energéticas +1,5 % en el 2T; dividendo a cuenta de 3,00 CNY por acción (2.181 M) [5,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rebaja el BPA de 2026 y 2027 un 10-15 % y el objetivo de la H de 310,80 a 161,70 HKD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y accionista de control anuncia que comprará H por 100-200 M HKD en seis meses (180.800 H a 30-jun); no hay ventas del accionista de control [22,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liberada de 3 acciones nuevas por cada 10 (sin dinero nuevo ni dilución); BPA y precios ajustados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a bolsa de la H a 248 HKD (190,8 HKD en acciones de hoy): 9.280 M CNY netos, 8,6 % de dilución; sobreasignación parcial de 3,87 M de H [5,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H cae un 54 % desde su máximo de febrero y está cerca del mínimo; la A, un 49 % en 12 meses y un 26 % bajo su media de 200 sesiones (P4, P5). Las causas son conocidas y están en la tesis: salida a bolsa H en máximos, frenazo de las energéticas en el 2T26, guerra de precios en electrolitos, recortes de analistas y el vídeo falso de junio [5, 8, 17]. No hay ningún hecho pendiente ajeno al análisis que pueda mover el precio más de un 5 % en contra: los anclas ya están libres, no hay colocaciones ni ventas anunciadas del accionista de control (que compra H) y la ampliación liberada no diluye. Los resultados del 3T26 (29-oct) son el examen de la tesis, pero por la regla 11 no retrasan.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la historia de la A pasada a base H, Eastroc cotiza a 12,3 veces el beneficio de los últimos 12 meses frente a una mediana de 28,2 veces en 2021-2025 (mínimo 22,9 en 2025), y a 7,1 veces el EBITDA frente a 18-32 veces [26]. Es el mínimo de su historia en bolsa. Ha cambiado algo de verdad: el crecimiento pasó del +30-40 % de 2021-2025 al +11 % del 2T26, con las energéticas planas en el trimestre [5, 8], y el riesgo de China pesa más desde 2024. Por eso no usamos la mediana histórica para el objetivo a 12 meses: el selector de método ve que la historia adelantada (21,3x) es 1,9 veces el PER de hoy y aplica la regla v2, que toma el PER actual.</w:t>
      </w:r>
    </w:p>
    <w:p>
      <w:pPr>
        <w:pStyle w:val="Heading1"/>
      </w:pPr>
      <w:r>
        <w:t xml:space="preserve">18. Comparables cotizados</w:t>
      </w:r>
    </w:p>
    <w:p>
      <w:pPr>
        <w:pStyle w:val="Confianza"/>
        <w:spacing w:after="100"/>
      </w:pPr>
      <w:r>
        <w:t xml:space="preserve">Confianza: Media</w:t>
      </w:r>
    </w:p>
    <w:p>
      <w:pPr>
        <w:spacing w:after="100"/>
      </w:pPr>
      <w:r>
        <w:t xml:space="preserve">Bebidas cotizadas con negocio parecido: Monster y Celsius (energéticas en EE. UU.), Carabao y Osotspa (energéticas en Tailandia, Carabao también en China), Nongfu Spring, Tingyi, Uni-President China y China Resources Beverage (bebidas envasadas en China, con la misma red de tiendas) y Coca-Cola como referencia mundial. Red Bull China no cotiza. Keurig Dr Pepper se deja fuera: su PER adelantado lo deforma la compra de JDE Peet's. Datos de Yahoo a 19-oct-2026, en millones de CNY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Eastroc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598.471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Nongfu Spring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 Kong (Tingyi)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Uni-President China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Resources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Carabao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Osotspa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Coca-Cola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2.698.904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14,0x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16,5x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2,3x / 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bl>
    <w:p>
      <w:pPr>
        <w:spacing w:after="160" w:before="0"/>
      </w:pPr>
    </w:p>
    <w:p>
      <w:pPr>
        <w:spacing w:after="100"/>
      </w:pPr>
      <w:r>
        <w:t xml:space="preserve">Eastroc cotiza a 10,7 veces el beneficio de los próximos 12 meses frente a una mediana de 16,5 veces de los comparables, con más crecimiento (12,6 % en los últimos 12 meses) y el margen EBITDA más alto del grupo tras Monster (28 %) [31]. El descuento frente a los chinos que venden en la misma red (Nongfu 22,9x, Tingyi 14,6x, CR Beverage 16,5x) se explica por la duda sobre el núcleo y por ser la H, más barata que la A. Frente a los tailandeses (Carabao 15,6x, Osotspa 12,8x), con el mismo producto, el descuento es menor. Monster (34,9x) muestra lo que paga el mercado por una marca de energéticas que crece en todo el mundo.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Alani Nu (bebidas energéticas,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Celsius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1.650 M USD netos de 150 M de activos fiscales; 2,77 veces las ventas de 2024 (595 M USD); «unas 12 veces» el EBITDA con sinergias, que no usamos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GHOST (bebidas energéticas,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Keurig Dr Pepper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990 M USD por el 60 % (100 % implícito 1.650 M USD); múltiplos no publicados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Rockstar Energy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25.719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3.850 M USD; múltiplos no publicados [36].</w:t>
            </w:r>
          </w:p>
        </w:tc>
      </w:tr>
    </w:tbl>
    <w:p>
      <w:pPr>
        <w:spacing w:after="160" w:before="0"/>
      </w:pPr>
    </w:p>
    <w:p>
      <w:pPr>
        <w:spacing w:after="160" w:before="0"/>
      </w:pPr>
    </w:p>
    <w:p>
      <w:pPr>
        <w:spacing w:after="100"/>
      </w:pPr>
      <w:r>
        <w:t xml:space="preserve">Hay pocas compras de marcas de energéticas con cifras: Alani Nu (Celsius, 2025) a 2,8 veces las ventas, GHOST (Keurig Dr Pepper, 2024) y Rockstar (PepsiCo, 2020), estas dos sin múltiplos publicados [32, 36]. Son marcas de EE. UU. que no fabrican, así que solo sirven de contraste: a 2,8 veces sus ventas de los últimos 12 meses (22.582 M), Eastroc valdría ≈ 63.000 M más su caja neta, cerca de su capitalización. No entran en la síntesis (peso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33 % anual entre 2020 y 2025 (4.959 → 20.875 M) [1, 4], pero se frenan: +21,5 % en el 1T26 y +11,3 % en el 2T26, con las energéticas +1,5 % y el sur de China +2,9 % en el trimestre [5, 8]. Proyectamos un 12 % en 2026e (año fijo: 1S real de 12.443 M y un 2S de 10.937 M, +7,9 % sobre el 2S25), un 10 % en 2027e y un 9 % en 2028e, bajando al 3 % en 2035e. El mercado de bebidas funcionales crecerá un 10,9 % anual hasta 2029 según Frost &amp; Sullivan, con el consumo per cápita de energéticas en China (5,3 litros) a un tercio del de EE. UU. [10]. El crecimiento viene de fuera del sur (norte, este y oeste aún al 17-25 %), de los electrolitos, el té y el café, y del sudeste asiático, donde abre fábrica en Indonesia [8, 11].</w:t>
      </w:r>
    </w:p>
    <w:p>
      <w:pPr>
        <w:keepNext/>
        <w:spacing w:after="100"/>
      </w:pPr>
      <w:r>
        <w:rPr>
          <w:b/>
          <w:bCs/>
        </w:rPr>
        <w:t xml:space="preserve">Márgenes.</w:t>
      </w:r>
    </w:p>
    <w:p>
      <w:pPr>
        <w:spacing w:after="100"/>
      </w:pPr>
      <w:r>
        <w:t xml:space="preserve">El margen EBITDA subió del 22,9 % en 2020 al 27,1 % en 2025, con el margen bruto en el 42-45 % (44,9 % en 2025) por el PET y el azúcar baratos y la escala [1, 4]. En el 1S26 el EBIT subió al 27,2 % (26,1 % en el 1S25) [5]. Proyectamos un 28,5 % en 2026e y una bajada lenta al 27 %, por dos razones: los electrolitos (35 % de margen bruto frente al 51 % de las energéticas) y el té pesan más, y la guerra de precios en electrolitos no ha terminado [1, 11]. La amortización sube del 2,4 % al 3,6 % de las ventas por las fábricas nuevas, así que el EBIT baja del 25,8 % en 2026e al 23,4 % al final.</w:t>
      </w:r>
    </w:p>
    <w:p>
      <w:pPr>
        <w:keepNext/>
        <w:spacing w:after="100"/>
      </w:pPr>
      <w:r>
        <w:rPr>
          <w:b/>
          <w:bCs/>
        </w:rPr>
        <w:t xml:space="preserve">Inversión y circulante.</w:t>
      </w:r>
    </w:p>
    <w:p>
      <w:pPr>
        <w:spacing w:after="100"/>
      </w:pPr>
      <w:r>
        <w:t xml:space="preserve">El capex fue del 10,9 % de las ventas en 2025 (2.269 M) y del 10,7 % en 2024, por las bases nuevas de Hainan, Kunming, Tianjin, Chongqing y otras [1]. Proyectamos un 9,5 % en 2026e y una bajada hasta el 3,8 % en 2034e, cerca de la amortización: con 13 bases en marcha, el ritmo de fábricas nuevas baja. El circulante es negativo (−2,5 % de las ventas, como en 2025): los distribuidores pagan por adelantado [1].</w:t>
      </w:r>
    </w:p>
    <w:p>
      <w:pPr>
        <w:keepNext/>
        <w:spacing w:after="100"/>
      </w:pPr>
      <w:r>
        <w:rPr>
          <w:b/>
          <w:bCs/>
        </w:rPr>
        <w:t xml:space="preserve">Coste del capital.</w:t>
      </w:r>
    </w:p>
    <w:p>
      <w:pPr>
        <w:spacing w:after="100"/>
      </w:pPr>
      <w:r>
        <w:t xml:space="preserve">Tasa libre del bono chino a 10 años (1,648 % el 16-oct-2026, ChinaBond [29]); beta de 0,85 (la de la A a 5 años mensual es 0,73 y la ajustada 0,82; redondeamos al alza porque la H es más volátil) [26]; prima de mercado del 5,5 % y prima adicional del 2,5 % (riesgo de China, control del fundador y dependencia de un producto). Coste de la deuda del 2 % (préstamos bancarios a corto en CNY) con un 8 % de peso. WACC del 8,24 %. Con la prima implícita del S&amp;P 500 (4,2 %) el WACC sería del 7,2 % [30].</w:t>
      </w:r>
    </w:p>
    <w:p>
      <w:pPr>
        <w:keepNext/>
        <w:spacing w:after="100"/>
      </w:pPr>
      <w:r>
        <w:rPr>
          <w:b/>
          <w:bCs/>
        </w:rPr>
        <w:t xml:space="preserve">Valor terminal.</w:t>
      </w:r>
    </w:p>
    <w:p>
      <w:pPr>
        <w:spacing w:after="100"/>
      </w:pPr>
      <w:r>
        <w:t xml:space="preserve">Gordon con un crecimiento del 1,1 %, por debajo de la tasa libre menos medio punto: el mercado chino de bebidas madura y no suponemos que el sudeste asiático cambie eso. El valor terminal es el 57 % del valor, poco para un negocio que crece, porque la caja neta pesa (21 CNY por acción) y los diez años de flujos son altos.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0,6 %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1,6 %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2,1 %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(reinvierte el 26 %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 (histórico: 38,4 %)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 frente al 6,4 %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 (hoy: 23,0 %)</w:t>
            </w:r>
          </w:p>
        </w:tc>
      </w:tr>
    </w:tbl>
    <w:p>
      <w:pPr>
        <w:spacing w:after="160" w:before="0"/>
      </w:pPr>
    </w:p>
    <w:p>
      <w:pPr>
        <w:spacing w:after="100"/>
      </w:pPr>
      <w:r>
        <w:t xml:space="preserve">La proyección apenas necesita inversión neta de la amortización (reinversión acumulada de 4.923 M, el 8 % del NOPAT, con un capex bruto medio del 5,4 % de las ventas). En un negocio de activos ligeros, el crecimiento medio del 6,4 % tiene que salir de subir precios y de ganar volumen sin capital nuevo, y la prueba es el poder de precios y la cuota (24,7 % del mercado en 2030e, frente al 23,0 %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+11 % (1S26: +15,9 % en ventas con precios estables; energéticas ≈ +7 % en el semestre, +13,1 % en el 1T y +1,5 % en el 2T, y electrolitos +12 % [8, 11]), precio del −0,5 % (promociones en electrolitos, «segunda unidad a mitad de precio» [11]) y 1,5 puntos de mezcla y otros (té, café y exportación).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+8,5 % (norte, este y oeste; el sur ya tiene una nevera en casi cada tienda), precio del +0,5 % y un punto de nuevos productos y sudeste asiático.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+7,5 %, precio del +0,5 % y un punto del sudeste asiático (fábrica de Indonesia).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+5,5 %, precio del +0,5 % y un punto de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+4,5 %, precio del +0,5 % y un punto de mezcla. Ventas de 31.812 M CNY: el 24,7 % del mercado de bebidas funcionales de 2030e pasado a precio de fábrica (128.890 M), frente al 23,0 % de 2024 [10]: la cuota sube poco.</w:t>
            </w:r>
          </w:p>
        </w:tc>
      </w:tr>
    </w:tbl>
    <w:p>
      <w:pPr>
        <w:spacing w:after="160" w:before="0"/>
      </w:pPr>
    </w:p>
    <w:p>
      <w:pPr>
        <w:spacing w:after="100"/>
      </w:pPr>
      <w:r>
        <w:t xml:space="preserve">Sí. La proyección crece un 6,4 % al año, la quinta parte del 33 % de 2020-2025, en un mercado que Frost &amp; Sullivan ve crecer un 10,9 % [1, 10]: la cuota pasa del 23,0 % al 24,7 %. El negocio necesita poca inversión neta (el 8 % del NOPAT) y el ROIC es del 41,9 %, así que el crecimiento se financia solo: con la reinversión bruta, el ROIC actual paga un 11 % al año. El foso es estrecho (marca y red de 4 millones de puntos de venta con neveras), con poder de precio limitado: su ventaja es vender barato (3-6 CNY la botella al público), no subir precios [1, 10]. Lo que puede fallar no es la calidad sino la demanda: el 2T26 dejó las energéticas planas.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16,3 % (base: 27,0 %)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 (WACC: 8,2 %)</w:t>
            </w:r>
          </w:p>
        </w:tc>
      </w:tr>
    </w:tbl>
    <w:p>
      <w:pPr>
        <w:spacing w:after="160" w:before="0"/>
      </w:pPr>
    </w:p>
    <w:p>
      <w:pPr>
        <w:spacing w:after="100"/>
      </w:pPr>
      <w:r>
        <w:t xml:space="preserve">El DCF da 137,54 CNY por acción (161,3 HKD), un 65,6 % por encima del precio, con un WACC del 8,24 % y un crecimiento terminal del 1,1 %; el valor terminal es el 57 % del total y la caja neta, 21 CNY por acción (el 25 % del precio). El DCF inverso dice que el precio de hoy equivale a que las ventas bajen un 3,3 % al año entre 2027 y 2035, o a un margen EBITDA del 16,3 % para siempre, frente al 27,1 % de 2025 y un mínimo del 22,3 % (2021) en seis años [1, 4]; o a una rentabilidad anual del 14,1 %, frente a un WACC del 8,2 %. Es un precio muy exigente con el pesimismo: descuenta que el núcleo se encoge. Lo que sí es razonable temer es que el crecimiento baje del 10 % a un dígito bajo antes de lo que proyectamos; con el bajista (4 puntos menos de crecimiento y 2,5 de margen) el valor sigue en 96,68 CNY, un 16 % por encima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2T26 no fue el tiempo: las energéticas se quedan planas en el sur, Monster y Red Bull bajan precios, la guerra de electrolitos dura y el té y el café rinden poco. 4 puntos menos de crecimiento desde 2027 y 2,5 puntos menos de margen EBITDA.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9-10 % en 2027-2028 con el norte, el este, los electrolitos y el té; margen EBITDA del 27-28 % con la mezcla en contra; reparto de al menos el 80 %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2T26 fue el tiempo y el núcleo vuelve a crecer al 10 %; el sudeste asiático y el café suman: 3 puntos más de crecimiento y 1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CNY) · precio actual 83,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135,62 CNY (+63,3 %).</w:t>
      </w:r>
    </w:p>
    <w:p>
      <w:pPr>
        <w:spacing w:after="100"/>
      </w:pPr>
      <w:r>
        <w:t xml:space="preserve">Probabilidades del 25/50/25. El bajista no es una catástrofe porque el negocio tiene caja neta, poco capital y un margen alto: aun con un núcleo plano, el DCF da 96,68 CNY, un 16 % sobre el precio. Para que el valor baje del precio haría falta un margen EBITDA del 16 % o que las ventas caigan, algo que no ha pasado en ningún año de su historia en bolsa [1, 2, 3, 4]. El riesgo a 12 meses es distinto: si el mercado sigue pagando 9-10 veces el beneficio y el BPA no crece, la acción puede caer un 24 % (bajista a 12 meses, 62,99 CNY).</w:t>
      </w:r>
    </w:p>
    <w:p>
      <w:pPr>
        <w:pStyle w:val="Heading1"/>
      </w:pPr>
      <w:r>
        <w:t xml:space="preserve">22. Suma de partes</w:t>
      </w:r>
    </w:p>
    <w:p>
      <w:pPr>
        <w:pStyle w:val="Confianza"/>
        <w:spacing w:after="100"/>
      </w:pPr>
      <w:r>
        <w:t xml:space="preserve">Confianza: Media</w:t>
      </w:r>
    </w:p>
    <w:p>
      <w:pPr>
        <w:spacing w:after="100"/>
      </w:pPr>
      <w:r>
        <w:t xml:space="preserve">No aplica: Eastroc es un solo negocio de bebidas con una marca principal, sin filiales cotizadas ni negocios con riesgo distinto.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CNY) · precio actual 83,0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135,70 CNY (+63,4 % sobre 83,04).</w:t>
      </w:r>
    </w:p>
    <w:p>
      <w:pPr>
        <w:spacing w:after="100"/>
      </w:pPr>
      <w:r>
        <w:t xml:space="preserve">El valor intrínseco (135,70 CNY, 159,16 HKD) sale en un 60 % del DCF (137,54), un 25 % de los escenarios (135,6 de media ponderada) y un 15 % de los comparables por PER (128,45). Está un 63 % por encima del precio, pero el objetivo a 12 meses es mucho menor (91,25 CNY), porque no supone que el PER suba. La diferencia entre los dos dice lo que el mercado descuenta: un negocio que deja de crecer (−3,3 % al año en el DCF inverso) o un margen EBITDA del 16 % para siempre, cuando el peor de los últimos seis años fue el 22,3 % de 2021 [4]. Para decidir manda el objetivo a 12 meses; el valor intrínseco dice que, si el crecimiento vuelve, hay mucho más recorrido. La H se compra con un 27 % de descuento frente a la A, con los mismos derechos y dividendos [26].</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r>
    </w:tbl>
    <w:p>
      <w:pPr>
        <w:spacing w:after="160" w:before="0"/>
      </w:pPr>
    </w:p>
    <w:p>
      <w:pPr>
        <w:spacing w:after="100"/>
      </w:pPr>
      <w:r>
        <w:rPr>
          <w:b/>
          <w:bCs/>
        </w:rPr>
        <w:t xml:space="preserve">Objetivo a 12 meses (ponderado):</w:t>
      </w:r>
      <w:r>
        <w:t xml:space="preserve"> 91,25 CNY (107,03 HKD) · rentabilidad +15,8 % (base +12,1 %) · señal Comprar.</w:t>
      </w:r>
    </w:p>
    <w:p>
      <w:pPr>
        <w:spacing w:after="100"/>
      </w:pPr>
      <w:r>
        <w:t xml:space="preserve">Para comparar, con la regla v2 (historia al cierre, mismo precio): 9,5x / 11,2x / 14,6x, 15,8 % Comprar; con el tope anterior del base (×1,3, 14-oct mediodía): 49,5 % Comprar; con la v3 sin el selector (tope ×1,1): 27,7 % Comprar. Decide la v2, elegida por el selector de método (desrateada: la mediana adelantada (21,3x) es 1,9 veces el PER de hoy (11,2x); la historia es de otro régimen y decide la v2; METODO-VIGENTE.md).</w:t>
      </w:r>
    </w:p>
    <w:p>
      <w:pPr>
        <w:keepNext/>
        <w:spacing w:after="100"/>
      </w:pPr>
      <w:r>
        <w:rPr>
          <w:b/>
          <w:bCs/>
        </w:rPr>
        <w:t xml:space="preserve">Frente al consenso (solo contraste).</w:t>
      </w:r>
    </w:p>
    <w:p>
      <w:pPr>
        <w:spacing w:after="100"/>
      </w:pPr>
      <w:r>
        <w:t xml:space="preserve">Nuestro BPA de 2027e (7,40 CNY) está un 7 % por debajo del consenso (7,97 CNY, 19 analistas [27]) y el de 2028e (7,87 CNY) un 14 % por debajo (9,13 CNY): los analistas suponen ventas de 30.262 M en 2028e (+13 % al año) y un margen estable; nosotros, +9-10 % al año y algo menos de margen por la mezcla (electrolitos y té, con menos margen que las energéticas) y la amortización de las fábricas nuevas. En 2026e coincidimos (7,07 frente a 7,06). Nuestro precio base a 12 meses (88,14 CNY, 103,38 HKD) queda un 20 % por debajo del objetivo medio de los analistas pasado a base H (109,96 CNY = 151,27 CNY de la A × 0,7269 [28]): ellos valoran la A a unas 19 veces el BPA de 2027e; nosotros, la H al PER de hoy (11,2x). Los objetivos bajan desde abril (Jefferies, Nomura y Citi) [17, 28].</w:t>
      </w:r>
    </w:p>
    <w:p>
      <w:pPr>
        <w:keepNext/>
        <w:spacing w:after="100"/>
      </w:pPr>
      <w:r>
        <w:rPr>
          <w:b/>
          <w:bCs/>
        </w:rPr>
        <w:t xml:space="preserve">Del valor intrínseco al objetivo a 12 meses.</w:t>
      </w:r>
    </w:p>
    <w:p>
      <w:pPr>
        <w:spacing w:after="100"/>
      </w:pPr>
      <w:r>
        <w:t xml:space="preserve">El objetivo a 12 meses (91,25 CNY, 107,03 HKD) da un 15,8 % con dividendo (12,1 % en el caso base): justo por encima de los umbrales de compra (15 % y 12 %), sin margen. El base es el PER de hoy (11,2x; la regla v2 toma el menor entre el actual y la mediana de 28,2x) sobre un BPA de 2028e que crece un 5,5 % al año desde 2026e, más un 5,9 % de dividendo (el de los últimos 12 meses; con el 80 % de reparto del BPA de 2026e sería un 6,8 %). Toda la rentabilidad sale del beneficio y del dividendo, no de que el mercado vuelva a pagar más: si el PER solo subiera a la mediana adelantada (21,3x), el precio se doblaría. El bajista (9,5x × 6,63 = 62,99 CNY) supone un núcleo plano y una guerra de precios. La compra es frágil: con un BPA un 10 % peor ya no pasa.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(3T26), aprobados por el consejo ese día [33]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el frenazo de las energéticas en el 2T26 (+1,5 %) fue el tiempo o el techo; el 3T25 fue el mayor trimestre (6.107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final (al menos el 80 % del beneficio)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total de ≈ 5,7 CNY por acción (6,8 %) si el BPA es el nuestro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plazo de la recompra de A (1.000-2.000 M; 1.038,7 M hechos) y uso de la autorización para recomprar H [5,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 H con un 27 % de descuento frente a la A crearía valor directo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la H en el Stock Connect y cierre del descuento H/A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descuento pasó del 12 % en la salida al 27 %; volver al 12 % sería un +20 % para la H</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 a 2027-09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alta de 2027 (2T y 3T suman el 58 % de las ventas)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verano normal en el sur separa el base del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Arranque de la fábrica de Indonesia y ventas en Vietnam y Malasia [5, 11]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crecimiento fuera de China; pequeño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núcleo (Eastroc Super Drink) ha tocado techo en el sur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 a 12 meses en el bajista (9,5x × 6,63); DCF de 96,68 CNY con 4 puntos menos de crecimiento y 2,5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del sur aún crece al 17-25 % y el consumo per cápita de China es un tercio del de EE. UU. [8,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Energéticas por debajo del +5 % en el 3T26 y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en electrolitos y entrada de Monster (Predator) en la gama barata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−8 % del BPA de 2028e por cada punto de margen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más bajo del sector (13 bases regionales) y red de 4 millones de puntos con neveras [1,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43 %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azúcar y regulación (etiquetas, impuestos al azúcar, cafeína)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Lento; recogido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Versiones sin azúcar y bebidas de electrolitos y té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Propuestas de impuesto al azúcar o límites de cafeína en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PET y del azúcar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Las materias primas son el 80 % del coste: +10 % en PET y azúcar ≈ −2 puntos de margen bruto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 precio cerrado y escala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 y azúcar más de un 15 % por encima de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fundador con el 46 % y consejo con mayoría ejecutiva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Riesgo de asignación de capital (la salida a bolsa H se hizo con 13.000 M de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al menos el 80 % del beneficio y compras de H del presidente (plan de 100-200 M HKD) [14,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empresas fuera de bebidas o recortes del reparto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 de la H frente a la A y liquidez de la 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 el cociente H/A baja de 0,73 a 0,60, la H pierde un 17 % sin cambiar nada del negocio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Mismos derechos y dividendos; los anclas ya están libres desde agosto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 H/A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de país (China): consumo débil, regulación y relaciones con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Recogido en la prima adicional del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barato de consumo diario y sin ventas a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minoristas de bebidas en China en negativo varios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 noticias falsas como la del vídeo de junio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Un vídeo falso le costó unos 7.000 M CNY de capitalización en cuatro sesiones, que no afectaron a las ventas [17]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no sustituye una bebida; la empresa usa IA y códigos QR para vender y fabricar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vídeos falsos o campañas en redes</w:t>
            </w:r>
          </w:p>
        </w:tc>
      </w:tr>
    </w:tbl>
    <w:p>
      <w:pPr>
        <w:spacing w:after="160" w:before="0"/>
      </w:pPr>
    </w:p>
    <w:p>
      <w:pPr>
        <w:pStyle w:val="Heading2"/>
      </w:pPr>
      <w:r>
        <w:t xml:space="preserve">Pre-mortem</w:t>
      </w:r>
    </w:p>
    <w:p>
      <w:pPr>
        <w:spacing w:after="100"/>
      </w:pPr>
      <w:r>
        <w:t xml:space="preserve">Es octubre de 2029 y la H ha perdido un 40 %. Lo que pasó: el frenazo del 2T26 no fue el tiempo. En el sur, donde vende un tercio, las energéticas dejaron de crecer porque ya había una nevera en cada tienda y los repartidores pasaron al café y al té sin azúcar. En el resto de China, Monster con Predator y Red Bull bajaron precios y Eastroc tuvo que dar más promociones. Los electrolitos, que debían tomar el relevo, quedaron en una guerra de precios con más de cien marcas. Las ventas crecieron al 3-4 % y el margen EBITDA bajó al 24 %, con las fábricas nuevas a medio uso y la amortización subiendo. El BPA se quedó en 6-6,5 CNY durante tres años, el reparto del 80 % se mantuvo pero no subió, y el mercado pagó 8-9 veces el beneficio, como a una empresa de consumo madura de China. El descuento de la H frente a la A se amplió al 40 %. Lo habrían anticipado las energéticas por debajo del +5 % en el 3T26 y el 4T26, el margen bruto por debajo del 43 % y la cuota en energéticas de NielsenIQ.</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a 3-5 años en el valor del negocio; riesgo de reputación puntual (un vídeo falso le costó ≈ 7.000 M CNY de capitalización en cuatro sesiones de junio de 2026) [17]</w:t>
      </w:r>
    </w:p>
    <w:p>
      <w:pPr>
        <w:spacing w:after="100"/>
      </w:pPr>
      <w:r>
        <w:t xml:space="preserve">La IA no puede sustituir una bebida energética de 3-6 CNY que se compra por impulso en una tienda, y casi todo el coste es materia prima, fábrica y transporte, que la IA no toca. Eastroc ya la usa para lo que sirve: los códigos QR bajo el tapón le dan datos de 4 millones de puntos de venta y de los consumidores, con los que planifica promociones, rutas y producción [1]. Las ganancias de productividad son pequeñas frente a un margen EBIT del 25 %. El riesgo real es de reputación: en junio de 2026 circuló un vídeo hecho con IA en el que el presidente rechazaba su bebida, y en ese mes la A cayó un 21 %, también por el miedo al frenazo, aunque las ventas no lo notaron [17]. Señal: nuevos episodios de vídeos falsos o caídas de venta en los meses siguientes.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son el azúcar y la salud del consumidor (la mayoría de la gama lleva azúcar y cafeína), el plástico (PET de un solo uso: unas 6 millones de toneladas de bebida al año) y la seguridad alimentaria [20]. La empresa publica informe de sostenibilidad desde 2023 y uno conforme a HKEX en 2025, con datos de emisiones y uso de PET reciclado en parte de la gama [20]. No hay impuestos al carbono o al plástico que hoy afecten a las cifras; un impuesto al azúcar sí lo haría.</w:t>
      </w:r>
    </w:p>
    <w:p>
      <w:pPr>
        <w:pStyle w:val="Heading2"/>
      </w:pPr>
      <w:r>
        <w:t xml:space="preserve">Controversias</w:t>
      </w:r>
    </w:p>
    <w:p>
      <w:pPr>
        <w:spacing w:after="100"/>
      </w:pPr>
      <w:r>
        <w:t xml:space="preserve">En junio de 2026 circuló un vídeo manipulado con IA en el que el presidente rechazaba su propia bebida; la policía identificó al autor y la empresa no tuvo responsabilidad, pero la acción perdió unos 7.000 M CNY de valor en cuatro sesiones [17]. No constan sanciones de reguladores en los últimos tres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Núcleo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crecieron las energéticas en el sur en julio-septiembre, y qué parte del frenazo del 2T26 fue el tiempo y qué parte la demanda?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 la dirección no dio cifras en septiembre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días de inventario tienen los distribuidores y cuánto vende cada punto de venta frente a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2T con el canal lleno haría peor el 3T.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Electrolitos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 Sip Water tras las promociones de 2026 y cuándo espera que acabe la guerra de precios?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segundo motor y diluye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 A a 134-155 CNY y no H, que cuesta un 27 % menos, si la junta ya lo autorizó?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la mejor asignación de capital posible con 23.600 M de tesorería [5,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Sudeste asiático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margen espera de Indonesia, Vietnam y Malasia en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destino de los fondos de la H y la mayor palanca de crecimiento fuera de China.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para el presidente (62 años) y por qué se adelantó la renovación del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poder y consejo con mayoría ejecutiva [21].</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(A, 605499)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Cansancio y capitulación parcial: «desde que entré no ha habido una sola buena noticia», «vendedlo todo», junto a quien compra «una posición de base» y espera al 3T; muchos temen que el 3T sea flojo y lleve la acción a 80-90 CNY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(H, hk09980)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comenta que la H está un 50 % bajo el precio de salida («los anclas lloran») y el descuento frente a la A; noticias de recompras en todo el mercado y de la compra de suelo en Zhengzhou [19].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SSE Roadshow, conferencia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técnicas y escépticas: energéticas +1,46 % en el 2T, Guangdong +2,89 %, flujo de caja, guerra de precios en Sip Water y riesgo de dispersarse en productos de poco margen [11].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SSE Roadshow, conferencia de 2025 y 1T26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sobre las bonificaciones por pagar (+70 %), el flujo del 1T y la recompra; a la vez, entusiasmo por los nuevos productos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núcleo (Eastroc Super Drink) ha tocado techo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a medias: energéticas +17,3 % en 2025, +13,1 % en el 1T26 y +1,5 % en el 2T26; fuera del sur aún crecen al 17-25 % [11,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y azúcar (vídeos sobre bebidas y enfermedades)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a largo plazo que el informe recoge (regulación y gusto); sin efecto medible aún en las cifras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acción ya está barata (PER bajo y dividendo alto)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múltiplo: la H cotiza a unas 12 veces el beneficio de 2026 con un dividendo de al menos el 80 % del beneficio [19,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del 3T (29-oct) como juez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próximo hecho: el 3T25 fue el trimestre más grande (6.107 M de ventas) y la base es exigente [38].</w:t>
            </w:r>
          </w:p>
        </w:tc>
      </w:tr>
    </w:tbl>
    <w:p>
      <w:pPr>
        <w:spacing w:after="160" w:before="0"/>
      </w:pPr>
    </w:p>
    <w:p>
      <w:pPr>
        <w:spacing w:after="100"/>
      </w:pPr>
      <w:r>
        <w:t xml:space="preserve">El tono de los particulares es de capitulación: en la A y en la H dominan los mensajes de venta y la idea de que el crecimiento se acabó, mientras los analistas mantienen «comprar» con un objetivo un 32 % por encima de la A [19, 38]. Ese contraste es típico de un suelo de expectativas, pero no prueba nada: la duda de fondo (si el 2T es tiempo o techo) es la misma que tiene el informe, y la responde el 3T del 29-oct. Ningún dato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22 controles correctos y 1 explicados. Fuentes: 38 (26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52 % y los ingresos un 22 %: si hubo una compra cerca del cierre, decláralo en financieros.cambios_perimetro y explícalo. Explicación: No hubo compras: Eastroc no ha comprado ninguna empresa en diez años [1, 3]. El activo creció un 52 % en 2022 porque tomó 3.000 M de préstamos bancarios a corto plazo (la deuda pasó de 680 M a 3.182 M) y los colocó en depósitos y productos de tesorería, una práctica habitual en China cuando el tipo del préstamo es menor que el del depósito; y por la inversión en fábricas (inmovilizado +32 %)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24,7 % en 2030e frente al 23,0 %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-2,5 % frente a -2,6 % real: genera una variación de circulante de -43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asimetría de n.d. (&lt; 2))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CAS: no publican amortización trimestral; 2) folleto H: solo 9M25; 3) MarketScreener y prensa: sin consenso previo por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 de combinaciones de negocios: «no aplica»; 2) folleto H, historia: sin compras de negocios; 3) anuncios de SSE 2016-2026: solo compra de una sociedad tenedora de suelo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no cita calificaciones externas; 2) búsqueda de MSCI y Sustainalytics para 605499 y 9980: sin página pública;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Red Bull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H: competidores anónimos; 2) TCP y Reignwood no publican cuentas de China; 3) prensa: sin cifras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2021-2025: sin guía anual cuantificada; 2) conferencias de 2025 y 2026: «no damos objetivos»; 3) folleto H: sin plan a medio plazo con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remuneracion_ceo.fijo y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(CAS): solo el total; 2) informe anual H 2025: total por consejero; 3) folleto H: tabla 2022-2024 sin desglose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HKEX, ventas en corto diarias: solo volumen, no posición; 2) SSE, margen y préstamo de valores: sin cifra de corto para la A;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Celsius, KDP y PepsiCo: solo EBITDA con sinergias en Alani Nu; 2) 8-K y 10-K de los compradores: sin EBITDA de la comprada; 3) operaciones en China: ninguna comparable con cifras públicas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por tipo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la media «comprar» (gráfico sin cifras); 2) TipRanks: cuatro analistas de la H con «comprar»; 3) Yahoo: sin desglose para 9980.HK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normas chinas CAS): estados consolidados 2025 y 2024, anexo de flujos, ventas por producto, región y canal, datos trimestrales, dividendo y plantilla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Eastroc Beverage (Group) Co., Ltd.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http://static.cninfo.com.cn/finalpage/2026-03-31/1225063447.PDF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2024年年度报告 (informe anual 2024, CAS): datos trimestrales de 2024, dividendos y ampliación liberada 3 × 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http://static.cninfo.com.cn/finalpage/2025-03-08/1222744419.PDF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2023年年度报告 (informe anual 2023, CAS): estados consolidados 2023 y 2022, anexo de flujos y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http://static.cninfo.com.cn/finalpage/2024-04-15/1219612087.PDF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2021年年度报告 (informe anual 2021, CAS): estados consolidados 2021 y 2020, salida a bolsa de 2021 y nota de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http://static.cninfo.com.cn/finalpage/2022-02-28/1212462995.PDF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CAS): balance a 30-jun-2026, cuenta y flujos del 1S26, salida a bolsa H, ampliación liberada de mayo y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http://static.cninfo.com.cn/finalpage/2026-07-31/1225449594.PDF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2026年第一季度报告 (informe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http://static.cninfo.com.cn/finalpage/2026-04-30/1225261649.PDF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2025年半年度报告 (informe semestral 2025, CAS): cuenta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http://static.cninfo.com.cn/finalpage/2025-07-26/1224301365.PDF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2026年半年度主要经营数据的公告 (datos operativos del 1S26: ventas por producto, canal y región; distribuidores)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http://static.cninfo.com.cn/finalpage/2026-07-31/1225449598.PDF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2026年一季度主要经营数据的公告 (datos operativos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http://static.cninfo.com.cn/finalpage/2026-04-30/1225261839.PDF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Offering (folleto de la salida a bolsa H): resumen, información financiera NIIF 2022-2024 y 9M25, sector (Frost &amp; Sullivan) y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https://www1.hkexnews.hk/listedco/listconews/sehk/2026/0126/2026012600003.pdf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关于2026年半年度业绩说明会情况的公告 (preguntas y respuestas de la conferencia de resultados del 1S26, 17-sep-2026)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http://static.cninfo.com.cn/finalpage/2026-09-18/1225570801.PDF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关于2025年年度暨2026年第一季度业绩说明会情况的公告 (conferencia de resultados de 2025 y 1T26, 29-may-2026)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http://static.cninfo.com.cn/finalpage/2026-05-30/1225340354.PDF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CAS): dividendo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http://static.cninfo.com.cn/finalpage/2023-04-22/1216527837.PDF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未来三年（2026年-2028年）股东分红回报规划 (política de dividendos 2026-2028: al menos el 80 % del beneficio)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http://static.cninfo.com.cn/finalpage/2026-07-31/1225449588.PDF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the 2026 third EGM (acciones emitidas a 9-oct-2026: 676.016.900 A + 58.182.410 H; 7.122.551 A en autocartera)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https://www1.hkexnews.hk/listedco/listconews/sehk/2026/1009/2026100901141.pdf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关于以集中竞价交易方式回购A股股份的进展公告 (recompra de A a 30-sep-2026: 7.122.551 acciones, 1.038,7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http://static.cninfo.com.cn/finalpage/2026-10-10/1225600167.PDF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Bull challenger: AI flap, Citi cuts (cuotas NielsenIQ 2025: 51,6 % en volumen y 38,3 % en valor; Monster China +95 % en 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Bamboo Works (en Longbridge/Benzinga)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https://longbridge.com/news/292928486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Celsius, Nongfu Spring, Tingyi, Uni-President China, China Resources Beverage, Carabao, Osotspa y Coca-Cola: cuentas anuales y últimos 12 meses (ficha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饮料“旺季不旺”：无糖茶独涨 行业逻辑生变 (temporada alta floja en bebidas; solo crece el té sin azúcar)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 económica china (vía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https://guba.eastmoney.com/list,hk09980.html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Sustainability Report (informe de sostenibilidad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https://www1.hkexnews.hk/listedco/listconews/sehk/2026/0330/2026033003394.pdf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关于董事会完成换届选举及聘任高级管理人员的公告 (cuarto consejo, comisiones y directivos,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http://static.cninfo.com.cn/finalpage/2026-10-10/1225600168.PDF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关于控股股东增持公司H股股份计划的公告 (plan del accionista de control para comprar H por 100-200 M 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http://static.cninfo.com.cn/finalpage/2026-05-30/1225340350.PDF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2025年年度股东会决议公告 (votaciones de la junta de 2025, con el voto de los accionistas de menos del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http://static.cninfo.com.cn/finalpage/2026-04-30/1225261865.PDF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final offer price and allotment results (inversores ancla y bloqueos de la salida a bolsa 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https://www1.hkexnews.hk/listedco/listconews/sehk/2026/0202/2026020203212.pdf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Búsqueda de anuncios de SSE/CNINFO por «减持» (ventas) e «增持» (compras), jun-2025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http://www.cninfo.com.cn/new/disclosure/stock?stockCode=605499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9980.HK, 605499.SS, 510300.SS (CSI 300), 515170.SS (alimentación y bebidas), 2800.HK y HKDCNY=X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https://finance.yahoo.com/quote/9980.HK/history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(605499): estimaciones 2026-2028 (ventas, beneficio, BPA, dividendo), 19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https://www.marketscreener.com/quote/stock/EASTROC-BEVERAGE-GROUP-CO-141794938/finances/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(605499 y 9980): consenso, objetivo medio 151,27 CNY (119,00-212,31) y cambios de objetivo de los brókeres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https://www.marketscreener.com/quote/stock/EASTROC-BEVERAGE-GROUP-CO-141794938/consensus/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la deuda pública china (中债国债收益率曲线), 10 años a 16-oct-2026: 1,648 %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comparables (capitalización, valor empresa, ventas, EBITDA, PER adelantado, flujo libre) de nueve empresas de bebidas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to Acquire Alani Nu (1.800 M USD; 1.650 M netos de activos fiscales; menos de 3 veces las ventas de 2024 y unas 12 veces el EBITDA con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https://s203.q4cdn.com/427437840/files/doc_news/Celsius-Holdings-to-Acquire-Alani-Nu-Creating-a-Leading-Better-For-You-Functional-Lifestyle-Platform-2025.pdf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 of board meeting (resultados del 3T26 el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https://www1.hkexnews.hk/listedco/listconews/sehk/2026/1016/2026101600661.pdf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(9980.HK): objetivo medio de cuatro analistas en los últimos tres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https://www.tipranks.com/stocks/hk:9980/forecast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Partial exercise of the over-allotment option and end of stabilization (3.865.800 H más)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Eastroc Beverage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https://www1.hkexnews.hk/listedco/listconews/sehk/2026/0301/2026030100013.pdf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acquires GHOST (990 M USD por el 60 %, 2024) y PepsiCo acquires Rockstar Energy (3.850 M USD, 2020): notas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https://news.keurigdrpepper.com/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 movimiento del precio (movimiento.mjs) de 9980.HK y 605499.SS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https://finance.yahoo.com/quote/605499.SS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Eastmoney (东方财富股吧) de la A, 605499: unas 160 entradas del 4 al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https://guba.eastmoney.com/list,605499.html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86,7 %</w:t>
      </w:r>
      <w:r>
        <w:t xml:space="preserve"> · Secciones con menos del 60 % de campos cubiertos: </w:t>
      </w:r>
      <w:r>
        <w:rPr>
          <w:b/>
          <w:bCs/>
        </w:rPr>
        <w:t xml:space="preserve">capital, directivos</w:t>
      </w:r>
      <w:r>
        <w:t xml:space="preserve"> · Generado el 19 oct 2026.</w:t>
      </w:r>
    </w:p>
    <w:p>
      <w:pPr>
        <w:pStyle w:val="Nota"/>
        <w:spacing w:after="100"/>
      </w:pPr>
      <w:r>
        <w:t xml:space="preserve">Cuentas en millones de CNY, en normas chinas (CAS), de los informes anuales 2021-2025 y semestrales de CNINFO/SSE [1, 2, 3, 4, 5, 7]; contrastadas con las NIIF del folleto de la salida a bolsa H (2022-2024 y 9M25), que en ventas y beneficio apenas se diferencian [10]. China no tiene XBRL en herramientas/cuentas.mjs. Los trimestres salen de los informes CAS y solo dan ventas y beneficio [1, 2, 6]. EBIT = resultado de explotación + gastos financieros − ingresos de inversiones − cambios de valor razonable ± extraordinarios: las ganancias de la tesorería pasan al resultado financiero. Para el ROIC la caja es solo el efectivo (货币资金): los depósitos y productos de tesorería se quedan dentro del capital invertido, así que el ROIC es prudente; en el puente sí se resta toda la tesorería. Los anticipos de los distribuidores (合同负债) no se restan del capital invertido. BPA y dividendos en acciones de hoy: los años anteriores a 2024 divididos entre 1,69 y los de 2024-2025 entre 1,3, por las ampliaciones liberadas de 3 × 10 de 2024 y 2026, como los precios de Yahoo. Precio: cierre de la línea H del 16-oct-2026 (97,40 HKD; Hong Kong cerró el 19-oct por Chung Yeung), pasado a CNY con 0,8526 (83,04 CNY) [26]. La H cotiza desde el 3-feb-2026: la historia de la cotización, la beta y la del PER son de la A (605499.SS), pasadas a base H con el cociente H/A de hoy (0,7269; descuento del 27,3 %) [26]. Acciones: 734,20 M emitidas (676,02 M A + 58,18 M H) menos 7,12 M A en autocartera = 727,08 M con voto [15]. El dividendo de los últimos 12 meses (4,92 CNY) es el atribuible a jun-25 a jun-26: el final de 2025 (1,92 en acciones de hoy) y el a cuenta de 2026 (3,00) [1, 5]. Índices chinos sin datos en Yahoo: se usan sus ETF (510300.SS para el CSI 300 y 515170.SS para alimentación y bebidas).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Eastroc Beverage (Group) Co., Ltd. (东鹏饮料（集团）股份有限公司) (9980.HK)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83,04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(78,95 – 194,13)</c:v>
                </c:pt>
                <c:pt idx="1">
                  <c:v>Precio objetivo de los analistas (86,50 – 154,33)</c:v>
                </c:pt>
                <c:pt idx="2">
                  <c:v>Comparables: PER NTM (113,66 – 178,28)</c:v>
                </c:pt>
                <c:pt idx="3">
                  <c:v>DCF (WACC y g ± 0,5) (125,61 – 153,24)</c:v>
                </c:pt>
                <c:pt idx="4">
                  <c:v>Escenarios (bajista – alcista) (96,68 – 170,70)</c:v>
                </c:pt>
                <c:pt idx="5">
                  <c:v>DCF con la prima implícita del mercado (4,2 %)</c:v>
                </c:pt>
                <c:pt idx="6">
                  <c:v>Precio actual (83,04)</c:v>
                </c:pt>
              </c:strCache>
            </c:strRef>
          </c:cat>
          <c:val>
            <c:numRef>
              <c:f>Hoja1!$B$2:$B$8</c:f>
              <c:numCache>
                <c:formatCode>#,##0</c:formatCode>
                <c:ptCount val="7"/>
                <c:pt idx="0">
                  <c:v>78.95</c:v>
                </c:pt>
                <c:pt idx="1">
                  <c:v>86.5</c:v>
                </c:pt>
                <c:pt idx="2">
                  <c:v>113.66</c:v>
                </c:pt>
                <c:pt idx="3">
                  <c:v>125.61</c:v>
                </c:pt>
                <c:pt idx="4">
                  <c:v>96.68</c:v>
                </c:pt>
                <c:pt idx="5">
                  <c:v>147.08</c:v>
                </c:pt>
                <c:pt idx="6">
                  <c:v>82.62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(78,95 – 194,13)</c:v>
                </c:pt>
                <c:pt idx="1">
                  <c:v>Precio objetivo de los analistas (86,50 – 154,33)</c:v>
                </c:pt>
                <c:pt idx="2">
                  <c:v>Comparables: PER NTM (113,66 – 178,28)</c:v>
                </c:pt>
                <c:pt idx="3">
                  <c:v>DCF (WACC y g ± 0,5) (125,61 – 153,24)</c:v>
                </c:pt>
                <c:pt idx="4">
                  <c:v>Escenarios (bajista – alcista) (96,68 – 170,70)</c:v>
                </c:pt>
                <c:pt idx="5">
                  <c:v>DCF con la prima implícita del mercado (4,2 %)</c:v>
                </c:pt>
                <c:pt idx="6">
                  <c:v>Precio actual (83,04)</c:v>
                </c:pt>
              </c:strCache>
            </c:strRef>
          </c:cat>
          <c:val>
            <c:numRef>
              <c:f>Hoja1!$C$2:$C$8</c:f>
              <c:numCache>
                <c:formatCode>#,##0</c:formatCode>
                <c:ptCount val="7"/>
                <c:pt idx="0">
                  <c:v>115.17999999999999</c:v>
                </c:pt>
                <c:pt idx="1">
                  <c:v>67.83000000000001</c:v>
                </c:pt>
                <c:pt idx="2">
                  <c:v>64.62</c:v>
                </c:pt>
                <c:pt idx="3">
                  <c:v>27.63000000000001</c:v>
                </c:pt>
                <c:pt idx="4">
                  <c:v>74.01999999999998</c:v>
                </c:pt>
                <c:pt idx="5">
                  <c:v>23.519999999999982</c:v>
                </c:pt>
                <c:pt idx="6">
                  <c:v>0.8399999999999892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Bebidas energéticas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10336.84</c:v>
                </c:pt>
                <c:pt idx="1">
                  <c:v>13303.64</c:v>
                </c:pt>
                <c:pt idx="2">
                  <c:v>15598.99</c:v>
                </c:pt>
              </c:numCache>
            </c:numRef>
          </c:val>
        </c:ser>
        <c:ser>
          <c:idx val="1"/>
          <c:order val="1"/>
          <c:tx>
            <c:strRef>
              <c:f>Hoja1!$C$1</c:f>
              <c:strCache>
                <c:ptCount val="1"/>
                <c:pt idx="0">
                  <c:v>Bebidas de electrolitos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485.88</c:v>
                </c:pt>
                <c:pt idx="1">
                  <c:v>1495</c:v>
                </c:pt>
                <c:pt idx="2">
                  <c:v>3273.92</c:v>
                </c:pt>
              </c:numCache>
            </c:numRef>
          </c:val>
        </c:ser>
        <c:ser>
          <c:idx val="2"/>
          <c:order val="2"/>
          <c:tx>
            <c:strRef>
              <c:f>Hoja1!$D$1</c:f>
              <c:strCache>
                <c:ptCount val="1"/>
                <c:pt idx="0">
                  <c:v>Otras bebidas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430.15</c:v>
                </c:pt>
                <c:pt idx="1">
                  <c:v>1023.13</c:v>
                </c:pt>
                <c:pt idx="2">
                  <c:v>1985.79</c:v>
                </c:pt>
              </c:numCache>
            </c:numRef>
          </c:val>
        </c:ser>
        <c:ser>
          <c:idx val="3"/>
          <c:order val="3"/>
          <c:tx>
            <c:strRef>
              <c:f>Hoja1!$E$1</c:f>
              <c:strCache>
                <c:ptCount val="1"/>
                <c:pt idx="0">
                  <c:v>Otros ingresos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9.92</c:v>
                </c:pt>
                <c:pt idx="1">
                  <c:v>17.08</c:v>
                </c:pt>
                <c:pt idx="2">
                  <c:v>16.57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Bebidas energéticas</c:v>
                </c:pt>
                <c:pt idx="1">
                  <c:v>Bebidas de electrolitos</c:v>
                </c:pt>
                <c:pt idx="2">
                  <c:v>Otras bebidas</c:v>
                </c:pt>
                <c:pt idx="3">
                  <c:v>Otros ingresos</c:v>
                </c:pt>
              </c:strCache>
            </c:strRef>
          </c:cat>
          <c:val>
            <c:numRef>
              <c:f>Hoja1!$B$2:$B$5</c:f>
              <c:numCache>
                <c:formatCode>General</c:formatCode>
                <c:ptCount val="4"/>
                <c:pt idx="0">
                  <c:v>74.7</c:v>
                </c:pt>
                <c:pt idx="1">
                  <c:v>15.7</c:v>
                </c:pt>
                <c:pt idx="2">
                  <c:v>9.5</c:v>
                </c:pt>
                <c:pt idx="3">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China, sur (Guangdong, Hainan, HK y Macao)</c:v>
                </c:pt>
                <c:pt idx="1">
                  <c:v>China, centro (Guangxi, Hunan, Hubei, Jiangxi, Fujian)</c:v>
                </c:pt>
                <c:pt idx="2">
                  <c:v>China, este (Anhui, Jiangsu, Zhejiang, Shanghái)</c:v>
                </c:pt>
                <c:pt idx="3">
                  <c:v>China, oeste (Sichuan, Chongqing, Yunnan y otras 7)</c:v>
                </c:pt>
                <c:pt idx="4">
                  <c:v>China, norte (Shandong, Hebei, Henan, Pekín y otras 6)</c:v>
                </c:pt>
                <c:pt idx="5">
                  <c:v>Otros (en línea, exterior y restauración)</c:v>
                </c:pt>
              </c:strCache>
            </c:strRef>
          </c:cat>
          <c:val>
            <c:numRef>
              <c:f>Hoja1!$B$2:$B$7</c:f>
              <c:numCache>
                <c:formatCode>0"%"</c:formatCode>
                <c:ptCount val="6"/>
                <c:pt idx="0">
                  <c:v>29.8</c:v>
                </c:pt>
                <c:pt idx="1">
                  <c:v>22.1</c:v>
                </c:pt>
                <c:pt idx="2">
                  <c:v>16.1</c:v>
                </c:pt>
                <c:pt idx="3">
                  <c:v>15.3</c:v>
                </c:pt>
                <c:pt idx="4">
                  <c:v>13.1</c:v>
                </c:pt>
                <c:pt idx="5">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CNY (venta al público, bebidas funcionales en China))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2019</c:v>
                </c:pt>
                <c:pt idx="1">
                  <c:v>2024</c:v>
                </c:pt>
                <c:pt idx="2">
                  <c:v>2029e</c:v>
                </c:pt>
              </c:strCache>
            </c:strRef>
          </c:cat>
          <c:val>
            <c:numRef>
              <c:f>Hoja1!$B$2:$B$4</c:f>
              <c:numCache>
                <c:formatCode>#,##0</c:formatCode>
                <c:ptCount val="3"/>
                <c:pt idx="0">
                  <c:v>111900</c:v>
                </c:pt>
                <c:pt idx="1">
                  <c:v>166500</c:v>
                </c:pt>
                <c:pt idx="2">
                  <c:v>281000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Eastroc</c:v>
                </c:pt>
                <c:pt idx="1">
                  <c:v>Red Bull China (Reignwood / TCP, privadas)</c:v>
                </c:pt>
                <c:pt idx="2">
                  <c:v>Monster Beverage</c:v>
                </c:pt>
                <c:pt idx="3">
                  <c:v>Nongfu Spring</c:v>
                </c:pt>
                <c:pt idx="4">
                  <c:v>Carabao Group</c:v>
                </c:pt>
                <c:pt idx="5">
                  <c:v>Tingyi (Master Kong)</c:v>
                </c:pt>
                <c:pt idx="6">
                  <c:v>China Resources Beverage</c:v>
                </c:pt>
              </c:strCache>
            </c:strRef>
          </c:cat>
          <c:val>
            <c:numRef>
              <c:f>Hoja1!$B$2:$B$8</c:f>
              <c:numCache>
                <c:formatCode>0.0"%"</c:formatCode>
                <c:ptCount val="7"/>
                <c:pt idx="0">
                  <c:v>24.8</c:v>
                </c:pt>
                <c:pt idx="2">
                  <c:v>29.4</c:v>
                </c:pt>
                <c:pt idx="3">
                  <c:v>39.9</c:v>
                </c:pt>
                <c:pt idx="4">
                  <c:v>13</c:v>
                </c:pt>
                <c:pt idx="5">
                  <c:v>9.5</c:v>
                </c:pt>
                <c:pt idx="6">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3</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4958.5</c:v>
                </c:pt>
                <c:pt idx="1">
                  <c:v>6977.82</c:v>
                </c:pt>
                <c:pt idx="2">
                  <c:v>8505.39</c:v>
                </c:pt>
                <c:pt idx="3">
                  <c:v>11262.79</c:v>
                </c:pt>
                <c:pt idx="4">
                  <c:v>15838.85</c:v>
                </c:pt>
                <c:pt idx="5">
                  <c:v>20875.27</c:v>
                </c:pt>
                <c:pt idx="6">
                  <c:v>23380</c:v>
                </c:pt>
                <c:pt idx="7">
                  <c:v>25718</c:v>
                </c:pt>
                <c:pt idx="8">
                  <c:v>28033</c:v>
                </c:pt>
                <c:pt idx="9">
                  <c:v>29995</c:v>
                </c:pt>
                <c:pt idx="10">
                  <c:v>31795</c:v>
                </c:pt>
                <c:pt idx="11">
                  <c:v>33385</c:v>
                </c:pt>
                <c:pt idx="12">
                  <c:v>34887</c:v>
                </c:pt>
                <c:pt idx="13">
                  <c:v>36283</c:v>
                </c:pt>
                <c:pt idx="14">
                  <c:v>37552</c:v>
                </c:pt>
                <c:pt idx="15">
                  <c:v>38679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1138.2</c:v>
                </c:pt>
                <c:pt idx="1">
                  <c:v>1559.15</c:v>
                </c:pt>
                <c:pt idx="2">
                  <c:v>2033.53</c:v>
                </c:pt>
                <c:pt idx="3">
                  <c:v>2680.5</c:v>
                </c:pt>
                <c:pt idx="4">
                  <c:v>4147.43</c:v>
                </c:pt>
                <c:pt idx="5">
                  <c:v>5665.85</c:v>
                </c:pt>
                <c:pt idx="6">
                  <c:v>6663</c:v>
                </c:pt>
                <c:pt idx="7">
                  <c:v>7201</c:v>
                </c:pt>
                <c:pt idx="8">
                  <c:v>7793</c:v>
                </c:pt>
                <c:pt idx="9">
                  <c:v>8249</c:v>
                </c:pt>
                <c:pt idx="10">
                  <c:v>8744</c:v>
                </c:pt>
                <c:pt idx="11">
                  <c:v>9114</c:v>
                </c:pt>
                <c:pt idx="12">
                  <c:v>9489</c:v>
                </c:pt>
                <c:pt idx="13">
                  <c:v>9796</c:v>
                </c:pt>
                <c:pt idx="14">
                  <c:v>10139</c:v>
                </c:pt>
                <c:pt idx="15">
                  <c:v>10443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43.9</c:v>
                </c:pt>
                <c:pt idx="1">
                  <c:v>44.4</c:v>
                </c:pt>
                <c:pt idx="2">
                  <c:v>42.3</c:v>
                </c:pt>
                <c:pt idx="3">
                  <c:v>43.1</c:v>
                </c:pt>
                <c:pt idx="4">
                  <c:v>44.8</c:v>
                </c:pt>
                <c:pt idx="5">
                  <c:v>44.9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c:v>
                </c:pt>
                <c:pt idx="1">
                  <c:v>22.3</c:v>
                </c:pt>
                <c:pt idx="2">
                  <c:v>23.9</c:v>
                </c:pt>
                <c:pt idx="3">
                  <c:v>23.8</c:v>
                </c:pt>
                <c:pt idx="4">
                  <c:v>26.2</c:v>
                </c:pt>
                <c:pt idx="5">
                  <c:v>27.1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20.2</c:v>
                </c:pt>
                <c:pt idx="1">
                  <c:v>19.5</c:v>
                </c:pt>
                <c:pt idx="2">
                  <c:v>21.1</c:v>
                </c:pt>
                <c:pt idx="3">
                  <c:v>21.4</c:v>
                </c:pt>
                <c:pt idx="4">
                  <c:v>23.9</c:v>
                </c:pt>
                <c:pt idx="5">
                  <c:v>24.8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16.4</c:v>
                </c:pt>
                <c:pt idx="1">
                  <c:v>17.1</c:v>
                </c:pt>
                <c:pt idx="2">
                  <c:v>16.9</c:v>
                </c:pt>
                <c:pt idx="3">
                  <c:v>18.1</c:v>
                </c:pt>
                <c:pt idx="4">
                  <c:v>21</c:v>
                </c:pt>
                <c:pt idx="5">
                  <c:v>21.2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47.3</c:v>
                </c:pt>
                <c:pt idx="1">
                  <c:v>39.3</c:v>
                </c:pt>
                <c:pt idx="2">
                  <c:v>39.2</c:v>
                </c:pt>
                <c:pt idx="3">
                  <c:v>34.1</c:v>
                </c:pt>
                <c:pt idx="4">
                  <c:v>30.4</c:v>
                </c:pt>
                <c:pt idx="5">
                  <c:v>22.9</c:v>
                </c:pt>
                <c:pt idx="6">
                  <c:v>21.5</c:v>
                </c:pt>
                <c:pt idx="7">
                  <c:v>11.3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c:v>
                </c:pt>
                <c:pt idx="1">
                  <c:v>1</c:v>
                </c:pt>
                <c:pt idx="2">
                  <c:v>1</c:v>
                </c:pt>
                <c:pt idx="3">
                  <c:v>2</c:v>
                </c:pt>
                <c:pt idx="4">
                  <c:v>2</c:v>
                </c:pt>
                <c:pt idx="5">
                  <c:v>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36</c:v>
                </c:pt>
                <c:pt idx="1">
                  <c:v>32</c:v>
                </c:pt>
                <c:pt idx="2">
                  <c:v>29</c:v>
                </c:pt>
                <c:pt idx="3">
                  <c:v>32</c:v>
                </c:pt>
                <c:pt idx="4">
                  <c:v>45</c:v>
                </c:pt>
                <c:pt idx="5">
                  <c:v>21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39</c:v>
                </c:pt>
                <c:pt idx="1">
                  <c:v>52</c:v>
                </c:pt>
                <c:pt idx="2">
                  <c:v>48</c:v>
                </c:pt>
                <c:pt idx="3">
                  <c:v>52</c:v>
                </c:pt>
                <c:pt idx="4">
                  <c:v>53</c:v>
                </c:pt>
                <c:pt idx="5">
                  <c:v>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685.2099999999999</c:v>
                </c:pt>
                <c:pt idx="1">
                  <c:v>1428.5</c:v>
                </c:pt>
                <c:pt idx="2">
                  <c:v>1214.1299999999999</c:v>
                </c:pt>
                <c:pt idx="3">
                  <c:v>2334.44</c:v>
                </c:pt>
                <c:pt idx="4">
                  <c:v>4030.8400000000006</c:v>
                </c:pt>
                <c:pt idx="5">
                  <c:v>3799.15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812.06</c:v>
                </c:pt>
                <c:pt idx="1">
                  <c:v>1192.96</c:v>
                </c:pt>
                <c:pt idx="2">
                  <c:v>1440.52</c:v>
                </c:pt>
                <c:pt idx="3">
                  <c:v>2039.77</c:v>
                </c:pt>
                <c:pt idx="4">
                  <c:v>3326.71</c:v>
                </c:pt>
                <c:pt idx="5">
                  <c:v>4415.26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68.1</c:v>
                </c:pt>
                <c:pt idx="1">
                  <c:v>41.6</c:v>
                </c:pt>
                <c:pt idx="2">
                  <c:v>27.6</c:v>
                </c:pt>
                <c:pt idx="3">
                  <c:v>38.8</c:v>
                </c:pt>
                <c:pt idx="4">
                  <c:v>49.9</c:v>
                </c:pt>
                <c:pt idx="5">
                  <c:v>41.9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8.2</c:v>
                </c:pt>
                <c:pt idx="1">
                  <c:v>8.2</c:v>
                </c:pt>
                <c:pt idx="2">
                  <c:v>8.2</c:v>
                </c:pt>
                <c:pt idx="3">
                  <c:v>8.2</c:v>
                </c:pt>
                <c:pt idx="4">
                  <c:v>8.2</c:v>
                </c:pt>
                <c:pt idx="5">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42.4</c:v>
                </c:pt>
                <c:pt idx="1">
                  <c:v>38.8</c:v>
                </c:pt>
                <c:pt idx="2">
                  <c:v>31</c:v>
                </c:pt>
                <c:pt idx="3">
                  <c:v>35.8</c:v>
                </c:pt>
                <c:pt idx="4">
                  <c:v>47.5</c:v>
                </c:pt>
                <c:pt idx="5">
                  <c:v>51.6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-0.66</c:v>
                </c:pt>
                <c:pt idx="1">
                  <c:v>-0.15</c:v>
                </c:pt>
                <c:pt idx="2">
                  <c:v>0.56</c:v>
                </c:pt>
                <c:pt idx="3">
                  <c:v>-1.01</c:v>
                </c:pt>
                <c:pt idx="4">
                  <c:v>0.24</c:v>
                </c:pt>
                <c:pt idx="5">
                  <c:v>0.24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5648.7</c:v>
                </c:pt>
                <c:pt idx="1">
                  <c:v>19.04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0.07</c:v>
                </c:pt>
                <c:pt idx="1">
                  <c:v>6.12</c:v>
                </c:pt>
                <c:pt idx="2">
                  <c:v>0</c:v>
                </c:pt>
                <c:pt idx="3">
                  <c:v>5.43</c:v>
                </c:pt>
                <c:pt idx="4">
                  <c:v>0</c:v>
                </c:pt>
                <c:pt idx="5">
                  <c:v>355.97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546.6</c:v>
                </c:pt>
                <c:pt idx="1">
                  <c:v>600.02</c:v>
                </c:pt>
                <c:pt idx="2">
                  <c:v>600.02</c:v>
                </c:pt>
                <c:pt idx="3">
                  <c:v>800.02</c:v>
                </c:pt>
                <c:pt idx="4">
                  <c:v>2000.05</c:v>
                </c:pt>
                <c:pt idx="5">
                  <c:v>2600.06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7</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Lin Muqin (presidente)</c:v>
                </c:pt>
                <c:pt idx="1">
                  <c:v>Lin Mugang (hermano, consejero)</c:v>
                </c:pt>
                <c:pt idx="2">
                  <c:v>Lin Daiqin (sobrino)</c:v>
                </c:pt>
                <c:pt idx="3">
                  <c:v>Ruichang Kunpeng (sociedad de los directivos; socio: el hijo del presidente)</c:v>
                </c:pt>
                <c:pt idx="4">
                  <c:v>HKSCC Nominees (titular de las H)</c:v>
                </c:pt>
                <c:pt idx="5">
                  <c:v>Hong Kong Securities Clearing (Stock Connect hacia la A)</c:v>
                </c:pt>
                <c:pt idx="6">
                  <c:v>Cai Yunsheng</c:v>
                </c:pt>
                <c:pt idx="7">
                  <c:v>Autocartera (recompra de A)</c:v>
                </c:pt>
              </c:strCache>
            </c:strRef>
          </c:cat>
          <c:val>
            <c:numRef>
              <c:f>Hoja1!$B$2:$B$9</c:f>
              <c:numCache>
                <c:formatCode>0.0"%"</c:formatCode>
                <c:ptCount val="8"/>
                <c:pt idx="0">
                  <c:v>46.25</c:v>
                </c:pt>
                <c:pt idx="1">
                  <c:v>4.85</c:v>
                </c:pt>
                <c:pt idx="2">
                  <c:v>4.85</c:v>
                </c:pt>
                <c:pt idx="3">
                  <c:v>4.71</c:v>
                </c:pt>
                <c:pt idx="4">
                  <c:v>8</c:v>
                </c:pt>
                <c:pt idx="5">
                  <c:v>3.67</c:v>
                </c:pt>
                <c:pt idx="6">
                  <c:v>1.78</c:v>
                </c:pt>
                <c:pt idx="7">
                  <c:v>0.97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-1.1</c:v>
                </c:pt>
                <c:pt idx="1">
                  <c:v>3.9</c:v>
                </c:pt>
                <c:pt idx="2">
                  <c:v>81.1</c:v>
                </c:pt>
                <c:pt idx="3">
                  <c:v>9.5</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-20.1</c:v>
                </c:pt>
                <c:pt idx="1">
                  <c:v>-9.8</c:v>
                </c:pt>
                <c:pt idx="2">
                  <c:v>17.4</c:v>
                </c:pt>
                <c:pt idx="3">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32.4</c:v>
                </c:pt>
                <c:pt idx="1">
                  <c:v>26</c:v>
                </c:pt>
                <c:pt idx="2">
                  <c:v>18.8</c:v>
                </c:pt>
                <c:pt idx="3">
                  <c:v>22.9</c:v>
                </c:pt>
                <c:pt idx="4">
                  <c:v>18.1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22.9</c:v>
                </c:pt>
                <c:pt idx="1">
                  <c:v>22.9</c:v>
                </c:pt>
                <c:pt idx="2">
                  <c:v>22.9</c:v>
                </c:pt>
                <c:pt idx="3">
                  <c:v>22.9</c:v>
                </c:pt>
                <c:pt idx="4">
                  <c:v>22.9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3219</c:v>
                </c:pt>
                <c:pt idx="1">
                  <c:v>3852</c:v>
                </c:pt>
                <c:pt idx="2">
                  <c:v>4581</c:v>
                </c:pt>
                <c:pt idx="3">
                  <c:v>5130</c:v>
                </c:pt>
                <c:pt idx="4">
                  <c:v>5755</c:v>
                </c:pt>
                <c:pt idx="5">
                  <c:v>6090</c:v>
                </c:pt>
                <c:pt idx="6">
                  <c:v>6402</c:v>
                </c:pt>
                <c:pt idx="7">
                  <c:v>6633</c:v>
                </c:pt>
                <c:pt idx="8">
                  <c:v>6899</c:v>
                </c:pt>
                <c:pt idx="9">
                  <c:v>7101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36189</c:v>
                </c:pt>
                <c:pt idx="1">
                  <c:v>48494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83,04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96.68</c:v>
                </c:pt>
                <c:pt idx="1">
                  <c:v>137.54</c:v>
                </c:pt>
                <c:pt idx="2">
                  <c:v>170.7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83,04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(78,95 – 194,13)</c:v>
                </c:pt>
                <c:pt idx="1">
                  <c:v>Precio objetivo de los analistas (86,50 – 154,33)</c:v>
                </c:pt>
                <c:pt idx="2">
                  <c:v>Comparables: PER NTM (113,66 – 178,28)</c:v>
                </c:pt>
                <c:pt idx="3">
                  <c:v>DCF (WACC y g ± 0,5) (125,61 – 153,24)</c:v>
                </c:pt>
                <c:pt idx="4">
                  <c:v>Escenarios (bajista – alcista) (96,68 – 170,70)</c:v>
                </c:pt>
                <c:pt idx="5">
                  <c:v>DCF con la prima implícita del mercado (4,2 %)</c:v>
                </c:pt>
                <c:pt idx="6">
                  <c:v>Precio actual (83,04)</c:v>
                </c:pt>
              </c:strCache>
            </c:strRef>
          </c:cat>
          <c:val>
            <c:numRef>
              <c:f>Hoja1!$B$2:$B$8</c:f>
              <c:numCache>
                <c:formatCode>#,##0</c:formatCode>
                <c:ptCount val="7"/>
                <c:pt idx="0">
                  <c:v>78.95</c:v>
                </c:pt>
                <c:pt idx="1">
                  <c:v>86.5</c:v>
                </c:pt>
                <c:pt idx="2">
                  <c:v>113.66</c:v>
                </c:pt>
                <c:pt idx="3">
                  <c:v>125.61</c:v>
                </c:pt>
                <c:pt idx="4">
                  <c:v>96.68</c:v>
                </c:pt>
                <c:pt idx="5">
                  <c:v>147.08</c:v>
                </c:pt>
                <c:pt idx="6">
                  <c:v>82.62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(78,95 – 194,13)</c:v>
                </c:pt>
                <c:pt idx="1">
                  <c:v>Precio objetivo de los analistas (86,50 – 154,33)</c:v>
                </c:pt>
                <c:pt idx="2">
                  <c:v>Comparables: PER NTM (113,66 – 178,28)</c:v>
                </c:pt>
                <c:pt idx="3">
                  <c:v>DCF (WACC y g ± 0,5) (125,61 – 153,24)</c:v>
                </c:pt>
                <c:pt idx="4">
                  <c:v>Escenarios (bajista – alcista) (96,68 – 170,70)</c:v>
                </c:pt>
                <c:pt idx="5">
                  <c:v>DCF con la prima implícita del mercado (4,2 %)</c:v>
                </c:pt>
                <c:pt idx="6">
                  <c:v>Precio actual (83,04)</c:v>
                </c:pt>
              </c:strCache>
            </c:strRef>
          </c:cat>
          <c:val>
            <c:numRef>
              <c:f>Hoja1!$C$2:$C$8</c:f>
              <c:numCache>
                <c:formatCode>#,##0</c:formatCode>
                <c:ptCount val="7"/>
                <c:pt idx="0">
                  <c:v>115.17999999999999</c:v>
                </c:pt>
                <c:pt idx="1">
                  <c:v>67.83000000000001</c:v>
                </c:pt>
                <c:pt idx="2">
                  <c:v>64.62</c:v>
                </c:pt>
                <c:pt idx="3">
                  <c:v>27.63000000000001</c:v>
                </c:pt>
                <c:pt idx="4">
                  <c:v>74.01999999999998</c:v>
                </c:pt>
                <c:pt idx="5">
                  <c:v>23.519999999999982</c:v>
                </c:pt>
                <c:pt idx="6">
                  <c:v>0.8399999999999892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