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Koninklijke Heijmans N.V.</w:t>
      </w:r>
    </w:p>
    <w:p>
      <w:pPr>
        <w:spacing w:after="60"/>
        <w:rPr>
          <w:color w:val="52514E"/>
          <w:sz w:val="22"/>
          <w:szCs w:val="22"/>
        </w:rPr>
      </w:pPr>
      <w:r>
        <w:rPr>
          <w:color w:val="52514E"/>
          <w:sz w:val="22"/>
          <w:szCs w:val="22"/>
        </w:rPr>
        <w:t xml:space="preserve">HEIJM · Euronext Ámsterdam · ISIN NL0009269109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82,70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71,93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-10,2 % (base +3,2 %)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85,29 EUR · mercado 99,09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2.272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Koninklijke Heijmans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HEIJM / NL0009269109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Ámsterdam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AMX (Amsterdam Midkap)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Construcción e ingeniería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Rosmalen (Brabante Septentrional) · 1923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www.heijmans.nl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82,70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53,65 – 117,80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2.083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71,93 EUR</w:t>
      </w:r>
      <w:r>
        <w:t xml:space="preserve"> frente a 82,70 · Rentabilidad a 12 meses </w:t>
      </w:r>
      <w:r>
        <w:rPr>
          <w:b/>
          <w:bCs/>
        </w:rPr>
        <w:t xml:space="preserve">-10,2 % (base +3,2 %)</w:t>
      </w:r>
      <w:r>
        <w:t xml:space="preserve"> · Valor intrínseco 85,29 EUR · con la prima implícita del mercado: 99,09 (+19,8 %) · Alcista / bajista +29,0 % / -39,8 %</w:t>
      </w:r>
    </w:p>
    <w:p>
      <w:pPr>
        <w:spacing w:after="100"/>
      </w:pPr>
      <w:r>
        <w:rPr>
          <w:b/>
        </w:rPr>
        <w:t xml:space="preserve">La recomendación y por qué.</w:t>
      </w:r>
      <w:r>
        <w:t xml:space="preserve"> Vender, con convicción baja. Con nuestro BPA de 2028e (7,28 EUR en el caso base) y la regla común de múltiplos, el objetivo a 12 meses es de 71,93 EUR frente a 82,70 EUR (cierre del 16-oct): −10,2 % ponderado y +3,2 % en el caso base, con el dividendo del 2,9 %. La ponderada toca el umbral de venta (−10 %) por el escenario bajista, que aplica el PER mínimo de cinco años (3,7 veces, el de final de 2023). El valor intrínseco (85,29 EUR) está solo un 3,1 % por encima del precio, y el objetivo medio de los analistas (119,33 EUR) queda muy por encima de nuestro rango. La convicción es baja porque la cifra está a dos décimas del umbral, la regla absoluta del DCF da Mantener y la relativa Comprar; subiría si el 3T (30-oct) o los resultados de febrero muestran un margen EBIT subyacente por debajo del 7 %, y bajaría por debajo de 82,55 EUR, donde la ponderada deja de dar Vender.</w:t>
      </w:r>
    </w:p>
    <w:p>
      <w:pPr>
        <w:spacing w:after="100"/>
      </w:pPr>
      <w:r>
        <w:rPr>
          <w:b/>
        </w:rPr>
        <w:t xml:space="preserve">El negocio.</w:t>
      </w:r>
      <w:r>
        <w:t xml:space="preserve"> Heijmans es una constructora y promotora solo neerlandesa: 2.772 M EUR de ventas en 2025, repartidas entre vivienda (Wonen), edificación no residencial (Werken) e infraestructuras y redes eléctricas (Verbinden) [1]. Crea valor: ROIC del 25,5 % frente a un WACC del 9,85 %, con un margen EBITDA subyacente del 9,1 % que dobla al de BAM [1, 14]. Su ventaja es la disciplina de licitación, el suelo comprado barato y la escala en obra de redes, no un foso duradero. </w:t>
      </w:r>
      <w:r>
        <w:rPr>
          <w:b/>
        </w:rPr>
        <w:t xml:space="preserve">Sostenibilidad: Sí</w:t>
      </w:r>
      <w:r>
        <w:t xml:space="preserve">: el 4,8 % anual que proyectamos apenas necesita capital, se apoya en una cartera de 4.093 M EUR y deja la cuota en el 3,3 % del mercado en 2030e.</w:t>
      </w:r>
    </w:p>
    <w:p>
      <w:pPr>
        <w:spacing w:after="100"/>
      </w:pPr>
      <w:r>
        <w:rPr>
          <w:b/>
        </w:rPr>
        <w:t xml:space="preserve">Sector y ciclo.</w:t>
      </w:r>
      <w:r>
        <w:t xml:space="preserve"> El sector está en expansión: el EIB prevé +2,5 % de producción en 2026 y +4,5 % en 2027, con las entregas de vivienda subiendo de 68.000 a 84.000 [11]. Pero la dirección no espera que sus propias ventas de vivienda repunten en 2026-2027, y la vivienda es su área de más margen [8].</w:t>
      </w:r>
    </w:p>
    <w:p>
      <w:pPr>
        <w:spacing w:after="100"/>
      </w:pPr>
      <w:r>
        <w:rPr>
          <w:b/>
        </w:rPr>
        <w:t xml:space="preserve">Finanzas.</w:t>
      </w:r>
      <w:r>
        <w:t xml:space="preserve"> Caja neta de 51 M EUR en junio, solvencia del 31,5 % y un flujo libre de 591 M EUR en seis años, el 138 % del beneficio [1, 4].</w:t>
      </w:r>
    </w:p>
    <w:p>
      <w:pPr>
        <w:spacing w:after="100"/>
      </w:pPr>
      <w:r>
        <w:rPr>
          <w:b/>
        </w:rPr>
        <w:t xml:space="preserve">Equipo y gobierno.</w:t>
      </w:r>
      <w:r>
        <w:t xml:space="preserve"> Suma: la dirección ha cumplido o adelantado todos los objetivos desde 2023 [1]. Resta poco: defensas antiopa por la fundación de certificados y la venta del 8,4 % de la familia Van Wanrooij en septiembre, ya colocada [21].</w:t>
      </w:r>
    </w:p>
    <w:p>
      <w:pPr>
        <w:spacing w:after="100"/>
      </w:pPr>
      <w:r>
        <w:rPr>
          <w:b/>
        </w:rPr>
        <w:t xml:space="preserve">Valoración.</w:t>
      </w:r>
      <w:r>
        <w:t xml:space="preserve"> El DCF da 86,53 EUR y el precio descuenta un crecimiento del 3,3 % anual frente al 4,0 % de nuestro base: es el precio justo de un ciclo bueno, no una ganga. Los comparables por PER (76,68-93,61 EUR) dicen lo mismo. Lo que lleva a Vender no es el beneficio, sino el múltiplo: Heijmans cotiza a 12,6 veces el beneficio de 2027e, frente a una mediana histórica de 5,8 veces, y la regla común le quita parte de esa prima. Nuestro BPA de 2028e es un 11,7 % menor que el del consenso, por el número de acciones y el resultado financiero.</w:t>
      </w:r>
    </w:p>
    <w:p>
      <w:pPr>
        <w:spacing w:after="100"/>
      </w:pPr>
      <w:r>
        <w:rPr>
          <w:b/>
        </w:rPr>
        <w:t xml:space="preserve">Riesgos y catalizadores.</w:t>
      </w:r>
      <w:r>
        <w:t xml:space="preserve"> El mayor riesgo es que el margen vuelva a la media del ciclo (escenario bajista: 49,78 EUR, −39,8 %) o que el mercado vuelva a pagar 8-10 veces el beneficio. Catalizadores: actualización del 3T el 30 de octubre y resultados anuales el 19 de febrero de 2027.</w:t>
      </w:r>
    </w:p>
    <w:p>
      <w:pPr>
        <w:spacing w:after="100"/>
      </w:pPr>
      <w:r>
        <w:rPr>
          <w:b/>
        </w:rPr>
        <w:t xml:space="preserve">Qué cambiaría la decisión.</w:t>
      </w:r>
      <w:r>
        <w:t xml:space="preserve"> Por debajo de 64,63 EUR la regla daría Comprar con el objetivo fijo (43,29 EUR con BPA −10 % y la v2 de control); por encima de 82,55 EUR, la regla sigue dando Vender. Si la variante «sin doble castigo» (PER bajista = base × 0,80) se adoptara en el método, la ponderada pasaría a −1,5 % y la recomendación a Mantener.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71,93 EUR</w:t>
      </w:r>
      <w:r>
        <w:t xml:space="preserve"> (rentabilidad -10,2 % (base +3,2 %)) · Valor intrínseco: 85,29 EUR (+3,1 % sobre 82,70) · con la prima implícita del mercado: 99,09 (+19,8 %)</w:t>
      </w:r>
    </w:p>
    <w:p>
      <w:pPr>
        <w:spacing w:after="100"/>
      </w:pPr>
      <w:r>
        <w:t xml:space="preserve">Heijmans es una de las cinco mayores constructoras de los Países Bajos y la que mejor ha salido de la última década: tras la mala racha de 2016 vendió todo lo que tenía fuera, endureció la selección de obras y hoy gana un 9,1 % de margen EBITDA subyacente, con un ROIC del 25,5 % y caja neta [1, 10]. Tiene una cartera de 4.093 M EUR, 16 meses de ventas, apoyada en redes eléctricas, defensa y mantenimiento [4].</w:t>
      </w:r>
    </w:p>
    <w:p>
      <w:pPr>
        <w:spacing w:after="100"/>
      </w:pPr>
      <w:r>
        <w:t xml:space="preserve">El precio (82,70 EUR) descuenta un crecimiento del 3,3 % anual durante nueve años con márgenes cercanos a los de hoy; nuestro DCF da 86,53 EUR. A 11,8 veces el beneficio de los próximos 12 meses cotiza en línea con los comparables, pero al doble de su propia historia (mediana de 5,8 veces) [25, 26, 27, 28, 29, 30, 31, 32, 33].</w:t>
      </w:r>
    </w:p>
    <w:p>
      <w:pPr>
        <w:spacing w:after="100"/>
      </w:pPr>
      <w:r>
        <w:t xml:space="preserve">El mercado acierta al pagar más que antes por una Heijmans mejor, pero ya paga el ciclo bueno entero: para invertir hay que creer que el margen actual es el de ciclo completo y que el múltiplo no volverá hacia su historia. Nosotros no lo creemos para los próximos 12 meses: la regla común da un objetivo de 71,93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 × 5,24 = 19,39 · 11,4x × 7,28 = 82,99 · 12,3x × 8,32 = 102,34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 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119,33 (nuestro base -30,5 %)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 / -39,8 %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 frente a 9,8 % y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 frente a 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64,61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64,61 y 82,55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82,55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Un precio por debajo de 82,55 EUR: la ponderada pasaría a Mantener; por debajo de 64,63 EUR, la regla daría Comprar con el objetivo fijo.</w:t>
      </w:r>
    </w:p>
    <w:p>
      <w:pPr>
        <w:pStyle w:val="ListParagraph"/>
        <w:numPr>
          <w:ilvl w:val="0"/>
          <w:numId w:val="2"/>
        </w:numPr>
        <w:spacing w:after="60"/>
      </w:pPr>
      <w:r>
        <w:t xml:space="preserve">Que la empresa suba la guía de 2027 a un margen EBIT subyacente del 8 % o más con ventas de vivienda en recuperación: subiría nuestro BPA de 2028e por encima de 8 EUR.</w:t>
      </w:r>
    </w:p>
    <w:p>
      <w:pPr>
        <w:pStyle w:val="ListParagraph"/>
        <w:numPr>
          <w:ilvl w:val="0"/>
          <w:numId w:val="2"/>
        </w:numPr>
        <w:spacing w:after="60"/>
      </w:pPr>
      <w:r>
        <w:t xml:space="preserve">Un cambio de método que elimine el doble castigo del bajista (PER bajista = base × 0,80): la ponderada pasaría a −1,5 % y la recomendación a Mantener.</w:t>
      </w:r>
    </w:p>
    <w:p>
      <w:pPr>
        <w:pStyle w:val="ListParagraph"/>
        <w:numPr>
          <w:ilvl w:val="0"/>
          <w:numId w:val="2"/>
        </w:numPr>
        <w:spacing w:after="60"/>
      </w:pPr>
      <w:r>
        <w:t xml:space="preserve">Un margen EBIT subyacente del 2S26 por debajo del 7 %: reforzaría el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Heijmans mantiene márgenes récord y crece hacia los 4.000 M EUR de ventas de 2030: el precio equivale a 12,6 veces nuestro beneficio de 2027e y los analistas ponen objetivos de 115-123 EUR, con un beneficio un 12 % mayor que el nuestro.</w:t>
      </w:r>
    </w:p>
    <w:p>
      <w:pPr>
        <w:keepNext/>
        <w:spacing w:after="100"/>
      </w:pPr>
      <w:r>
        <w:rPr>
          <w:b/>
          <w:bCs/>
        </w:rPr>
        <w:t xml:space="preserve">Lo que creemos nosotros.</w:t>
      </w:r>
    </w:p>
    <w:p>
      <w:pPr>
        <w:spacing w:after="100"/>
      </w:pPr>
      <w:r>
        <w:t xml:space="preserve">Crecimiento y márgenes similares a los del consenso en EBITDA, pero menos beneficio por acción y, sobre todo, un múltiplo más bajo: en un año, el mercado pagará algo menos que hoy por una constructora con márgenes en máximos y la vivienda plana.</w:t>
      </w:r>
    </w:p>
    <w:p>
      <w:pPr>
        <w:keepNext/>
        <w:spacing w:after="100"/>
      </w:pPr>
      <w:r>
        <w:rPr>
          <w:b/>
          <w:bCs/>
        </w:rPr>
        <w:t xml:space="preserve">Por qué podemos tener razón.</w:t>
      </w:r>
    </w:p>
    <w:p>
      <w:pPr>
        <w:spacing w:after="100"/>
      </w:pPr>
      <w:r>
        <w:t xml:space="preserve">La historia de la empresa muestra que el mercado vuelve a castigar a las constructoras en cuanto el ciclo da la vuelta: el PER adelantado fue de 3,7-6,7 veces entre 2021 y 2024. Y la caída del 31 % desde junio indica que el mercado ya ha empezado a dudar del ritmo de crecimiento.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2,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Crea valor con holgura</w:t>
      </w:r>
      <w:r>
        <w:t xml:space="preserve">: ROIC del 25,5 % frente a un WACC del 9,85 %.</w:t>
      </w:r>
    </w:p>
    <w:p>
      <w:pPr>
        <w:pStyle w:val="ListParagraph"/>
        <w:numPr>
          <w:ilvl w:val="0"/>
          <w:numId w:val="2"/>
        </w:numPr>
        <w:spacing w:after="60"/>
      </w:pPr>
      <w:r>
        <w:rPr>
          <w:b/>
        </w:rPr>
        <w:t xml:space="preserve">Cartera récord</w:t>
      </w:r>
      <w:r>
        <w:t xml:space="preserve">: 4.093 M EUR en junio de 2026, +36 % interanual.</w:t>
      </w:r>
    </w:p>
    <w:p>
      <w:pPr>
        <w:pStyle w:val="ListParagraph"/>
        <w:numPr>
          <w:ilvl w:val="0"/>
          <w:numId w:val="2"/>
        </w:numPr>
        <w:spacing w:after="60"/>
      </w:pPr>
      <w:r>
        <w:rPr>
          <w:b/>
        </w:rPr>
        <w:t xml:space="preserve">Balance limpio</w:t>
      </w:r>
      <w:r>
        <w:t xml:space="preserve">: caja neta de 51 M EUR y solvencia del 31,5 %.</w:t>
      </w:r>
    </w:p>
    <w:p>
      <w:pPr>
        <w:pStyle w:val="ListParagraph"/>
        <w:numPr>
          <w:ilvl w:val="0"/>
          <w:numId w:val="2"/>
        </w:numPr>
        <w:spacing w:after="60"/>
      </w:pPr>
      <w:r>
        <w:rPr>
          <w:b/>
        </w:rPr>
        <w:t xml:space="preserve">Equipo que cumple</w:t>
      </w:r>
      <w:r>
        <w:t xml:space="preserve">: alcanzó en 2025 el margen que prometía para 2027.</w:t>
      </w:r>
    </w:p>
    <w:p>
      <w:pPr>
        <w:pStyle w:val="ListParagraph"/>
        <w:numPr>
          <w:ilvl w:val="0"/>
          <w:numId w:val="2"/>
        </w:numPr>
        <w:spacing w:after="60"/>
      </w:pPr>
      <w:r>
        <w:rPr>
          <w:b/>
        </w:rPr>
        <w:t xml:space="preserve">Mercado en expansión</w:t>
      </w:r>
      <w:r>
        <w:t xml:space="preserve">: el EIB prevé +4,5 % de producción en 2027.</w:t>
      </w:r>
    </w:p>
    <w:p>
      <w:pPr>
        <w:pStyle w:val="Heading2"/>
      </w:pPr>
      <w:r>
        <w:t xml:space="preserve">En contra</w:t>
      </w:r>
    </w:p>
    <w:p>
      <w:pPr>
        <w:pStyle w:val="ListParagraph"/>
        <w:numPr>
          <w:ilvl w:val="0"/>
          <w:numId w:val="2"/>
        </w:numPr>
        <w:spacing w:after="60"/>
      </w:pPr>
      <w:r>
        <w:rPr>
          <w:b/>
        </w:rPr>
        <w:t xml:space="preserve">Múltiplo muy por encima de su historia</w:t>
      </w:r>
      <w:r>
        <w:t xml:space="preserve">: 12,6 veces frente a una mediana de 5,8 veces.</w:t>
      </w:r>
    </w:p>
    <w:p>
      <w:pPr>
        <w:pStyle w:val="ListParagraph"/>
        <w:numPr>
          <w:ilvl w:val="0"/>
          <w:numId w:val="2"/>
        </w:numPr>
        <w:spacing w:after="60"/>
      </w:pPr>
      <w:r>
        <w:rPr>
          <w:b/>
        </w:rPr>
        <w:t xml:space="preserve">Márgenes en máximos</w:t>
      </w:r>
      <w:r>
        <w:t xml:space="preserve">: el bajista (margen del 7,3 %) vale 49,78 EUR, un −39,8 %.</w:t>
      </w:r>
    </w:p>
    <w:p>
      <w:pPr>
        <w:pStyle w:val="ListParagraph"/>
        <w:numPr>
          <w:ilvl w:val="0"/>
          <w:numId w:val="2"/>
        </w:numPr>
        <w:spacing w:after="60"/>
      </w:pPr>
      <w:r>
        <w:rPr>
          <w:b/>
        </w:rPr>
        <w:t xml:space="preserve">Vivienda plana</w:t>
      </w:r>
      <w:r>
        <w:t xml:space="preserve">: ventas netas −8 % en el 1S26 y sin repunte esperado en 2026-2027.</w:t>
      </w:r>
    </w:p>
    <w:p>
      <w:pPr>
        <w:pStyle w:val="ListParagraph"/>
        <w:numPr>
          <w:ilvl w:val="0"/>
          <w:numId w:val="2"/>
        </w:numPr>
        <w:spacing w:after="60"/>
      </w:pPr>
      <w:r>
        <w:rPr>
          <w:b/>
        </w:rPr>
        <w:t xml:space="preserve">Objetivo a 12 meses por debajo del precio</w:t>
      </w:r>
      <w:r>
        <w:t xml:space="preserve">: 71,93 EUR, −10,2 % ponderado.</w:t>
      </w:r>
    </w:p>
    <w:p>
      <w:pPr>
        <w:pStyle w:val="ListParagraph"/>
        <w:numPr>
          <w:ilvl w:val="0"/>
          <w:numId w:val="2"/>
        </w:numPr>
        <w:spacing w:after="60"/>
      </w:pPr>
      <w:r>
        <w:rPr>
          <w:b/>
        </w:rPr>
        <w:t xml:space="preserve">Asimetría desfavorable</w:t>
      </w:r>
      <w:r>
        <w:t xml:space="preserve">: 0,73 veces en el DCF.</w:t>
      </w:r>
    </w:p>
    <w:p>
      <w:pPr>
        <w:pStyle w:val="Heading2"/>
      </w:pPr>
      <w:r>
        <w:t xml:space="preserve">Qué tiene que pasar para que la tesis funcione</w:t>
      </w:r>
    </w:p>
    <w:p>
      <w:pPr>
        <w:spacing w:after="100"/>
      </w:pPr>
      <w:r>
        <w:t xml:space="preserve">La tesis depende de que el margen EBIT subyacente se mantenga en el 7 % o más mientras la vivienda está plana. La señal de que no se cumple sería un margen semestral por debajo del 6 %, una cartera que deja de crecer en Werken y Verbinden o deterioros de suelo. En sentido contrario, un repunte claro de las ventas de vivienda (por encima de 3.500 al año) con márgenes estables haría el caso alcista mucho más probable.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subyacente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caso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4.093 M EUR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3.700 M EUR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 el crecimiento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Viviendas vendidas (netas,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2.970 (jul-25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Wonen es el área de más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suelo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M EUR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 M EUR al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síntoma de un ciclo bajista en promoción.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10 veces sin caída de beneficios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si el mercado vuelve a su historia.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8,4x / 7,1x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 11,8x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Heijmans nace el 3 de abril de 1923, cuando Jan Heijmans, un adoquinador de 20 años, abre en Rosmalen (Brabante) su negocio de pavimentación [10]. Tras la guerra crece con la reconstrucción, las obras del Zuiderzee y el Plan Delta, y entra en vivienda en los años sesenta [10]. Cotiza en Ámsterdam desde 1993 [10]. En 2000 entra en el podio neerlandés al comprar Koninklijke IBC, y suma Proper-Stok (2002) y Burgers Ergon (2006) [10]. La crisis de 2008 y otra mala racha en 2016 le obligan a vender filiales y a salir de Bélgica, Alemania y el Reino Unido: desde 2017 es un grupo solo neerlandés [10]. Con Ton Hillen como consejero delegado desde finales de 2016, prioriza margen y riesgo sobre volumen; en 2023 recibe el título de «Koninklijke» por su centenario y compra Van Wanrooij, y después Van Gisbergen (2024) y Hegeman (2025) [1, 3,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Jan Heijmans funda en Rosmalen una empresa unipersonal de pavimentación de calles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1950-1970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Obras del Zuiderzee y del Plan Delta; primeras obras de vivienda (Hintham-Zuid, Rosmalen)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Ámsterdam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Koninklijke IBC: entra entre las tres mayores constructoras del país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promotora Proper-Stok (2002) y de la instaladora Burgers Ergon (2006)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financiera le obliga a desprenderse de varias filiales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pérdidas; venta de las filiales de Bélgica, Alemania y el Reino Unido. Desde 2017 opera solo en los Países Bajos y refuerza la oficina de riesgos que filtra las licitaciones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Centenario y título de «Koninklijke»; compra de la promotora Van Wanrooij por un valor de unos 298 M EUR, pagada en parte con acciones [3,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promotora Van Gisbergen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Hegeman (edificación utilitaria y mantenimiento) por 49,6 M EUR, cerrada el 17 de diciembre tras la autorización de la ACM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(21 de mayo): objetivos para 2030 de unos 4.000 M EUR de ventas y un margen EBIT subyacente del 8-10 % [17].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Heijmans es una de las mayores constructoras de los Países Bajos y trabaja solo allí. Se organiza en tres áreas. Wonen (Vivir, unos 1.012 M EUR de ventas en 2025) promueve viviendas propias sobre suelo comprado años atrás, construye para inversores y corporaciones de vivienda y rehabilita [1]. Werken (Trabajar, 690 M) levanta edificios no residenciales (bases militares, un centro de datos, campus universitarios) y hace el mantenimiento técnico de edificios; desde diciembre de 2025 suma Hegeman [1, 4]. Verbinden (Conectar, 1.121 M) hace carreteras, puentes, obras hidráulicas, espacio público y, cada vez más, subestaciones de alta y media tensión para TenneT y las distribuidoras; desde 2025 las monta en módulos prefabricados en la fábrica Krachtveld de Ede [1]. Una parte de la actividad, sobre todo la promoción de barrios enteros, va por negocios conjuntos que no consolida [1].</w:t>
      </w:r>
    </w:p>
    <w:p>
      <w:pPr>
        <w:pStyle w:val="Heading2"/>
      </w:pPr>
      <w:r>
        <w:t xml:space="preserve">Cómo gana dinero</w:t>
      </w:r>
    </w:p>
    <w:p>
      <w:pPr>
        <w:spacing w:after="100"/>
      </w:pPr>
      <w:r>
        <w:t xml:space="preserve">Gana un margen sobre el coste de cada obra. En construcción por encargo el margen EBITDA es bajo, de un 5-8 %, y depende de licitar bien el riesgo; las cláusulas de revisión de precios y los contratos en régimen de colaboración (equipos de obra con el cliente) han reducido el riesgo de los contratos a precio cerrado [1, 4]. En promoción gana además el margen del suelo y del promotor, por eso Wonen es el área más rentable (11 % de margen EBITDA subyacente en 2025) [1]. Una parte creciente es recurrente: mantenimiento de carreteras, redes y edificios por contratos plurianuales [1]. El circulante suele ser negativo porque los clientes pagan por avance de obra y los compradores de vivienda pagan a plazos antes de la entrega [1]. El apalancamiento operativo es alto: con unos gastos generales de un 10 % de las ventas, cada punto de margen bruto pesa mucho en el beneficio [1]. El segundo semestre suele ser más fuerte por las entregas de fin de año [4].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Wonen (Vivir)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Werken (Trabajar)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Verbinden (Conectar)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holding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Wonen (Vivir)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Werken (Trabajar)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Verbinden (Conectar)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holding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relevante publicada: ningún cliente aparece como significativo en las cuentas [1]. Los clientes públicos (Rijkswaterstaat, ministerio de Defensa, provincias, municipios, corporaciones de vivienda) y semipúblicos (TenneT y las distribuidoras eléctricas) pesan mucho en Verbinden y Werken; en Wonen el cliente es el particular que compra una vivienda nueva (3.103 viviendas vendidas en 2025) y el inversor institucional [1]. Los contratos de infraestructura y de redes duran varios años: TenneT ha encargado a Heijmans módulos prefabricados de subestaciones durante cinco años [1]. La cartera de 4.093 M EUR a junio de 2026 equivale a unos 16 meses de ventas [4]. Poder de precios: el margen EBITDA subyacente pasó del 7,7 % en 2024 al 9,1 % en 2025 con una inflación de costes de construcción moderada, lo que indica que la empresa elige obras y repercute costes; no es poder de marca, sino disciplina en la licitación [1,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(con negocios conjuntos)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 M (dic-25); 4.093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en 2025; +36 % interanual a junio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Werken pasa de 923 a 1.509 M en 2025 y a 1.973 M en junio de 2026 (defensa, centro de datos, TU Delft)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Viviendas vendidas (netas)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 (2025); 1.506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2025; −8 %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unifamiliares fuera de la ciudad se agotan; los pisos en ciudad se venden despacio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la banda 7-9 % que el plan fijaba para 2027; desde 2026 la empresa publica el margen EBIT subyacente (6,6 % en 2025; 6,9 % en el 1S26)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(EBIT de cuatro trimestres / capital empleado medio)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 (2025); 30,1 %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empleado medio de 580 M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Suelo estratégico (balance)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 M (dic-25); 239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Además 456 M de compromisos fuera de balance (43 M incondicionales y 413 M condicionales)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 (incluidos arrendamientos)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 M (dic-25); 51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pagar 65 M de dividendo en el 1S26 [1,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producción de construcción en los Países Bajos: vivienda nueva y rehabilitación, edificación no residencial y obra civil e infraestructuras (incluidas las redes eléctricas). Es el perímetro del EIB, el instituto económico del sector, que mide la producción a precios constantes [11]. Se contrasta con el valor añadido de la construcción del CBS que recoge el Monitor Bouwketen (+1,5 % en 2025) [12]. Se usa la cifra del EIB porque es la que tiene previsión hasta 2030 y porque la propia Heijmans la cita en sus presentaciones; las cifras de 2026, 2027 y 2030 son previsiones del EIB y la de 2026-2027 se calcula con sus tasas de crecimiento.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103.000 M EUR de producción de construcción en 2025 (precios constantes, EIB)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 unos 530.000 ocupados y miles de empresas, la mayoría pequeñas; las cinco grandes (VolkerWessels, BAM, Heijmans, Dura Vermeer, Ballast Nedam) dominan las obras grandes de infraestructura y los contratos complejos, donde el mercado es moderadamente concentrado [12,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precios constant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Déficit de vivienda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EIB prevé que las entregas de vivienda nueva pasen de 68.000 en 2025 a 80.000 en 2026 y 84.000 en 2027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Ampliación de la red eléctrica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EIB espera un crecimiento robusto de las infraestructuras hasta 2030 por la inversión en energía; TenneT encarga módulos de subestación a cinco años [1,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defensa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Impulso a infraestructuras y a edificios logísticos según el EIB; la cartera de Werken sube de 923 a 1.973 M EUR entre dic-24 y jun-26 con obras de defensa [4,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hipotecarios y confianza del comprador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vivienda de Heijmans bajan un 8 % en el 1S26; la dirección no espera repunte en 2026-2027 [4,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Nitrógeno y permisos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licencias complejas, en parte por el problema del nitrógeno, dejaron las entregas de 2025 en unas 77.000 viviendas, por debajo de la necesidad; muchos proyectos siguen necesitando permiso de naturaleza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Escasez de mano de obra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vacantes por cada 1.000 empleos en el 1T26; el EIB calcula que hacen falta más de 30.000 trabajadores adicionales hasta 2030 [11,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y licitaciones por precio; los márgenes BAI del sector rondan el 3-6 % (BAM 3,2 % de margen EBIT; VolkerWessels 5,8 % de margen BAI en 2025) [13,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Rijkswaterstaat, Defensa, TenneT y los municipios compran mucho y fijan las condiciones; los contratos en colaboración han repartido mejor el riesgo desde 2020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Subcontratas y mano de obra escasas (12,7 meses de trabajo en cartera de las constructoras en primavera de 2026); materiales con precios volátiles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las obras grandes hacen falta balance, garantías bancarias (179 M EUR en Heijmans) y referencias técnicas; para obras pequeñas la entrada es fácil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carretera, un dique o una subestación no tienen sustituto; la construcción industrializada cambia el cómo, no el qué [1].</w:t>
            </w:r>
          </w:p>
        </w:tc>
      </w:tr>
    </w:tbl>
    <w:p>
      <w:pPr>
        <w:spacing w:after="160" w:before="0"/>
      </w:pPr>
    </w:p>
    <w:p>
      <w:pPr>
        <w:pStyle w:val="Heading2"/>
      </w:pPr>
      <w:r>
        <w:t xml:space="preserve">Ciclo</w:t>
      </w:r>
    </w:p>
    <w:p>
      <w:pPr>
        <w:spacing w:after="100"/>
      </w:pPr>
      <w:r>
        <w:t xml:space="preserve">Las carteras de las constructoras están en 12,7 meses de trabajo (subieron 1,2 meses en el semestre), las quiebras bajan y el EIB prevé +2,5 % de producción en 2026 y +4,5 % en 2027 [11, 12]. La excepción es la edificación no residencial nueva, que cae en 2026 [11]. En 2008-09 el sector neerlandés se hundió y Heijmans tuvo que vender filiales; en 2016 volvió a perder dinero por contratos mal licitados [10]. En 2020 la pandemia apenas paró las obras, y en 2022 la inflación de costes comprimió márgenes en los contratos a precio cerrado [1, 10].</w:t>
      </w:r>
    </w:p>
    <w:p>
      <w:pPr>
        <w:pStyle w:val="Heading2"/>
      </w:pPr>
      <w:r>
        <w:t xml:space="preserve">Regulación</w:t>
      </w:r>
    </w:p>
    <w:p>
      <w:pPr>
        <w:spacing w:after="100"/>
      </w:pPr>
      <w:r>
        <w:t xml:space="preserve">Lo que más pesa es el permiso de obra y el nitrógeno: desde finales de 2024 muchos proyectos de vivienda nueva siguen necesitando un permiso de naturaleza, y Heijmans calcula el impacto de nitrógeno (AERIUS) en cada obra relevante [1]. El Gobierno prepara un marco nuevo que medirá objetivos de emisión por sector en lugar del depósito de nitrógeno, lo que debería liberar proyectos, sin fecha cerrada [1]. La congestión de la red eléctrica retrasa conexiones de obras nuevas, pero a la vez obliga a invertir en redes, donde Heijmans trabaja [1, 11]. El aumento del gasto en defensa da impulso a infraestructuras y a edificios logísticos según el EIB [11]. La aplicación más estricta del falso autónomo por Hacienda reduce la oferta de trabajadores por cuenta propia [12].</w:t>
      </w:r>
    </w:p>
    <w:p>
      <w:pPr>
        <w:pStyle w:val="Heading2"/>
      </w:pPr>
      <w:r>
        <w:t xml:space="preserve">Tendencias y disrupción</w:t>
      </w:r>
    </w:p>
    <w:p>
      <w:pPr>
        <w:spacing w:after="100"/>
      </w:pPr>
      <w:r>
        <w:t xml:space="preserve">Construcción industrializada: viviendas en fábrica (Heijmans tiene su línea de casas en serie) y módulos prefabricados de subestaciones en Ede, que acortan plazos y mejoran márgenes [1]. Electrificación y redes: es el segmento que más crece y en el que Heijmans tiene experiencia y fábrica [1]. Obras sin emisiones: los clientes públicos puntúan la maquinaria eléctrica en las licitaciones (TenneT en Maasbracht) [1]. Digitalización: gemelos digitales y diseño paramétrico; la empresa usa generadores de IA en el diseño y lo liga a la retribución variable [1]. Heijmans gana con estas tendencias porque ya ha invertido en ellas; los rivales pequeños no tienen escala para seguirlas.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Una de las cinco mayores constructoras de los Países Bajos, con ≈ 2,7 % de la producción nacional (2.772 M EUR de ventas frente a ≈ 103.000 M EUR de mercado en 2025) [1, 11]. Es líder en obra de redes de alta tensión y entre los primeros promotores-constructores de vivienda.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foso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VolkerWessels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grupo del país (no cotiza desde 2019); margen BAI del 5,8 % en 2025 y cartera de 9.051 M EUR; también en Reino Unido, Norteamérica y Alemania.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Royal BAM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BAMNB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Neerlandesa con fuerte peso en Reino Unido e Irlanda; margen EBIT mucho más bajo que el de Heijmans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Strabag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 europea con filial neerlandesa pequeña; referencia de rentabilidad para la obra civil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Dura Vermeer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fuerte en infraestructuras y vivienda; no publica cuentas comparables recientes accesibles (más de 1.300 M EUR de ventas en 2018)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Ballast Nedam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Propiedad del grupo turco Rönesans desde 2015; compite en infraestructuras y promoción [10].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la construcción.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contratos de mantenimiento y de módulos de subestación con TenneT son plurianuales, pero el cliente vuelve a licitar al vencer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reconocida en vivienda y título real; ninguna patente relevante. Referencias técnicas en alta tensión y en obras hidráulicas que filtran licitadores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Suelo estratégico comprado barato (212,5 M EUR en balance) y fábricas propias de vivienda y de módulos; el margen EBITDA subyacente del 9,1 % supera al de BAM y al de VolkerWessels [2, 6,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cinco grupos pueden asumir obras de cientos de millones con garantías bancarias; Heijmans tiene 179 M EUR en garantías y una cartera de 4.093 M EUR [10].</w:t>
            </w:r>
          </w:p>
        </w:tc>
      </w:tr>
    </w:tbl>
    <w:p>
      <w:pPr>
        <w:spacing w:after="160" w:before="0"/>
      </w:pPr>
    </w:p>
    <w:p>
      <w:pPr>
        <w:pStyle w:val="Heading2"/>
      </w:pPr>
      <w:r>
        <w:t xml:space="preserve">Amenazas</w:t>
      </w:r>
    </w:p>
    <w:p>
      <w:pPr>
        <w:spacing w:after="100"/>
      </w:pPr>
      <w:r>
        <w:t xml:space="preserve">La principal es el propio ciclo: si la vivienda vuelve a caer, el suelo estratégico se deprecia y el margen de Wonen baja, como en 2008-2013 [10]. Segunda, la licitación agresiva de rivales con menos disciplina, sobre todo si cae la edificación no residencial y sobra capacidad [11]. Tercera, un error grande en un contrato a precio cerrado, como los que llevaron a Heijmans a perder dinero en 2016 [10]. La probabilidad de una de ellas en cinco años es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2020-2025: ingresos </w:t>
      </w:r>
      <w:r>
        <w:rPr>
          <w:b/>
          <w:bCs/>
        </w:rPr>
        <w:t xml:space="preserve">9,7 %</w:t>
      </w:r>
      <w:r>
        <w:t xml:space="preserve">, EBITDA </w:t>
      </w:r>
      <w:r>
        <w:rPr>
          <w:b/>
          <w:bCs/>
        </w:rPr>
        <w:t xml:space="preserve">20,4 %</w:t>
      </w:r>
      <w:r>
        <w:t xml:space="preserve">, BPA </w:t>
      </w:r>
      <w:r>
        <w:rPr>
          <w:b/>
          <w:bCs/>
        </w:rPr>
        <w:t xml:space="preserve">20,7 %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1.746 M en 2020 a 2.772 M en 2025 (TCAC del 9,7 %), pero dos saltos son comprados: Van Wanrooij en sep-2023 (sumaba unos 400 M de ventas anuales con 2022 como referencia [9]) y Hegeman desde 2026 (89 M en el 1S26) [4]. Sin compras, el crecimiento de 2024-2025 se apoya en Verbinden (+24 % y +12,5 %, sobre todo energía) y Werken (+18 % y +9 %) [1, 2]. El margen EBIT sube de 3,2 % en 2020 a 5,9 % en 2025 (+270 pb) y el EBITDA publicado de 5,1 % a 8,1 %: más peso de promoción unifamiliar, contratos 1-a-1 y recurrentes con menos riesgo, selección de licitaciones y absorción de gastos generales [1]. El EBIT incluye cada año entre 2 y 4 M de deterioros de suelo, que se repiten y no se tratan como extraordinarios. Los negocios conjuntos (promoción con socios y la planta de asfalto AsfaltNu con BAM) se registran por puesta en equivalencia debajo del EBIT: 17,3 M en 2025, el 10,7 % del EBIT [1].</w:t>
      </w:r>
    </w:p>
    <w:p>
      <w:pPr>
        <w:pStyle w:val="Heading2"/>
      </w:pPr>
      <w:r>
        <w:t xml:space="preserve">Ajustes y partidas no recurrentes</w:t>
      </w:r>
    </w:p>
    <w:p>
      <w:pPr>
        <w:spacing w:after="100"/>
      </w:pPr>
      <w:r>
        <w:t xml:space="preserve">Cifras publicadas NIIF. La empresa da un EBITDA subyacente (252,4 M en 2025) que suma el EBITDA de los negocios conjuntos (22,1 M) y quita deterioros de suelo (3,1 M), reestructuración (2,2 M) y costes de compras (1,1 M) [1]. En 2024 los ajustes fueron 4,4 M de suelo, 1,3 M de reestructuración, 0,6 M de compras y 4,7 M de bonos de retención de Van Wanrooij [1]. Aquí solo se tratan como no recurrentes la reestructuración, los costes de compras y los bonos de retención (3,3 M en 2025 y 6,6 M en 2024); los deterioros de suelo se dejan dentro porque se repiten. En 2023 el EBITDA incluye la liberación de 14 M de la provisión del litigio Wintrack II, ganado en arbitraje [2, 3], que se marca como no recurrente con signo negativo. Desde 2026 la empresa publica el EBIT subyacente: EBIT + EBIT de los negocios conjuntos + costes de compras + amortización de intangibles de compras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del 1S26 (24-jul-2026): ventas +16 % (1.517 M; 89 M de Hegeman, así que unos 9 puntos son orgánicos), EBIT subyacente 104 M (6,9 %, +60 pb), beneficio neto 73 M (+24 %) y cartera de 4.093 M (+36 %) [4, 5]. Guía 2026 confirmada: ventas en torno a 3.100 M y margen EBIT subyacente hacia el 7,3 % (antes, EBITDA subyacente hacia el 9,5 %) [4]. Werken crece un 42 % (recurrentes +10 %, proyectos +25 %, Hegeman) con margen estable del 6,9 %; Verbinden gana 200 pb de margen (6,2 %) por energía y por proyectos grandes que pasan el umbral del 20 % de avance en que se empieza a reconocer beneficio; Wonen vende un 8 % menos de viviendas [4]. En la conferencia los analistas preguntaron sobre todo si el salto de margen de Verbinden es repetible (el director financiero dijo que sí, pero que el segundo semestre no repetirá el salto), por la dilución de Hegeman (deja de restar margen a final de 2026 y tarda año y medio en alcanzar el estándar) y por la vivienda: la dirección «no espera que las ventas de viviendas repunten este año ni el próximo» y ve Wonen estable en 2027 [8]. Sobre compras, ni descartó operaciones grandes ni anunció ninguna; la nueva línea de 210 M con 150 M adicionales para compras deja la puerta abierta [4, 8]. Frente al Día del Inversor del 21-may (objetivo 2030: unos 4.000 M de ventas y margen EBIT subyacente del 8-10 %), el discurso pasó de crecer a ejecutar y digerir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Van Wanrooij (promotora de viviendas unifamiliares, valor empresa 298 M), consolidada desde el 5-sep-2023: el balance la incluye entera y la cuenta solo cuatro meses.; 2025: Hegeman (edificación y servicios, 144 M de ventas), comprada el 17-dic-2025 por 49,6 M: entra en el balance de 2025 y en la cuenta desde 2026.).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empresa trabaja con circulante negativo: los anticipos y la facturación por delante de la obra (419 M de pasivos por contrato en 2025, 431 M en junio) superan a la obra pendiente de facturar (126 M), y los proveedores (446 M) financian a clientes y existencias [1, 4]. El circulante (definición de la empresa) pasa de −21 M en 2024 a −135 M en 2025, y eso explica buena parte de la caja de 2024-2025. El capital está en el suelo y la promoción: 360 M de existencias inmobiliarias (213 M de suelo estratégico y 148 M de viviendas y suelo en curso) y 130-147 M en negocios conjuntos, más 98 M de préstamos a ellos [1, 4]. En 2023 la compra de Van Wanrooij llevó la deuda financiera a 87 M y la caja a 40 M; en dos años volvió a caja neta.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591</w:t>
      </w:r>
      <w:r>
        <w:t xml:space="preserve">, conversión </w:t>
      </w:r>
      <w:r>
        <w:rPr>
          <w:b/>
          <w:bCs/>
        </w:rPr>
        <w:t xml:space="preserve">138 %</w:t>
      </w:r>
      <w:r>
        <w:t xml:space="preserve"> del beneficio neto; adquisiciones 311, dividendos 86, recompras 0.</w:t>
      </w:r>
    </w:p>
    <w:p>
      <w:pPr>
        <w:spacing w:after="100"/>
      </w:pPr>
      <w:r>
        <w:t xml:space="preserve">El flujo de explotación pasa de 84 M en 2023 a 249 M en 2024 y 272 M en 2025 (209 % y 209 % del beneficio neto), con 114 M de mejora del circulante en 2025 [1]. Esa conversión no es repetible: el circulante ya es −142 M en junio y el propio grupo dice que la estacionalidad de los anticipos se ha suavizado [4]. El capex en inmovilizado e intangibles fue de 43,9 M en 2025 (1,6 % de las ventas), sobre todo maquinaria sin emisiones y la fábrica de casas de madera de Heerenveen; los pagos de arrendamientos, 38,8 M [1]. Estimación propia: con unas altas de derechos de uso de unos 55 M, la inversión total (incluido NIIF 16) ronda el 3,5 % de las ventas frente a unas amortizaciones del 2,2 %. Las compras suman 311 M en 2022-2025 (Burgers Ergon, Van Wanrooij, Van Gisbergen y Hegeman). El dividendo pasa del 35-40 % del beneficio al 50 % desde 2024.</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Accountants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20-feb-2026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Sin cambios de criterio en 2025; NIIF 18 (2027) solo cambiará la presentación: los negocios conjuntos irán fuera del resultado de explotación y la caja de intereses se reclasificará [4]. El reconocimiento de ingresos por grado de avance es el punto sensible: en Verbinden el margen de 2026 sube en parte porque proyectos grandes pasan del 20 % de avance, el umbral en que se empieza a reconocer beneficio [8]. Los deterioros de suelo son pequeños y recurrentes (2,5-4,4 M al año) frente a 360 M de existencias inmobiliarias [1, 2]. KPMG sustituyó a EY en 2024 y fue reelegido para 2027-2028 [1]. Los pagos en acciones son mínimos (la mitad del variable a largo plazo; matching de 10.750 títulos en 2026) [4]. La caja de 2024-2025 está apoyada por el circulante negativo, y es la señal que hay que vigilar.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inflado por el circulante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209 % del beneficio en 2024 y 2025, con 114 M de mejora del circulante en 2025; puede revertir si caen los anticipos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reconocido por grado de avance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del salto de margen de Verbinden en el 1S26 viene del umbral del 20 % de avance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auditor en 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Rotación obligatoria de firma en Países Bajos; opinión limpia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187 M en 2025 (el 37 % del capital invertido medio); ha subido más de un 5 % en 3 de 5 años: comprador en serie. ROIC publicado 25,5 %; sin fondo de comercio, 40,1 %.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22,9 % · </w:t>
      </w:r>
      <w:r>
        <w:rPr>
          <w:b/>
          <w:bCs/>
        </w:rPr>
        <w:t xml:space="preserve">WACC</w:t>
      </w:r>
      <w:r>
        <w:t xml:space="preserve">: 9,8 %.</w:t>
      </w:r>
    </w:p>
    <w:p>
      <w:pPr>
        <w:spacing w:after="100"/>
      </w:pPr>
      <w:r>
        <w:t xml:space="preserve">Heijmans crea valor con holgura: el ROIC fue del 25,5 % en 2025 frente a un WACC del 9,85 %, y ha estado por encima del coste de capital todos los años desde 2020 (mínimo del 14,4 % en 2023, el año de la compra de Van Wanrooij, que añadió fondo de comercio y suelo) [1]. Lo que mueve el ROIC es el margen, no la rotación: el capital invertido es pequeño porque los clientes adelantan dinero y el circulante es negativo, así que cada punto de margen EBITDA se nota mucho. El ROIC incremental de 2020-2025 es del 22,9 %: el crecimiento reciente, incluidas las compras, ha rendido casi lo mismo que el negocio antiguo. Frente a sus rivales es muy alto: BAM declara un ROIC del 31 % por su capital negativo, pero con un margen EBIT del 3,2 %; Skanska y Peab están en el 8-9 % [14, 29, 30]. El riesgo es cíclico: en 2008 y en 2016 la empresa tuvo que vender filiales tras años malos [10].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189 M (30-jun-2026) + línea de crédito sindicada de 210 M sin disponer (renovada en julio de 2026 a cinco años, con 150 M adicionales para compras)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deuda bancaria relevante: 9 M de financiación de proyectos y 129 M de arrendamientos (NIIF 16) a junio de 2026 [4]. Covenants de la nueva línea: cobertura de intereses mínima de 4,0x y apalancamiento máximo de 3,0x (3,5x con una compra), con holgura amplia; se quitó el covenant de solvencia y la línea ya no lleva garantías [4]. Garantías bancarias de ejecución de obra: 179 M (160 M a diciembre) [4]. Compromisos de compra de suelo fuera de balance: 43 M incondicionales y 413 M condicionados a permisos o preventas [1]. Préstamos a negocios conjuntos de promoción: 98 M [4]. Provisiones a largo plazo 57 M y por personal 23 M; las pensiones de prestación definida están aseguradas con contratos de garantía [3]. Pago contingente de Hegeman de 1 M [1].</w:t>
      </w:r>
    </w:p>
    <w:p>
      <w:pPr>
        <w:pStyle w:val="Heading1"/>
      </w:pPr>
      <w:r>
        <w:t xml:space="preserve">12. Asignación de capital</w:t>
      </w:r>
    </w:p>
    <w:p>
      <w:pPr>
        <w:pStyle w:val="Confianza"/>
        <w:spacing w:after="100"/>
      </w:pPr>
      <w:r>
        <w:t xml:space="preserve">Confianza: Alta</w:t>
      </w:r>
    </w:p>
    <w:p>
      <w:pPr>
        <w:spacing w:after="100"/>
      </w:pPr>
      <w:r>
        <w:t xml:space="preserve">Dividendo del 50 % del beneficio neto, en efectivo desde 2024 (antes había opción en acciones; en 2023 un tercio se pagó en papel) [1, 2]. Sin programa de recompras: solo recompras pequeñas para el plan de matching de directivos (10.750 títulos en el 1S26) [4]. Prioridades declaradas en el Día del Inversor de mayo de 2026: crecimiento orgánico en energía, defensa y mantenimiento, industrialización (casas de madera en Heerenveen, viviendas Optio de Whoon) y compras, con una línea adicional de 150 M para ellas [4, 8]. Dividendo propuesto sobre 2025: 2,37 EUR por acción (65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Burgers Ergon (instalaciones técnicas de edificios)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Werken; su cartera de clientes se amortizó de forma acelerada en 2024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 Wanrooij (promoción de viviendas unifamiliares, suelo para unas 14.000 viviendas)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273 M en caja (línea ampliada en 140 M) y 2,3 M de acciones a 10,214 EUR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Cumplió: Wonen pasa de 58 M de EBITDA subyacente en 2023 a 112 M en 2025, en línea con los 30-40 M a corto plazo y 50-70 M a medio prometidos [1, 9]. Sin deterioros. Las acciones entregadas valían unos 205 M al vender la familia en sep-2026.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 Gisbergen (promoción y construcción de viviendas en Eindhoven; 39 M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(neto de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aporta suelo en la región de Eindhoven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Hegeman (edificación, servicios y edificación industrial de colegios; 144 M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1S26 aportó 89 M de ventas y 5 M de EBIT subyacente (5,6 %, por debajo del 6,9 % de Werken); la dirección prevé que deje de diluir a final de 2026 [4, 8].</w:t>
            </w:r>
          </w:p>
        </w:tc>
      </w:tr>
    </w:tbl>
    <w:p>
      <w:pPr>
        <w:spacing w:after="160" w:before="0"/>
      </w:pPr>
    </w:p>
    <w:p>
      <w:pPr>
        <w:spacing w:after="100"/>
      </w:pPr>
      <w:r>
        <w:t xml:space="preserve">Buena asignación de capital en los últimos seis años. Entre 2020 y 2025 la empresa generó 591 M EUR de flujo de caja libre (138 % del beneficio), gastó 311 M en compras y pagó 86 M de dividendos, sin recompras; aun así pasó de deuda neta a caja neta [1]. La compra grande, Van Wanrooij, cumplió lo prometido (el EBITDA subyacente de Wonen pasó de 58 a 112 M EUR entre 2023 y 2025) y se pagó en parte con acciones a 10,21 EUR, que hoy valen ocho veces más: fue una compra barata para Heijmans [1, 9]. El ROIC incremental del 22,9 % lo confirma. Hegeman todavía diluye margen [4]. La dilución fue moderada: de 21,7 a 27,5 M de acciones en seis años, sobre todo por Van Wanrooij y por el dividendo en acciones hasta 2023. El reparto del 50 % del beneficio deja caja para crecer; la nueva línea de 150 M EUR para compras es lo que hay que vigilar.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Ton Hillen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dirección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Heijmans desde 1992 (antes en BAM); desde 2008 dirigió promoción inmobiliaria y vivienda, entró en el consejo de dirección en 2012 y es CEO desde el 1 de diciembre de 2016, en plena crisis por contratos mal licitados [1]. Desde entonces el margen EBITDA subyacente ha pasado de pérdidas a un 9,1 % (2025) y la deuda neta a caja neta; el BPA se ha multiplicado por cinco desde 2017 (0,91 a 4,73 EUR) [1, 2]. Mandato hasta 2028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Gavin van Boekel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miembro del consejo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septiembre de 2021 tras más de 21 años en puestos financieros de Unilever; reelegido en abril de 2025 por cuatro años [1]. Bajo su mandato la empresa financió la compra de Van Wanrooij y volvió a caja neta en el 1T25, un año antes de lo prometido [2]. Mandato hasta 2029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 van Gelder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Mediq de 2005 a 2014, antes directivo de Ahold (1996-2004) y consultor de McKinsey; entró en noviembre de 2024 y preside desde abril de 2025 [1]. Ha comprado acciones con su dinero dos veces (1.000 en noviembre de 2025 y 4.000 en marzo de 2026)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comprar Van Wanrooij: volver a caja neta positiva a finales de 2026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positiva en el 1T25, casi dos años antes; 51 M EUR de caja neta en junio de 2026 [2,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Solvencia superior al 30 %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33,8 % a final de 2024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para 2027: margen EBITDA subyacente del 7-9 % en cada área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7,7 % en 2024 y 9,1 % en 2025: el objetivo de 2027 se alcanzó dos años antes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Todas las áreas dentro de las bandas estratégicas de margen y caja neta positiva desde el 1T25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Wonen 11,1 %, Werken 8,0 %, Verbinden 8,2 % de margen EBITDA subyacente; caja neta todo el año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unos 3.100 M EUR y margen EBITDA subyacente hacia el 9,5 % (equivale a un margen EBIT subyacente hacia el 7,3 %) [1,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con 1.517 M EUR de ventas (+16 %) y 6,9 % de margen EBIT subyacente; guía reiterada en julio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creíble: Hillen y Van Boekel han cumplido o adelantado todos los objetivos publicados desde 2023 (caja neta, solvencia y margen de 2027), y la guía de 2026 se reiteró en julio con un primer semestre en línea [1, 2, 4]. La estabilidad es alta: Hillen lleva casi diez años como CEO y más de treinta en la empresa, y su mandato acaba en 2028, así que la sucesión será un asunto de los próximos dos años; el consejo de supervisión tiene un plan de sucesión que revisa la comisión de nombramientos, pero no hay un sucesor anunciado [1]. Riesgo: buena parte del giro se apoya en la disciplina de licitación de este equipo. Los directivos tienen acciones relevantes (el CEO, un 623 % de su salario fijo) [18].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Ton Hillen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dirección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de dirección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Gavin van Boekel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de dirección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van Gelder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Martika Jonk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comisión de retribución, selección y nombramientos; vocal de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Ans Knape-Vosmer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retribución, selección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Arnout Traas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comisión de auditoría y riesgos (auditor censor de formación)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Allard Castelein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auditoría y riesgos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20-feb-2026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0,39 / ventas 1,25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JPMorgan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notificados en 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C.A.C.M. Oomen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 (inversor privado)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notificados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ASR Nederland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(aseguradora)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notificados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Dimensional Fund Advisors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notificados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notificados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el 18-sep-2026: 832.601 votos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Waterbird (familia Van Wanrooij)</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Familiar (antiguo vendedor de Van Wanrooij)</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Tenía el 8,4 % a final de 2025, recibido como pago de Van Wanrooij en 2023; lo vendió entero (unos 2,3 M de acciones) en una colocación acelerada el 22-sep-2026; registro de la AFM al 0 % el 23-sep [19,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van Gelder (presidente del consejo de supervisión)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Ton Hillen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van Gelder (presidente del consejo de supervisión)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Gavin van Boekel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del consejo de dirección depende en un 60 % de objetivos financieros (EBITDA subyacente y deuda neta media, esta con un 30 % de peso) y en un 40 % de cualitativos (seguridad, CO₂, vivienda industrializada, digitalización) [18]. En 2025 se cobró el 76,7 % del máximo financiero [18]. El variable a largo plazo (tres años, la mitad en acciones) dependía hasta ahora del crecimiento medio del BPA (50 %) y de objetivos cualitativos (50 %); para las concesiones de 2026 añade la rentabilidad total para el accionista (TSR), lo que lo liga a la rentabilidad para el accionista [18]. El crecimiento del BPA no premia crecer a cualquier precio, porque la deuda neta también cuenta en el anual. Todo el variable tiene cláusula de recuperación [18]. El CEO debe tener acciones por el 150 % de su fijo (tiene el 623 %) y el CFO por el 100 % (155 %) [18]. Las juntas aprobaron la política con el 99,82 % (2024) y el informe de retribución con el 99,21 % (2025) [18].</w:t>
      </w:r>
    </w:p>
    <w:p>
      <w:pPr>
        <w:pStyle w:val="Heading2"/>
      </w:pPr>
      <w:r>
        <w:t xml:space="preserve">Operaciones vinculadas, estructura de control y defensas</w:t>
      </w:r>
    </w:p>
    <w:p>
      <w:pPr>
        <w:spacing w:after="100"/>
      </w:pPr>
      <w:r>
        <w:t xml:space="preserve">No hay accionista de control: el mayor (JPMorgan AM) tiene un 7,7 % y la familia Van Wanrooij salió en septiembre de 2026 [19, 21]. Pero hay dos defensas clásicas neerlandesas. Primera, una fundación de administración (Stichting Administratiekantoor) tiene las acciones ordinarias y emite certificados que son lo que cotiza; los titulares pueden pedir poderes de voto, pero en la junta de 2025 la fundación votó por unos 13,4 M de acciones, el 48,9 % del capital [1]. Segunda, la Stichting Preferente Aandelen Heijmans tiene una opción para suscribir acciones preferentes con la que puede frenar una opa hostil [1]. Por eso no se cumple el principio de una acción, un voto. No hay operaciones vinculadas relevantes [1].</w:t>
      </w:r>
    </w:p>
    <w:p>
      <w:pPr>
        <w:pStyle w:val="Heading2"/>
      </w:pPr>
      <w:r>
        <w:t xml:space="preserve">Señales de alerta</w:t>
      </w:r>
    </w:p>
    <w:p>
      <w:pPr>
        <w:pStyle w:val="ListParagraph"/>
        <w:numPr>
          <w:ilvl w:val="0"/>
          <w:numId w:val="2"/>
        </w:numPr>
        <w:spacing w:after="60"/>
      </w:pPr>
      <w:r>
        <w:t xml:space="preserve">Defensas antiopa: certificados de acciones emitidos por una fundación y opción de acciones preferentes de otra fundación [1].</w:t>
      </w:r>
    </w:p>
    <w:p>
      <w:pPr>
        <w:pStyle w:val="ListParagraph"/>
        <w:numPr>
          <w:ilvl w:val="0"/>
          <w:numId w:val="2"/>
        </w:numPr>
        <w:spacing w:after="60"/>
      </w:pPr>
      <w:r>
        <w:t xml:space="preserve">El CEO vendió 15.000 acciones (1,25 M EUR) en febrero de 2026; sigue teniendo más de seis veces su salario fijo en acciones [18, 20].</w:t>
      </w:r>
    </w:p>
    <w:p>
      <w:pPr>
        <w:pStyle w:val="ListParagraph"/>
        <w:numPr>
          <w:ilvl w:val="0"/>
          <w:numId w:val="2"/>
        </w:numPr>
        <w:spacing w:after="60"/>
      </w:pPr>
      <w:r>
        <w:t xml:space="preserve">Salida completa del 8,4 % de la familia Van Wanrooij en septiembre de 2026, con caída del 7 % de la acción ese día [21].</w:t>
      </w:r>
    </w:p>
    <w:p>
      <w:pPr>
        <w:pStyle w:val="ListParagraph"/>
        <w:numPr>
          <w:ilvl w:val="0"/>
          <w:numId w:val="2"/>
        </w:numPr>
        <w:spacing w:after="60"/>
      </w:pPr>
      <w:r>
        <w:t xml:space="preserve">Cambio de auditor a KPMG en 2024 (rotación obligatoria en los Países Bajos), con opinión limpia sobre 2025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la empresa espera ventas de unos 3.100 M EUR y un margen EBIT subyacente hacia el 7,3 % (equivale al margen EBITDA subyacente hacia el 9,5 % que dio en febrero); lo reiteró el 24 de julio con los resultados del 1S26 [1, 4]. En el Día del Inversor del 21 de mayo de 2026 fijó para 2030 unos 4.000 M EUR de ventas, un margen EBIT subyacente del 8-10 % y el reparto del 50 % del beneficio [8]. En la conferencia de julio avisó de que las ventas de vivienda no repuntarán en 2026 ni en 2027 (unas 3.000 al año) y de que el margen de Verbinden del 1S es sostenible, pero no subirá igual en el 2S [8]. Próxima actualización: 3T, el 30 de octubre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 analistas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 analistas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 analistas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115,00 – 123,00</w:t>
            </w:r>
          </w:p>
        </w:tc>
      </w:tr>
    </w:tbl>
    <w:p>
      <w:pPr>
        <w:spacing w:after="160" w:before="0"/>
      </w:pPr>
    </w:p>
    <w:p>
      <w:pPr>
        <w:pStyle w:val="Heading2"/>
      </w:pPr>
      <w:r>
        <w:t xml:space="preserve">Revisiones de estimaciones</w:t>
      </w:r>
    </w:p>
    <w:p>
      <w:pPr>
        <w:spacing w:after="100"/>
      </w:pPr>
      <w:r>
        <w:t xml:space="preserve">Solo MarketScreener da estimaciones completas, y con dos analistas; los objetivos y las recomendaciones se contrastan con Beursgenoten [23, 24]. Los tres bancos que siguen el valor (ING, Kepler Cheuvreux y ABN Amro Oddo BHF) recomiendan comprar y subieron mucho sus objetivos en primavera: ING de 92 a 123 EUR (5 de junio) y Kepler de 100 a 115 EUR (27 de mayo), tras los resultados de 2025 y el Día del Inversor [24]. No constan cambios después de los resultados del 1S26 ni de la colocación de septiembre [24]. El EBITDA del consenso es subyacente: incluye la parte proporcional de los negocios conjuntos y excluye partidas no recurrentes, por lo que supera en ≈ 1 punto de ventas al EBITDA de las cuentas [1, 23].</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Heijmans ha sido una de las acciones más rentables de Europa: +160 % en 2024 y +114 % en 2025, frente a −9,8 % y +11 % del AMX, y un 100 % anual en tres años [22]. Lo explica el giro de beneficios: el BPA pasó de 2,40 EUR en 2023 a 4,73 en 2025, el margen superó dos años antes el objetivo de 2027 y el mercado dejó de pagar 4-6 veces beneficios por una constructora con caja neta [1, 22]. El máximo llegó el 18 de junio (117,8 EUR), tras el Día del Inversor; desde ahí cae un 30 % por tres hechos: el 1S26 (24 de julio) confirmó que la vivienda no repunta, hubo rotación hacia otros sectores y la familia Van Wanrooij colocó su 8,4 % el 22 de septiembre [4, 8, 21]. El sector europeo de construcción, en cambio, cae un 4,4 % en un año [22].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 -18,0 % / -9,3 % / +35,8 %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 / +49,4 %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del 21 de mayo (objetivos para 2030 de unos 4.000 M EUR de ventas y margen EBIT subyacente del 8-10 %) y subidas de objetivo de ING (123 EUR) y Kepler (115 EUR) [8,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(24 de julio): beneficio +27 %, pero ventas de vivienda −8 % y aviso de que no repuntarán en 2026-2027; la acción cayó ese día y siguió bajando con la rotación sectorial [8,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noticia de la empresa ese día en prensa ni en los registros de la AFM: movimiento de mercado [19,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Recogida de beneficios una semana después del Día del Inversor; sin noticia de la empresa [22,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noticia de la empresa ese día en prensa ni en los registros de la AFM: movimiento de mercado antes de los resultados [19,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CFO compra 440 acciones a 90,40 EUR; el presidente del consejo de supervisión había comprado 4.000 a 74,56 EUR el 30 de marzo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objetivos para 2030 y paso a publicar el margen EBIT subyacente [4,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 sube su objetivo a 123 EUR (comprar), tras Kepler (115 EUR, 27 de mayo) y ABN Amro Oddo BHF (120 EUR, 26 de mayo)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ventas 1.517 M EUR (+16 %), margen EBIT subyacente 6,9 %, guía de 2026 reiterada; nueva línea de crédito de 210 M EUR ampliable en 150 M para compras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Van Wanrooij vende todo su 8,4 % (unos 2,3 M de acciones) en una colocación con el apoyo de Rabobank, Kepler Cheuvreux e ING; la acción cae más de un 7 % en la apertura. La AFM registra su participación a 0 % el 23 de septiembre: el papel pendiente ya está colocado [19,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Actualización del 3T (sin cuenta de resultados completa)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31 % desde el máximo de junio tiene causas conocidas y ya publicadas: un 1S26 que confirmó que la vivienda no repunta, la rotación de sector y la colocación del 8,4 % de la familia Van Wanrooij [8, 21]. Esa colocación era el único hecho pendiente que podía pesar sobre el precio (bloqueo vencido y vendedor conocido) y ya está terminada: la AFM registra a la familia a 0 % [19]. No hay ampliaciones, convertibles, litigios ni ofertas pendientes. La actualización del 3T llega el 30 de octubre, pero según la regla 11 del método los resultados cercanos no aplazan una decisión.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Frente a su historia, Heijmans está muy cara: el PER de los últimos 12 meses es de 15,8 veces, contra una media de 5,9 veces y un máximo de 14,3 veces entre 2020 y 2025, y el EV/EBITDA de 8,4 veces contra una media de 3,3 veces. Pero la historia es de una empresa distinta: hasta 2023 el mercado pagaba 4-6 veces beneficio porque recordaba las pérdidas de 2016 y no se fiaba de los márgenes de una constructora. Lo que ha cambiado es estructural en parte (caja neta, contratos con menos riesgo, más mantenimiento y redes) y cíclico en parte (margen récord). Por eso la regla común de múltiplos, que lleva el PER a mitad de camino hacia la mediana histórica, castiga mucho a Heijmans: es la principal razón de que el objetivo a 12 meses quede por debajo del precio.</w:t>
      </w:r>
    </w:p>
    <w:p>
      <w:pPr>
        <w:pStyle w:val="Heading1"/>
      </w:pPr>
      <w:r>
        <w:t xml:space="preserve">18. Comparables cotizados</w:t>
      </w:r>
    </w:p>
    <w:p>
      <w:pPr>
        <w:pStyle w:val="Confianza"/>
        <w:spacing w:after="100"/>
      </w:pPr>
      <w:r>
        <w:t xml:space="preserve">Confianza: Media</w:t>
      </w:r>
    </w:p>
    <w:p>
      <w:pPr>
        <w:spacing w:after="100"/>
      </w:pPr>
      <w:r>
        <w:t xml:space="preserve">Constructoras cotizadas europeas con mezcla parecida de obra civil, edificación y algo de promoción: BAM (el rival neerlandés directo), las nórdicas Skanska, Peab, NCC y Veidekke (mezcla vivienda-infraestructura y promoción propia), Implenia (suiza, tamaño parecido) y Strabag. Se añaden Vinci y Eiffage como referencia de grandes con concesiones, aunque cotizan con más deuda y márgenes más altos por ellas. VolkerWessels, Dura Vermeer y Ballast Nedam no cotizan. Todos los datos son de Stock Analysis a 19-oct-2026, convertidos a EUR con los cambios del BCE del 16-oct [25, 26, 27, 28, 29, 30, 31, 32, 33, 34,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Heijmans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Royal BAM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Strabag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Eiffage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Skanska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NCC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Implenia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Veidekke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 / 6,4x / 7,7x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12,3x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 / 0,6x / 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Heijmans cotiza a 8,4 veces el EBITDA de los últimos 12 meses y a 11,8 veces el beneficio de los próximos 12, frente a medianas de 6,4 y 12,3 veces de los comparables: prima en EV/EBITDA y descuento leve en PER. La diferencia viene de que su EBITDA no incluye el de los negocios conjuntos (sí su beneficio), lo que infla el EV/EBITDA. Su crecimiento esperado (9,1 %) y su ROIC (25,5 %) están en la parte alta del grupo, con un margen EBITDA del 8,3 % solo superado por las concesionarias (Vinci, Eiffage) y Strabag [25, 26, 27, 28, 29, 30, 31, 32, 33]. Un PER de 12-13 veces, en línea con Strabag y NCC, parece justo para un contratista de calidad sin concesiones; más que eso exigiría creer que el margen actual es de ciclo completo. El método más fiable aquí es el PER adelantado de los comparables (76,68-93,61 EUR por acción); el EV/EBITDA y el EV/ventas penalizan la estructura de negocios conjuntos.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 Wanrooij Bouw &amp; Ontwikkeling (promoción, construcción y suelo)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Heijmans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publicado de 298 M EUR. Ventas ≈ 388 M EUR estimadas como la diferencia entre las ventas pro forma de 2022 (2.200 M) y las de Heijmans sola (1.812 M); EBITDA subyacente esperado a corto plazo de 30-40 M (punto medio 35): múltiplos estimados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Hegeman (edificación utilitaria y mantenimiento, Amersfoort-Nijverdal)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Heijmans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49,6 M EUR por unas ventas de 144 M EUR y un beneficio antes de impuestos de unos 8 M; cerrada el 17-dic-2025 tras la autorización de la ACM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 Gisbergen (promotora regional)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Heijmans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neto de unos 8,1 M EUR por una empresa de unos 39 M EUR de ventas; operación pequeña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Negocios neerlandeses de construcción, promoción e infraestructura de VolkerWessels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 y Boskalis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no publicado; la autoridad de competencia abrió un examen a fondo. Se cita como señal de interés de compradores financieros por el sector neerlandés, sin múltiplo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36,70 – 67,06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transacciones conocidas son compras de la propia Heijmans a empresas familiares, pagadas a 0,2-0,8 veces las ventas y unas 8,5 veces el EBITDA en el caso de Van Wanrooij [37]. Dan valores de 36,70-67,06 EUR por acción, muy por debajo del precio, porque son operaciones pequeñas sin prima de control sobre una cotizada; no se usan en la síntesis. La venta de los negocios neerlandeses de VolkerWessels a HAL y Boskalis muestra interés de compradores financieros y estratégicos por el sector, pero sin precio publicado [38]. Heijmans podría ser objetivo (sin accionista de control, caja neta), pero sus defensas (fundación de certificados y opción de preferentes) hacen improbable una opa hostil [1].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+11,8 % (3.099 M EUR), en línea con la guía de unos 3.100 M EUR reiterada en julio y con un 1S26 de +16 %; 6 de esos puntos son la compra de Hegeman [4]. Después el crecimiento baja del 7 % en 2027e al 4,5 % en 2030e: la cartera de 4.093 M EUR (16 meses de ventas, +36 % interanual) asegura 2027, pero la dirección no espera que la vivienda repunte y el EIB prevé que el mercado crezca un 2,8 % anual hasta 2030 [4, 8, 11]. El objetivo de unos 4.000 M EUR en 2030 de la empresa supone un 4,8 % anual desde 2026; nosotros llegamos a 3.857 M EUR, algo por debajo [8]. De 2031e a 2035e el crecimiento converge al 2 %. El consenso está un 2 % por encima en ventas [23].</w:t>
      </w:r>
    </w:p>
    <w:p>
      <w:pPr>
        <w:keepNext/>
        <w:spacing w:after="100"/>
      </w:pPr>
      <w:r>
        <w:rPr>
          <w:b/>
          <w:bCs/>
        </w:rPr>
        <w:t xml:space="preserve">Márgenes.</w:t>
      </w:r>
    </w:p>
    <w:p>
      <w:pPr>
        <w:spacing w:after="100"/>
      </w:pPr>
      <w:r>
        <w:t xml:space="preserve">El margen EBITDA publicado (sin la parte de los negocios conjuntos) pasa del 8,1 % de 2025 al 8,7 % en 2026e, coherente con un margen EBIT subyacente hacia el 7,3 % [4]. Sube hasta el 9,6 % en 2030e por la mezcla (más redes eléctricas, defensa y mantenimiento, y Hegeman sin dilución), lo que equivale a un margen EBIT subyacente del 8 %, la parte baja del objetivo del 8-10 % para 2030 [8]. Después baja al 8,8 % en 2035e: un margen de ciclo medio, porque los años de ahora son de expansión y la construcción ha tenido márgenes del 3-6 % en la mayor parte de su historia [13, 14]. El EBITDA propio coincide con el del consenso ajustado (diferencia de −1,6 % a +1,9 %).</w:t>
      </w:r>
    </w:p>
    <w:p>
      <w:pPr>
        <w:keepNext/>
        <w:spacing w:after="100"/>
      </w:pPr>
      <w:r>
        <w:rPr>
          <w:b/>
          <w:bCs/>
        </w:rPr>
        <w:t xml:space="preserve">Inversión y circulante.</w:t>
      </w:r>
    </w:p>
    <w:p>
      <w:pPr>
        <w:spacing w:after="100"/>
      </w:pPr>
      <w:r>
        <w:t xml:space="preserve">Las amortizaciones se mantienen en el 2,2-2,3 % de las ventas (2,2 % en 2025). El capex incluye las altas de derechos de uso de vehículos, maquinaria y oficinas (NIIF 16): baja del 3,3 % de las ventas en 2026e, año con inversión en la fábrica de módulos de Ede y en SAP, al 2,6 % a largo plazo, por encima de la amortización [1]. El circulante comercial es negativo por los anticipos de clientes: −3,9 % de las ventas en 2025, con años positivos cuando compró suelo (2023) [1]. Se proyecta que se normalice del −3,5 % al −2,5 %, lo que consume algo de caja; el suelo estratégico se mantiene en proporción a las ventas.</w:t>
      </w:r>
    </w:p>
    <w:p>
      <w:pPr>
        <w:keepNext/>
        <w:spacing w:after="100"/>
      </w:pPr>
      <w:r>
        <w:rPr>
          <w:b/>
          <w:bCs/>
        </w:rPr>
        <w:t xml:space="preserve">Coste del capital.</w:t>
      </w:r>
    </w:p>
    <w:p>
      <w:pPr>
        <w:spacing w:after="100"/>
      </w:pPr>
      <w:r>
        <w:t xml:space="preserve">Tasa libre del 3,45 %: el Bund a 10 años del 16-oct-2026, porque los flujos son en euros [36]. Beta ajustada de 1,24 (la mensual de cinco años frente al AMX es 1,36; Stock Analysis da 1,30): una constructora es más cíclica que el mercado [22, 34]. Prima de mercado del 5,5 %, sin prima adicional: la empresa vende solo en los Países Bajos, con calificación AAA. Coste de la deuda del 4,5 % antes de impuestos (Euríbor a un mes más 1,90 % del préstamo sindicado) con un tipo del 25,8 % [1]. Peso de la deuda del 6 %, casi todo arrendamientos. Resultado: WACC del 9,85 %. Con la prima implícita del mercado (4,2 %) sería del 8,34 %.</w:t>
      </w:r>
    </w:p>
    <w:p>
      <w:pPr>
        <w:keepNext/>
        <w:spacing w:after="100"/>
      </w:pPr>
      <w:r>
        <w:rPr>
          <w:b/>
          <w:bCs/>
        </w:rPr>
        <w:t xml:space="preserve">Valor terminal.</w:t>
      </w:r>
    </w:p>
    <w:p>
      <w:pPr>
        <w:spacing w:after="100"/>
      </w:pPr>
      <w:r>
        <w:t xml:space="preserve">Gordon con un crecimiento del 2,0 %: inflación de la zona euro (≈ 2 %) sin crecimiento real, prudente para un negocio cíclico y por debajo de la tasa libre menos medio punto. El valor terminal pesa el 50 % del valor, poco para un DCF, porque los diez años explícitos generan mucha caja. El múltiplo de salida de referencia es de 6,5 veces el EBITDA, en línea con la mediana de los comparables (6,4 veces); el implícito del Gordon es de 6,7 veces, coherente [25, 26, 27, 28, 29, 30, 31, 32, 33].</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 (reinvierte el 55 %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(histórico: 22,9 %)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frente al 4,8 %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 (hoy: 2,7 %)</w:t>
            </w:r>
          </w:p>
        </w:tc>
      </w:tr>
    </w:tbl>
    <w:p>
      <w:pPr>
        <w:spacing w:after="160" w:before="0"/>
      </w:pPr>
    </w:p>
    <w:p>
      <w:pPr>
        <w:spacing w:after="100"/>
      </w:pPr>
      <w:r>
        <w:t xml:space="preserve">La proyección apenas necesita inversión neta de la amortización (reinversión acumulada de 199 M, el 10 % del NOPAT, con un capex bruto medio del 2,8 % de las ventas). En un negocio de activos ligeros, el crecimiento medio del 4,8 % tiene que salir de subir precios y de ganar volumen sin capital nuevo, y la prueba es el poder de precios y la cuota (3,3 % del mercado en 2030e, frente al 2,7 %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(cartera de Werken y Verbinden, con la vivienda plana), precio del 2,3 % (cláusulas de revisión de los contratos) y 6 puntos de Hegeman, consolidada desde el 17-dic-2025 (144 M EUR de ventas en 2025) [1,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por la cartera de Werken (1.973 M EUR en junio de 2026, defensa y centro de datos) y de redes; precio del 2,5 %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más entregas de vivienda según el EIB (84.000 en 2027) y redes; precio del 2,5 %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cerca del mercado; precio del 2,5 %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2 % y precio del 2,5 %: el crecimiento converge al del mercado (2,8 % anual según el EIB) más algo de cuota [11].</w:t>
            </w:r>
          </w:p>
        </w:tc>
      </w:tr>
    </w:tbl>
    <w:p>
      <w:pPr>
        <w:spacing w:after="160" w:before="0"/>
      </w:pPr>
    </w:p>
    <w:p>
      <w:pPr>
        <w:spacing w:after="100"/>
      </w:pPr>
      <w:r>
        <w:t xml:space="preserve">Sí. El crecimiento medio proyectado (4,8 %) está por debajo del histórico (9,7 % anual), apenas necesita inversión neta (reinversión del 10 % del NOPAT) y se apoya en una cartera de 16 meses de ventas [4]. La cuota implícita en 2030e es del 3,3 % del mercado neerlandés frente al 2,7 % de hoy (1,2 veces), dentro del límite, y la ganancia sale de segmentos donde Heijmans ya tiene fábrica y referencias (módulos de subestación para TenneT, defensa) [1]. El crecimiento financiable con la reinversión prevista, al ROIC actual (25,5 %), supera de largo al proyectado. El poder de precios está demostrado: subió el margen EBITDA subyacente del 7,7 % al 9,1 % en un año [1]. Ninguna de las tres pruebas falla.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 (base: 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(base: 8,8 %)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 (WACC: 9,8 %)</w:t>
            </w:r>
          </w:p>
        </w:tc>
      </w:tr>
    </w:tbl>
    <w:p>
      <w:pPr>
        <w:spacing w:after="160" w:before="0"/>
      </w:pPr>
    </w:p>
    <w:p>
      <w:pPr>
        <w:spacing w:after="100"/>
      </w:pPr>
      <w:r>
        <w:t xml:space="preserve">El DCF da 86,53 EUR por acción, un 4,6 % por encima del precio, con un rango de 79,62-95,37 EUR en las sensibilidades de WACC y crecimiento terminal. El valor terminal pesa solo el 50 % porque la empresa genera mucha caja en los años explícitos. El DCF inverso dice que el precio descuenta un crecimiento del 3,3 % anual entre 2027e y 2035e con nuestros márgenes, frente al 4,0 % de nuestro caso base, o un margen del 8,5 % con nuestro crecimiento frente al 8,8 %; dicho de otro modo, el precio ofrece una rentabilidad implícita del 10,3 %, algo por encima del WACC (9,85 %). Es una exigencia moderada: pide que Heijmans mantenga márgenes cercanos a los récords de hoy durante una década, en un sector que ha tenido márgenes del 3-6 %. Si el margen vuelve a la media histórica de la empresa (EBITDA del 6-7 %), el valor cae hacia el escenario bajista (49,78 EUR). El DCF no ve a Heijmans cara ni barata: ve el precio justo de un ciclo bueno.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vivienda se queda en 3.000 ventas al año o cae, la obra no residencial sigue baja y la competencia por las obras de redes y defensa baja los márgenes; un par de contratos salen mal, como en 2016. Las ventas apenas crecen desde 2027 y el margen EBITDA vuelve al 7,3 %, el nivel de 2023-2024. Ya le pasó en 2016 y a BAM en varias ocasiones.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se ejecuta, la vivienda se queda plana y las redes y la defensa empujan: ventas de unos 3.500 M EUR en 2028e y margen EBIT subyacente cerca del 8 % hacia 2030, en la parte baja del objetivo de la empresa.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vivienda repunta con la ley de aceleración y las entregas que prevé el EIB, y la industrialización (módulos, casas en fábrica) sube márgenes: la empresa cumple su plan para 2030 (unos 4.000 M EUR y un margen EBIT subyacente en la mitad del 8-10 %).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82,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82,38 EUR (-0,4 %).</w:t>
      </w:r>
    </w:p>
    <w:p>
      <w:pPr>
        <w:spacing w:after="100"/>
      </w:pPr>
      <w:r>
        <w:t xml:space="preserve">La asimetría del DCF es desfavorable: el alcista gana un 29,0 % (106,66 EUR) y el bajista pierde un 39,8 % (49,78 EUR), una asimetría de 0,73 veces. Es lo normal en una constructora con márgenes récord: hay más margen para bajar que para subir, porque el bajista solo devuelve el margen al de hace dos años. Con la prima implícita del mercado (WACC del 8,34 %) la asimetría mejora a 1,98 veces y el valor objetivo a 99,09 EUR, pero eso solo dice que Heijmans no está cara frente a un mercado que también descuenta poco riesgo. La asimetría no compensa para comprar hoy.</w:t>
      </w:r>
    </w:p>
    <w:p>
      <w:pPr>
        <w:pStyle w:val="Heading1"/>
      </w:pPr>
      <w:r>
        <w:t xml:space="preserve">22. Suma de partes</w:t>
      </w:r>
    </w:p>
    <w:p>
      <w:pPr>
        <w:pStyle w:val="Confianza"/>
        <w:spacing w:after="100"/>
      </w:pPr>
      <w:r>
        <w:t xml:space="preserve">Confianza: Media</w:t>
      </w:r>
    </w:p>
    <w:p>
      <w:pPr>
        <w:spacing w:after="100"/>
      </w:pPr>
      <w:r>
        <w:t xml:space="preserve">No aplica: Wonen, Werken y Verbinden comparten clientes, márgenes y riesgos de contratista, y no hay comparables puros cotizados de cada uno en los Países Bajos. Wonen tiene un componente de promoción con suelo, pero no publica un valor de mercado de la cartera de suelo.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82,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85,29 EUR (+3,1 % sobre 82,70).</w:t>
      </w:r>
    </w:p>
    <w:p>
      <w:pPr>
        <w:spacing w:after="100"/>
      </w:pPr>
      <w:r>
        <w:t xml:space="preserve">Pesos: 50 % al DCF, 25 % a los comparables y 25 % a los escenarios; nada a las transacciones (compras pequeñas sin prima de control) ni a la suma de partes. El DCF es el método más fiable para Heijmans porque recoge la caja que genera un negocio de capital negativo y permite discutir el margen de ciclo medio, que es la clave. Los comparables por PER (76,68-93,61 EUR) encajan con el DCF; el EV/EBITDA (57,26-75,89 EUR) y el EV/ventas castigan a Heijmans porque su EBITDA no incluye el de los negocios conjuntos. La dispersión es moderada: casi todos los métodos quedan entre 65 y 95 EUR, alrededor del precio. El valor intrínseco ponderado es de 85,29 EUR, un 3,1 % por encima del precio: Heijmans cotiza cerca de su valor.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(12.6x) ÷ 1.1 (tope: la mediana de 5 años, 5.8x,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r>
    </w:tbl>
    <w:p>
      <w:pPr>
        <w:spacing w:after="160" w:before="0"/>
      </w:pPr>
    </w:p>
    <w:p>
      <w:pPr>
        <w:spacing w:after="100"/>
      </w:pPr>
      <w:r>
        <w:rPr>
          <w:b/>
          <w:bCs/>
        </w:rPr>
        <w:t xml:space="preserve">Objetivo a 12 meses (ponderado):</w:t>
      </w:r>
      <w:r>
        <w:t xml:space="preserve"> 71,93 EUR · rentabilidad -10,2 % (base +3,2 %) · señal Vender.</w:t>
      </w:r>
    </w:p>
    <w:p>
      <w:pPr>
        <w:spacing w:after="100"/>
      </w:pPr>
      <w:r>
        <w:t xml:space="preserve">Para comparar, con la regla v2 (historia al cierre, mismo precio): 3,9x / 6,7x / 8,6x, -39,8 % Vender; con el tope anterior del base (×1,3, 14-oct mediodía): -17,6 %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(7,28 EUR) está un 11,7 % por debajo del consenso (8,24 EUR) con un EBITDA casi igual (−1,6 % frente al consenso ajustado). La diferencia está debajo del EBITDA: el consenso trabaja con unos 26,7 M de acciones (220,4 M EUR de beneficio entre 8,24) y nosotros con 27,5 M; y suponemos un resultado financiero de −3 M EUR, sin los ingresos por la caja que acumulará la empresa, porque esa caja se reparte o se invierte en compras [23]. Nuestro precio base (82,99 EUR) queda un 30,5 % por debajo del objetivo medio de los analistas (119,33 EUR), sobre todo por el múltiplo: ellos aplican 14-16 veces el beneficio y la regla común nos lleva a 11,4 veces.</w:t>
      </w:r>
    </w:p>
    <w:p>
      <w:pPr>
        <w:keepNext/>
        <w:spacing w:after="100"/>
      </w:pPr>
      <w:r>
        <w:rPr>
          <w:b/>
          <w:bCs/>
        </w:rPr>
        <w:t xml:space="preserve">Del valor intrínseco al objetivo a 12 meses.</w:t>
      </w:r>
    </w:p>
    <w:p>
      <w:pPr>
        <w:spacing w:after="100"/>
      </w:pPr>
      <w:r>
        <w:t xml:space="preserve">El objetivo a 12 meses (71,93 EUR ponderado; 82,99 EUR en el caso base) queda un 13 % por debajo del valor intrínseco (85,29 EUR) y del precio (82,70 EUR). La distancia no viene de los beneficios, sino del múltiplo: la regla común lleva el PER hacia la mediana de cinco años (5,8 veces), que es la de una Heijmans que el mercado no se creía, y el bajista usa el mínimo de 3,7 veces. Para que la distancia se cierre haría falta que la historia de múltiplos dejara de pesar: más años de márgenes altos y estables sin sustos, que irán subiendo la mediana. Eso es una tesis de varios años, no de 12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2026 (unos 3.100 M EUR y margen EBIT subyacente hacia el 7,3 %) y de la cartera; un margen por debajo movería el precio un 5-10 %.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 2027; dividendo del 50 % (unos 2,9-3,0 EUR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marco legal del nitrógeno y de aceleración de vivienda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desbloquea permisos, mejoraría las ventas de vivienda, el punto débil de 2026-2027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con la nueva línea de 150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cara o mal integrada restaría valor; una pequeña y en redes o mantenimiento sumaría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cambios en el consejo de supervisión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Sustituto de Allard Castelein; preparación de la sucesión de Hillen (mandato hasta 2028)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 si Hegeman deja de diluir y si el margen de Verbinden se sostiene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del margen a la media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 / 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(escenario bajista: 49,78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en colaboración, cláusulas de revisión de precios y oficina de riesgos que filtra licitaciones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subyacente semestral por debajo del 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en un contrato grande a precio cerrado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(un año de beneficio)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de obras y reparto de riesgo con el cliente; caja neta para absorberlo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por pérdidas en proyectos o aviso en una actualización trimestral.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mercado de vivienda y deterioro del suelo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 / balance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(deterioro de 100 M EUR de suelo y menos margen en Wonen)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Suelo estratégico de 212,5 M EUR comprado barato; compromisos de compra de suelo mayoritariamente condicionales (413 de 456 M EUR)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vivienda por debajo de 2.500 al año o deterioros de suelo por encima de 10 M EUR.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Retirada de la demanda pública (redes, defensa, Rijkswaterstaat)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4.093 M EUR, 16 meses de ventas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Verbinden o Werken bajando dos semestres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mano de obra y subcontratas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Industrialización y prefabricación (módulos, casas en fábrica)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Vacantes del sector por encima de 80 por cada 1.000 empleos [12].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cara con la nueva línea de 150 M EUR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bueno de compras (ROIC incremental del 22,9 %)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más de 10 veces el EBITDA o fuera de los tres negocios.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CEO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sucesión de la comisión de nombramientos; CFO con mandato hasta 2029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relevo sin candidato interno conocido.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Compresión del múltiplo hacia su historia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−20 % a −30 % (PER de 8-9 veces con el mismo beneficio)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neta y dividendo del 2,9 %.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 adelantado por debajo de 10 veces sin cambio de beneficios.</w:t>
            </w:r>
          </w:p>
        </w:tc>
      </w:tr>
    </w:tbl>
    <w:p>
      <w:pPr>
        <w:spacing w:after="160" w:before="0"/>
      </w:pPr>
    </w:p>
    <w:p>
      <w:pPr>
        <w:pStyle w:val="Heading2"/>
      </w:pPr>
      <w:r>
        <w:t xml:space="preserve">Pre-mortem</w:t>
      </w:r>
    </w:p>
    <w:p>
      <w:pPr>
        <w:spacing w:after="100"/>
      </w:pPr>
      <w:r>
        <w:t xml:space="preserve">Octubre de 2029: la acción ha perdido un 40 % y cotiza a 50 EUR. La historia más probable empieza en 2027: la vivienda no repuntó como preveía el EIB, porque los permisos siguieron atascados y los tipos hipotecarios subieron, y Wonen, el área con más margen, bajó sus ventas y tuvo que deteriorar parte del suelo estratégico. A la vez, la edificación no residencial siguió floja y los rivales que se habían quedado sin obra bajaron precios en las licitaciones de redes y defensa, justo donde Heijmans había apostado su crecimiento. Un contrato grande de la fábrica de módulos tuvo sobrecostes. El margen EBIT subyacente volvió del 7 % al 5 %, el BPA cayó a unos 4 EUR y el mercado, que ya pagaba por Heijmans un múltiplo muy por encima de su historia, volvió a aplicarle 8-10 veces. Además, la empresa gastó la línea de 150 M EUR en una compra a un múltiplo alto justo antes del cambio de ciclo. Los indicadores que lo habrían anticipado: ventas netas de vivienda por debajo de 2.500 al año, una cartera de Werken que deja de crecer, el margen semestral cayendo dos semestres seguidos y los deterioros de suelo.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a 3-5 años</w:t>
      </w:r>
    </w:p>
    <w:p>
      <w:pPr>
        <w:spacing w:after="100"/>
      </w:pPr>
      <w:r>
        <w:t xml:space="preserve">La IA no puede sustituir lo que vende Heijmans: carreteras, diques, subestaciones y viviendas se construyen en la obra o en fábrica, con personas y máquinas. Afecta a los costes, no a los ingresos. La parte expuesta es la oficina técnica y de licitación (diseño, cálculo, presupuestos, planificación), que pesa unos pocos puntos de las ventas; ahí la IA puede ahorrar horas en un sector con escasez de ingenieros, y la empresa ya liga parte del variable de la dirección al uso de generadores de IA en el diseño [18]. También ayuda en el mantenimiento predictivo de infraestructuras y en la gestión de activos. El riesgo es que los rivales capturen antes esas mejoras y las trasladen a precios más bajos en las licitaciones, pero el ahorro se repartirá con los clientes. Efecto neto pequeño y positivo. Señal: margen de Verbinden y Werken mejorando con la misma plantilla de oficina técnica.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afectan a las cifras. Primero, la seguridad laboral: la tasa de accidentes con baja (IF) bajó de 7,7 a 7,2 por millón de horas en 2025, pero hubo 33 avisos de accidentes potencialmente mortales o graves; un accidente grave puede excluir de licitaciones [1]. Segundo, las emisiones: los clientes públicos puntúan la obra sin emisiones (TenneT en Maasbracht) y el nitrógeno limita permisos; la empresa liga la retribución variable a reducir CO₂ de alcance 1 y 2 [1]. Tercero, la integridad en la licitación: Heijmans fue una de las unas 600 empresas del fraude de la construcción de los años noventa y desde 2017 tiene una oficina de riesgos que revisa licitaciones y competencia [10].</w:t>
      </w:r>
    </w:p>
    <w:p>
      <w:pPr>
        <w:pStyle w:val="Heading2"/>
      </w:pPr>
      <w:r>
        <w:t xml:space="preserve">Controversias</w:t>
      </w:r>
    </w:p>
    <w:p>
      <w:pPr>
        <w:spacing w:after="100"/>
      </w:pPr>
      <w:r>
        <w:t xml:space="preserve">En los últimos tres años no constan sanciones relevantes. El litigio más importante fue el de los postes Wintrack con TenneT: en 2023 la empresa liberó 14 M EUR de provisión al cerrarse el asunto [1, 3]. En la parte de vivienda, como todo promotor, tiene reclamaciones de calidad habituales sin importe significativo [1]. La venta del 8,4 % de la familia Van Wanrooij en septiembre de 2026 no es una controversia, pero sí cambió el accionariado [17].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 subyacente esperan en un año de caída de la vivienda como 2023, con la mezcla actual de negocios?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entre el 8,8 % y el 7,3 % de margen EBITDA de largo plazo es la diferencia entre el caso base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Negocios conjuntos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98 M EUR prestados a negocios conjuntos se recuperará en caja y cuándo?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han dejado fuera del puente; valen unos 3,6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Suelo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valor de mercado estiman el suelo estratégico de 212,5 M EUR y en cuántos años se consumirá?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riesgo de balance en un ciclo bajista y a la vez una reserva de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de compra y a qué múltiplo máximo piensan usar la línea de 150 M EUR?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asignación de capital ha sido buena; una compra grande y cara la cambiaría.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 eléctricas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Verbinden es de TenneT y de las distribuidoras, y con qué margen frente a la obra civil clásica?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de 2027-2030 en nuestra proyección.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Hegeman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tendrá Hegeman en 2027 y qué costes de integración quedan?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1S26 diluyó el margen de Werken (5,6 % frente al 6,9 %).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sucesor interno para Ton Hillen antes de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disciplina de licitación que explica el giro depende de este equipo.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¿Mantendrán el 50 % de reparto si se acumula caja, o habrá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caja neta crecerá con nuestra proyección; su uso cambia el BPA y el valor.</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40 (14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3,3 % en 2030e frente al 2,7 %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-3,5 % frente a -3,9 %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semestrales: no dan el consenso previo; 2) transcripción del 1S26: menciona la caída de la acción, no el consenso; 3) MarketScreener y Beursgenoten: solo el consenso vigente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1S24 y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del 1S25: da el EBITDA subyacente del 1S24 (91 M), no el publicado; 2) informe anual 2024: solo anual; 3) presentación del 1S24: margen subyacente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coste_deuda_pct y 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informe 2025: solo 8,4 M de financiación de proyectos; 2) nota del 1S26: línea nueva sin disponer; 3) los gastos financieros (9,9 M) son sobre todo intereses de arrendamientos y comisiones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(no hay deuda financiera relevante)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EIB y Monitor Bouwketen: no publican cuotas; 2) informe de VolkerWessels y de BAM: dan ventas totales, no la parte neerlandesa de forma comparable; 3) búsqueda de rankings de constructoras (Cobouw 50): sin acceso a la cifra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EIB 2026: solo da 2025 y previsiones; 2) Monitor Bouwketen: tasas de valor añadido sueltas (+1,5 % en 2025), no una serie; 3) CBS StatLine: no consultable desde aquí sin la tabla exacta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cita calificaciones externas); 2) página de Sustainalytics (sin puntuación visible); 3) búsqueda de CDP y MSCI para Heijmans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margen de Dura Vermeer y Ballast Nedam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Dura Vermeer (último resumen accesible de 2018); 2) búsqueda de cifras 2025; 3) prensa sectorial (sin cifra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las votaciones de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relación con inversores (devuelve 403); 2) búsqueda del acta o de los resultados de la junta de 2026; 3) informe de retribución 2025 (solo recoge la junta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las votaciones de 2024 y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da EV/EBITDA de los últimos 12 meses y PER adelantado); 2) MarketScreener (estimaciones de EBITDA de pago por empresa); 3) cálculo con EBITDA estimado de otro proveedor (descartado: mezclaría definiciones)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netas de la AFM (no consultado con éxito); 2) búsqueda en prensa (sin dato); 3) proveedores de datos (sin dato gratis)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transacción con EV/EBITDA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Heijmans de Hegeman y Van Gisbergen (sin EBITDA); 2) operación VolkerWessels-HAL/Boskalis (precio no publicado); 3) Vinci-Cobra IS (descartada: ventas del perímetro no verificadas)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foro de IEX (el hilo «Heijmans» que aparece es de 2010-2011, sin debate de 2026); 2) Reddit y getquin (un solo comentario entusiasta de febrero de 2026, sin debate); 3) comentarios de lectores en De Belegger y Beursgenoten (sin hilo con contenido en los últimos tres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Jaarverslag 2025 Koninklijke Heijmans N.V. (informe anual ESEF con cuentas y notas, en neerlandés)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Heijmans (repositorio ESEF de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https://filings.xbrl.org/724500OUE3PCA809DZ79/2025-12-31/ESEF/NL/0/724500OUE3PCA809DZ79-2025-12-31-1-nl/reports/724500OUE3PCA809DZ79-2025-12-31-1-nl.xhtml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Jaarverslag 2024 Koninklijke Heijmans N.V.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Heijmans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https://filings.xbrl.org/724500OUE3PCA809DZ79/2024-12-31/ESEF/NL/0/Heijmans-2024-12-31-nl/reports/Heijmans-2024-12-31-nl.xhtml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Jaarverslag 2023 Koninklijke Heijmans N.V.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Heijmans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https://filings.xbrl.org/724500OUE3PCA809DZ79/2023-12-31/ESEF/NL/0/Heijmans-2023-12-31-nl/reports/Heijmans-2023-12-31-nl.xhtml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half year results 2026 (con estados financieros intermedios resumidos)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Heijmans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https://www.heijmans.nl/media/documents/2624/Half_year_results_2026.pdf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Presentatie halfjaarcijfers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Heijmans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https://www.heijmans.nl/media/documents/2659/Halfjaarcijfers_2026_-_Presentatie.pdf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half year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Heijmans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https://www.heijmans.nl/media/documents/1958/Heijmans-Half_year_report-2025-press_release.pdf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2021 y 2022 (hechos XBRL de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Heijmans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https://filings.xbrl.org/724500OUE3PCA809DZ79/2022-12-31/ESEF/NL/0/Heijmans_NV-2022-12-31/reports/Heijmans_NV-2022-12-31.xhtml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Royal Heijmans posts stronger H1 2026 profit, shares fall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https://www.investing.com/news/transcripts/earnings-call-transcript-royal-heijmans-posts-stronger-h1-2026-profit-shares-fall-93CH-4811763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Heijmans acquires Van Wanrooij and strengthens position in housing market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Heijmans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https://www.heijmans.nl/media/documents/1339/Press_Release_Heijmans_acquires_Van_Wanrooij.pdf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Honderd jaar de hand van Heijmans: geschiedenis (Heijmans100)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Heijmans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https://beheer.heijmans.nl/media/documents/1491/Heijmans100_Geschiedenis.pdf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Persbericht: Verwachtingen bouwproductie en werkgelegenheid 2026 (sterke groei van de woningnieuwbouw)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EIB (Economisch Instituut voor de Bouw)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https://www.bouwenmetstaal.nl/sites/default/files/2026-01/EIB_Persbericht_Verwachtingen%20bouwproductie%20en%20werkgelegenheid%202026.pdf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Monitor bouwketen voorjaar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EIB (Economisch Instituut voor de Bouw)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https://www.technieknederland.nl/media/pe2gdgfr/monitor-bouwketen-voorjaar-2026-definitief.pdf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VolkerWessels Jaarverslag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Koninklijke VolkerWessels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https://www.volkerwessels.com/sites/vw_corporate/files/2026-03/VolkerWessels%20Jaarverslag%202025%20DEF%20INTERACTIEF.pdf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BAM Group: income statement (financials)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https://stockanalysis.com/quote/ams/BAMNB/financials/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Strabag SE: income statement (financials)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https://stockanalysis.com/quote/vie/STR/financials/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Heijmans acquires Van Wanrooij and strengthens position in housing market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Heijmans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https://www.heijmans.nl/en/news/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Royal Heijmans posts stronger H1 2026 profit, shares fall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Bezoldigingsverslag Koninklijke Heijmans N.V. 2025 (informe de retribución)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Heijmans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https://www.heijmans.nl/media/documents/2095/Bezoldigingsverslag_Koninklijke_Heijmans_N.V._2025.pdf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participaciones significativas (substantiële deelnemingen): Koninklijke Heijmans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https://www.afm.nl/en/sector/registers/meldingenregisters/substantiele-deelnemingen?KeyWords=heijmans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operaciones de directivos y consejeros (MAR art. 19): Koninklijke Heijmans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https://www.afm.nl/en/sector/registers/meldingenregisters/bestuurders-commissarissen?KeyWords=heijmans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Dit Nederlandse aandeel zakt 7% en dit is de echte reden (venta del paquete de la familia Van Wanrooij)</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Belegger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https://www.debelegger.nl/post/dit-nederlandse-aandeel-zakt-7-en-dit-is-de-echte-reden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HEIJM.AS, ^AMX (AMX) y EXV8.DE (Stoxx Europe 600 Construction &amp; Materials) hasta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https://finance.yahoo.com/quote/HEIJM.AS/history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Koninklijke Heijmans N.V.: previsiones de los analistas (ventas, EBITDA, EBIT, beneficio, BPA, dividendo) y objetivo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https://www.marketscreener.com/quote/stock/KONINKLIJKE-HEIJMANS-N-V-6409/finances/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Heijmans: koersdoelen en adviezen van analisten (ING, Kepler Cheuvreux, ABN Amro Oddo BHF)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Beursgenoten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https://www.beursgenoten.nl/koersen/euronext-aandelen-amsterdam/heijmans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BAM Group: statistics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https://stockanalysis.com/quote/ams/BAMNB/statistics/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Strabag SE: statistics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https://stockanalysis.com/quote/vie/STR/statistics/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Eiffage: statistics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https://stockanalysis.com/quote/epa/FGR/statistics/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Vinci: statistics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https://stockanalysis.com/quote/epa/DG/statistics/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Skanska: statistics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https://stockanalysis.com/quote/sto/SKA.B/statistics/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Peab: statistics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https://stockanalysis.com/quote/sto/PEAB.B/statistics/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NCC: statistics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https://stockanalysis.com/quote/sto/NCC.B/statistics/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Implenia: statistics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https://stockanalysis.com/quote/swx/IMPN/statistics/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Veidekke: statistics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https://stockanalysis.com/quote/osl/VEI/statistics/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Koninklijke Heijmans: statistics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https://stockanalysis.com/quote/ams/HEIJM/statistics/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ZAR, vencimiento residual 10 años),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https://api.statistiken.bundesbank.de/rest/download/BBSIS/D.I.ZAR.ZI.EUR.S1311.B.A604.R10XX.R.A.A._Z._Z.A?format=csv&amp;lang=en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Joint press release: Royal Heijmans acquires Van Wanrooij and strengthens position in housing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Heijmans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https://beheer.heijmans.nl/media/documents/1339/Press_Release_Heijmans_acquires_Van_Wanrooij.pdf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Construction company VolkerWessels to sell Dutch divisions to HAL and Boskalis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https://nltimes.nl/2025/07/04/construction-company-volkerwessels-sell-dutch-divisions-hal-boskalis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(SEK, CHF, NOK),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https://www.ecb.europa.eu/stats/policy_and_exchange_rates/euro_reference_exchange_rates/html/index.en.html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H1 2026 slides: profit surges 27%, shares fall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https://www.investing.com/news/company-news/royal-heijmans-h1-2026-slides-profit-surges-27-shares-fall-93CH-4811792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86,1 %</w:t>
      </w:r>
      <w:r>
        <w:t xml:space="preserve"> · Secciones con menos del 60 % de campos cubiertos: </w:t>
      </w:r>
      <w:r>
        <w:rPr>
          <w:b/>
          <w:bCs/>
        </w:rPr>
        <w:t xml:space="preserve">sentimiento</w:t>
      </w:r>
      <w:r>
        <w:t xml:space="preserve"> · Generado el 19 oct 2026.</w:t>
      </w:r>
    </w:p>
    <w:p>
      <w:pPr>
        <w:pStyle w:val="Nota"/>
        <w:spacing w:after="100"/>
      </w:pPr>
      <w:r>
        <w:t xml:space="preserve">Se analiza la línea cotizada de certificados de acciones (HEIJM, Euronext Ámsterdam), que es la única que cotiza; el precio es el cierre del 16-oct-2026 (82,70 EUR), porque la sesión del 19-oct no había cerrado. Las cuentas de 2020-2025 salen del XBRL de los informes anuales ESEF y se han contrastado con los informes; el XBRL solo traía la amortización de intangibles, así que las amortizaciones de inmovilizado y de derechos de uso se toman de las notas. Los negocios conjuntos (sobre todo promoción de barrios) van por puesta en equivalencia: su resultado está debajo del EBIT, en el resultado financiero, y se valoran en el puente a unas 8 veces su beneficio (138 M EUR). Los préstamos a negocios conjuntos (98 M EUR en junio de 2026) se dejan fuera del puente por prudencia: sumarlos añadiría unos 3,6 EUR por acción. Los segmentos solo tienen tres años con la segmentación vigente (Wonen, Werken, Verbinden, desde 2023). El consenso completo solo está en MarketScreener, con dos analistas.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Koninklijke Heijmans N.V. (HEIJM)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82,70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(53,65 – 117,80)</c:v>
                </c:pt>
                <c:pt idx="1">
                  <c:v>Precio objetivo de los analistas (115,00 – 123,00)</c:v>
                </c:pt>
                <c:pt idx="2">
                  <c:v>Comparables: PER NTM (76,68 – 93,61)</c:v>
                </c:pt>
                <c:pt idx="3">
                  <c:v>Transacciones precedentes (EV/ventas) (36,70 – 67,06)</c:v>
                </c:pt>
                <c:pt idx="4">
                  <c:v>DCF (WACC y g ± 0,5) (79,62 – 95,37)</c:v>
                </c:pt>
                <c:pt idx="5">
                  <c:v>Escenarios (bajista – alcista) (49,78 – 106,66)</c:v>
                </c:pt>
                <c:pt idx="6">
                  <c:v>DCF con la prima implícita del mercado (4,2 %)</c:v>
                </c:pt>
                <c:pt idx="7">
                  <c:v>Precio actual (82,70)</c:v>
                </c:pt>
              </c:strCache>
            </c:strRef>
          </c:cat>
          <c:val>
            <c:numRef>
              <c:f>Hoja1!$B$2:$B$9</c:f>
              <c:numCache>
                <c:formatCode>#,##0</c:formatCode>
                <c:ptCount val="8"/>
                <c:pt idx="0">
                  <c:v>53.65</c:v>
                </c:pt>
                <c:pt idx="1">
                  <c:v>115</c:v>
                </c:pt>
                <c:pt idx="2">
                  <c:v>76.68</c:v>
                </c:pt>
                <c:pt idx="3">
                  <c:v>36.7</c:v>
                </c:pt>
                <c:pt idx="4">
                  <c:v>79.62</c:v>
                </c:pt>
                <c:pt idx="5">
                  <c:v>49.78</c:v>
                </c:pt>
                <c:pt idx="6">
                  <c:v>98.21</c:v>
                </c:pt>
                <c:pt idx="7">
                  <c:v>82.29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(53,65 – 117,80)</c:v>
                </c:pt>
                <c:pt idx="1">
                  <c:v>Precio objetivo de los analistas (115,00 – 123,00)</c:v>
                </c:pt>
                <c:pt idx="2">
                  <c:v>Comparables: PER NTM (76,68 – 93,61)</c:v>
                </c:pt>
                <c:pt idx="3">
                  <c:v>Transacciones precedentes (EV/ventas) (36,70 – 67,06)</c:v>
                </c:pt>
                <c:pt idx="4">
                  <c:v>DCF (WACC y g ± 0,5) (79,62 – 95,37)</c:v>
                </c:pt>
                <c:pt idx="5">
                  <c:v>Escenarios (bajista – alcista) (49,78 – 106,66)</c:v>
                </c:pt>
                <c:pt idx="6">
                  <c:v>DCF con la prima implícita del mercado (4,2 %)</c:v>
                </c:pt>
                <c:pt idx="7">
                  <c:v>Precio actual (82,70)</c:v>
                </c:pt>
              </c:strCache>
            </c:strRef>
          </c:cat>
          <c:val>
            <c:numRef>
              <c:f>Hoja1!$C$2:$C$9</c:f>
              <c:numCache>
                <c:formatCode>#,##0</c:formatCode>
                <c:ptCount val="8"/>
                <c:pt idx="0">
                  <c:v>64.15</c:v>
                </c:pt>
                <c:pt idx="1">
                  <c:v>8</c:v>
                </c:pt>
                <c:pt idx="2">
                  <c:v>16.929999999999993</c:v>
                </c:pt>
                <c:pt idx="3">
                  <c:v>30.36</c:v>
                </c:pt>
                <c:pt idx="4">
                  <c:v>15.75</c:v>
                </c:pt>
                <c:pt idx="5">
                  <c:v>56.879999999999995</c:v>
                </c:pt>
                <c:pt idx="6">
                  <c:v>15.490000000000009</c:v>
                </c:pt>
                <c:pt idx="7">
                  <c:v>0.8199999999999932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Wonen (Vivir)</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820</c:v>
                </c:pt>
                <c:pt idx="1">
                  <c:v>994.3</c:v>
                </c:pt>
                <c:pt idx="2">
                  <c:v>1012.4</c:v>
                </c:pt>
              </c:numCache>
            </c:numRef>
          </c:val>
        </c:ser>
        <c:ser>
          <c:idx val="1"/>
          <c:order val="1"/>
          <c:tx>
            <c:strRef>
              <c:f>Hoja1!$C$1</c:f>
              <c:strCache>
                <c:ptCount val="1"/>
                <c:pt idx="0">
                  <c:v>Werken (Trabajar)</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536</c:v>
                </c:pt>
                <c:pt idx="1">
                  <c:v>634.6</c:v>
                </c:pt>
                <c:pt idx="2">
                  <c:v>689.5</c:v>
                </c:pt>
              </c:numCache>
            </c:numRef>
          </c:val>
        </c:ser>
        <c:ser>
          <c:idx val="2"/>
          <c:order val="2"/>
          <c:tx>
            <c:strRef>
              <c:f>Hoja1!$D$1</c:f>
              <c:strCache>
                <c:ptCount val="1"/>
                <c:pt idx="0">
                  <c:v>Verbinden (Conectar)</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800</c:v>
                </c:pt>
                <c:pt idx="1">
                  <c:v>996.6</c:v>
                </c:pt>
                <c:pt idx="2">
                  <c:v>1121.3</c:v>
                </c:pt>
              </c:numCache>
            </c:numRef>
          </c:val>
        </c:ser>
        <c:ser>
          <c:idx val="3"/>
          <c:order val="3"/>
          <c:tx>
            <c:strRef>
              <c:f>Hoja1!$E$1</c:f>
              <c:strCache>
                <c:ptCount val="1"/>
                <c:pt idx="0">
                  <c:v>Eliminaciones y holding</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-39</c:v>
                </c:pt>
                <c:pt idx="1">
                  <c:v>-41.3</c:v>
                </c:pt>
                <c:pt idx="2">
                  <c:v>-51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Wonen (Vivir)</c:v>
                </c:pt>
                <c:pt idx="1">
                  <c:v>Werken (Trabajar)</c:v>
                </c:pt>
                <c:pt idx="2">
                  <c:v>Verbinden (Conectar)</c:v>
                </c:pt>
                <c:pt idx="3">
                  <c:v>Eliminaciones y holding</c:v>
                </c:pt>
              </c:strCache>
            </c:strRef>
          </c:cat>
          <c:val>
            <c:numRef>
              <c:f>Hoja1!$B$2:$B$5</c:f>
              <c:numCache>
                <c:formatCode>General</c:formatCode>
                <c:ptCount val="4"/>
                <c:pt idx="0">
                  <c:v>36.5</c:v>
                </c:pt>
                <c:pt idx="1">
                  <c:v>24.9</c:v>
                </c:pt>
                <c:pt idx="2">
                  <c:v>40.4</c:v>
                </c:pt>
                <c:pt idx="3">
                  <c:v>-1.8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Países Bajos</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(precios constantes))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2030e</c:v>
                </c:pt>
              </c:strCache>
            </c:strRef>
          </c:cat>
          <c:val>
            <c:numRef>
              <c:f>Hoja1!$B$2:$B$5</c:f>
              <c:numCache>
                <c:formatCode>#,##0</c:formatCode>
                <c:ptCount val="4"/>
                <c:pt idx="0">
                  <c:v>103000</c:v>
                </c:pt>
                <c:pt idx="1">
                  <c:v>105575</c:v>
                </c:pt>
                <c:pt idx="2">
                  <c:v>110326</c:v>
                </c:pt>
                <c:pt idx="3">
                  <c:v>118000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Heijmans</c:v>
                </c:pt>
                <c:pt idx="1">
                  <c:v>VolkerWessels</c:v>
                </c:pt>
                <c:pt idx="2">
                  <c:v>Royal BAM Group</c:v>
                </c:pt>
                <c:pt idx="3">
                  <c:v>Strabag</c:v>
                </c:pt>
                <c:pt idx="4">
                  <c:v>Dura Vermeer</c:v>
                </c:pt>
                <c:pt idx="5">
                  <c:v>Ballast Nedam</c:v>
                </c:pt>
              </c:strCache>
            </c:strRef>
          </c:cat>
          <c:val>
            <c:numRef>
              <c:f>Hoja1!$B$2:$B$7</c:f>
              <c:numCache>
                <c:formatCode>0.0"%"</c:formatCode>
                <c:ptCount val="6"/>
                <c:pt idx="0">
                  <c:v>6</c:v>
                </c:pt>
                <c:pt idx="2">
                  <c:v>3.17</c:v>
                </c:pt>
                <c:pt idx="3">
                  <c:v>4.94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1</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1746.5</c:v>
                </c:pt>
                <c:pt idx="1">
                  <c:v>1748.5</c:v>
                </c:pt>
                <c:pt idx="2">
                  <c:v>1812.2</c:v>
                </c:pt>
                <c:pt idx="3">
                  <c:v>2117.3</c:v>
                </c:pt>
                <c:pt idx="4">
                  <c:v>2584.2</c:v>
                </c:pt>
                <c:pt idx="5">
                  <c:v>2772.2</c:v>
                </c:pt>
                <c:pt idx="6">
                  <c:v>3099</c:v>
                </c:pt>
                <c:pt idx="7">
                  <c:v>3316</c:v>
                </c:pt>
                <c:pt idx="8">
                  <c:v>3515</c:v>
                </c:pt>
                <c:pt idx="9">
                  <c:v>3691</c:v>
                </c:pt>
                <c:pt idx="10">
                  <c:v>3857</c:v>
                </c:pt>
                <c:pt idx="11">
                  <c:v>3992</c:v>
                </c:pt>
                <c:pt idx="12">
                  <c:v>4112</c:v>
                </c:pt>
                <c:pt idx="13">
                  <c:v>4215</c:v>
                </c:pt>
                <c:pt idx="14">
                  <c:v>4320</c:v>
                </c:pt>
                <c:pt idx="15">
                  <c:v>4406</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89.8</c:v>
                </c:pt>
                <c:pt idx="1">
                  <c:v>89</c:v>
                </c:pt>
                <c:pt idx="2">
                  <c:v>111.8</c:v>
                </c:pt>
                <c:pt idx="3">
                  <c:v>112.9</c:v>
                </c:pt>
                <c:pt idx="4">
                  <c:v>178.79999999999998</c:v>
                </c:pt>
                <c:pt idx="5">
                  <c:v>227.20000000000002</c:v>
                </c:pt>
                <c:pt idx="6">
                  <c:v>270</c:v>
                </c:pt>
                <c:pt idx="7">
                  <c:v>298</c:v>
                </c:pt>
                <c:pt idx="8">
                  <c:v>327</c:v>
                </c:pt>
                <c:pt idx="9">
                  <c:v>351</c:v>
                </c:pt>
                <c:pt idx="10">
                  <c:v>370</c:v>
                </c:pt>
                <c:pt idx="11">
                  <c:v>375</c:v>
                </c:pt>
                <c:pt idx="12">
                  <c:v>378</c:v>
                </c:pt>
                <c:pt idx="13">
                  <c:v>379</c:v>
                </c:pt>
                <c:pt idx="14">
                  <c:v>384</c:v>
                </c:pt>
                <c:pt idx="15">
                  <c:v>388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11.4</c:v>
                </c:pt>
                <c:pt idx="1">
                  <c:v>14.2</c:v>
                </c:pt>
                <c:pt idx="2">
                  <c:v>12.9</c:v>
                </c:pt>
                <c:pt idx="3">
                  <c:v>13.6</c:v>
                </c:pt>
                <c:pt idx="4">
                  <c:v>13.1</c:v>
                </c:pt>
                <c:pt idx="5">
                  <c:v>15.9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5.1</c:v>
                </c:pt>
                <c:pt idx="1">
                  <c:v>5.1</c:v>
                </c:pt>
                <c:pt idx="2">
                  <c:v>6.2</c:v>
                </c:pt>
                <c:pt idx="3">
                  <c:v>5.3</c:v>
                </c:pt>
                <c:pt idx="4">
                  <c:v>6.9</c:v>
                </c:pt>
                <c:pt idx="5">
                  <c:v>8.2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3.2</c:v>
                </c:pt>
                <c:pt idx="1">
                  <c:v>3.2</c:v>
                </c:pt>
                <c:pt idx="2">
                  <c:v>3.9</c:v>
                </c:pt>
                <c:pt idx="3">
                  <c:v>3.2</c:v>
                </c:pt>
                <c:pt idx="4">
                  <c:v>4.6</c:v>
                </c:pt>
                <c:pt idx="5">
                  <c:v>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2.3</c:v>
                </c:pt>
                <c:pt idx="1">
                  <c:v>2.9</c:v>
                </c:pt>
                <c:pt idx="2">
                  <c:v>3.3</c:v>
                </c:pt>
                <c:pt idx="3">
                  <c:v>2.8</c:v>
                </c:pt>
                <c:pt idx="4">
                  <c:v>3.5</c:v>
                </c:pt>
                <c:pt idx="5">
                  <c:v>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7.6</c:v>
                </c:pt>
                <c:pt idx="3">
                  <c:v>6.9</c:v>
                </c:pt>
                <c:pt idx="4">
                  <c:v>15.8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4">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29</c:v>
                </c:pt>
                <c:pt idx="1">
                  <c:v>37</c:v>
                </c:pt>
                <c:pt idx="2">
                  <c:v>48</c:v>
                </c:pt>
                <c:pt idx="3">
                  <c:v>40</c:v>
                </c:pt>
                <c:pt idx="4">
                  <c:v>30</c:v>
                </c:pt>
                <c:pt idx="5">
                  <c:v>32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51</c:v>
                </c:pt>
                <c:pt idx="1">
                  <c:v>45</c:v>
                </c:pt>
                <c:pt idx="2">
                  <c:v>40</c:v>
                </c:pt>
                <c:pt idx="3">
                  <c:v>78</c:v>
                </c:pt>
                <c:pt idx="4">
                  <c:v>61</c:v>
                </c:pt>
                <c:pt idx="5">
                  <c:v>60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77</c:v>
                </c:pt>
                <c:pt idx="1">
                  <c:v>75</c:v>
                </c:pt>
                <c:pt idx="2">
                  <c:v>84</c:v>
                </c:pt>
                <c:pt idx="3">
                  <c:v>69</c:v>
                </c:pt>
                <c:pt idx="4">
                  <c:v>60</c:v>
                </c:pt>
                <c:pt idx="5">
                  <c:v>70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85.79999999999998</c:v>
                </c:pt>
                <c:pt idx="1">
                  <c:v>60.499999999999986</c:v>
                </c:pt>
                <c:pt idx="2">
                  <c:v>61.10000000000001</c:v>
                </c:pt>
                <c:pt idx="3">
                  <c:v>10.199999999999996</c:v>
                </c:pt>
                <c:pt idx="4">
                  <c:v>184.2</c:v>
                </c:pt>
                <c:pt idx="5">
                  <c:v>189.60000000000002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40.1</c:v>
                </c:pt>
                <c:pt idx="1">
                  <c:v>50.3</c:v>
                </c:pt>
                <c:pt idx="2">
                  <c:v>59.6</c:v>
                </c:pt>
                <c:pt idx="3">
                  <c:v>59.7</c:v>
                </c:pt>
                <c:pt idx="4">
                  <c:v>90</c:v>
                </c:pt>
                <c:pt idx="5">
                  <c:v>130.2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29.4</c:v>
                </c:pt>
                <c:pt idx="1">
                  <c:v>27.6</c:v>
                </c:pt>
                <c:pt idx="2">
                  <c:v>33.7</c:v>
                </c:pt>
                <c:pt idx="3">
                  <c:v>14.4</c:v>
                </c:pt>
                <c:pt idx="4">
                  <c:v>18.2</c:v>
                </c:pt>
                <c:pt idx="5">
                  <c:v>25.5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9.9</c:v>
                </c:pt>
                <c:pt idx="1">
                  <c:v>9.9</c:v>
                </c:pt>
                <c:pt idx="2">
                  <c:v>9.9</c:v>
                </c:pt>
                <c:pt idx="3">
                  <c:v>9.9</c:v>
                </c:pt>
                <c:pt idx="4">
                  <c:v>9.9</c:v>
                </c:pt>
                <c:pt idx="5">
                  <c:v>9.9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17.7</c:v>
                </c:pt>
                <c:pt idx="1">
                  <c:v>20.4</c:v>
                </c:pt>
                <c:pt idx="2">
                  <c:v>20.4</c:v>
                </c:pt>
                <c:pt idx="3">
                  <c:v>17</c:v>
                </c:pt>
                <c:pt idx="4">
                  <c:v>21.3</c:v>
                </c:pt>
                <c:pt idx="5">
                  <c:v>25.7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-0.41</c:v>
                </c:pt>
                <c:pt idx="1">
                  <c:v>-1.02</c:v>
                </c:pt>
                <c:pt idx="2">
                  <c:v>-1.35</c:v>
                </c:pt>
                <c:pt idx="3">
                  <c:v>1.21</c:v>
                </c:pt>
                <c:pt idx="4">
                  <c:v>0.05</c:v>
                </c:pt>
                <c:pt idx="5">
                  <c:v>-0.25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c:v>
                </c:pt>
                <c:pt idx="2">
                  <c:v>2028+</c:v>
                </c:pt>
              </c:strCache>
            </c:strRef>
          </c:cat>
          <c:val>
            <c:numRef>
              <c:f>Hoja1!$B$2:$B$4</c:f>
              <c:numCache>
                <c:formatCode>#,##0</c:formatCode>
                <c:ptCount val="3"/>
                <c:pt idx="0">
                  <c:v>0</c:v>
                </c:pt>
                <c:pt idx="1">
                  <c:v>1</c:v>
                </c:pt>
                <c:pt idx="2">
                  <c:v>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16.1</c:v>
                </c:pt>
                <c:pt idx="3">
                  <c:v>262.1</c:v>
                </c:pt>
                <c:pt idx="4">
                  <c:v>8.1</c:v>
                </c:pt>
                <c:pt idx="5">
                  <c:v>24.7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7.6</c:v>
                </c:pt>
                <c:pt idx="2">
                  <c:v>10.1</c:v>
                </c:pt>
                <c:pt idx="3">
                  <c:v>12.8</c:v>
                </c:pt>
                <c:pt idx="4">
                  <c:v>10.6</c:v>
                </c:pt>
                <c:pt idx="5">
                  <c:v>45.1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JPMorgan Asset Management</c:v>
                </c:pt>
                <c:pt idx="1">
                  <c:v>C.A.C.M. Oomen</c:v>
                </c:pt>
                <c:pt idx="2">
                  <c:v>ASR Nederland</c:v>
                </c:pt>
                <c:pt idx="3">
                  <c:v>Dimensional Fund Advisors</c:v>
                </c:pt>
                <c:pt idx="4">
                  <c:v>Vanguard</c:v>
                </c:pt>
                <c:pt idx="5">
                  <c:v>Wellington Management</c:v>
                </c:pt>
                <c:pt idx="6">
                  <c:v>Waterbird (familia Van Wanrooij)</c:v>
                </c:pt>
              </c:strCache>
            </c:strRef>
          </c:cat>
          <c:val>
            <c:numRef>
              <c:f>Hoja1!$B$2:$B$8</c:f>
              <c:numCache>
                <c:formatCode>0.0"%"</c:formatCode>
                <c:ptCount val="7"/>
                <c:pt idx="0">
                  <c:v>7.7</c:v>
                </c:pt>
                <c:pt idx="1">
                  <c:v>5.4</c:v>
                </c:pt>
                <c:pt idx="2">
                  <c:v>5.2</c:v>
                </c:pt>
                <c:pt idx="3">
                  <c:v>4.3</c:v>
                </c:pt>
                <c:pt idx="4">
                  <c:v>4.2</c:v>
                </c:pt>
                <c:pt idx="5">
                  <c:v>3.03</c:v>
                </c:pt>
                <c:pt idx="6">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-31.5</c:v>
                </c:pt>
                <c:pt idx="1">
                  <c:v>75.9</c:v>
                </c:pt>
                <c:pt idx="2">
                  <c:v>-17.6</c:v>
                </c:pt>
                <c:pt idx="3">
                  <c:v>-6.2</c:v>
                </c:pt>
                <c:pt idx="4">
                  <c:v>24.4</c:v>
                </c:pt>
                <c:pt idx="5">
                  <c:v>59.7</c:v>
                </c:pt>
                <c:pt idx="6">
                  <c:v>-32.1</c:v>
                </c:pt>
                <c:pt idx="7">
                  <c:v>19.8</c:v>
                </c:pt>
                <c:pt idx="8">
                  <c:v>160.3</c:v>
                </c:pt>
                <c:pt idx="9">
                  <c:v>114.3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-1.8</c:v>
                </c:pt>
                <c:pt idx="1">
                  <c:v>21.5</c:v>
                </c:pt>
                <c:pt idx="2">
                  <c:v>-21.2</c:v>
                </c:pt>
                <c:pt idx="3">
                  <c:v>38.5</c:v>
                </c:pt>
                <c:pt idx="4">
                  <c:v>2.7</c:v>
                </c:pt>
                <c:pt idx="5">
                  <c:v>15.7</c:v>
                </c:pt>
                <c:pt idx="6">
                  <c:v>-14</c:v>
                </c:pt>
                <c:pt idx="7">
                  <c:v>-0.4</c:v>
                </c:pt>
                <c:pt idx="8">
                  <c:v>-9.8</c:v>
                </c:pt>
                <c:pt idx="9">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1.8</c:v>
                </c:pt>
                <c:pt idx="1">
                  <c:v>2.7</c:v>
                </c:pt>
                <c:pt idx="2">
                  <c:v>0.8</c:v>
                </c:pt>
                <c:pt idx="3">
                  <c:v>3.9</c:v>
                </c:pt>
                <c:pt idx="4">
                  <c:v>4.9</c:v>
                </c:pt>
                <c:pt idx="5">
                  <c:v>7.9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3.3</c:v>
                </c:pt>
                <c:pt idx="1">
                  <c:v>3.3</c:v>
                </c:pt>
                <c:pt idx="2">
                  <c:v>3.3</c:v>
                </c:pt>
                <c:pt idx="3">
                  <c:v>3.3</c:v>
                </c:pt>
                <c:pt idx="4">
                  <c:v>3.3</c:v>
                </c:pt>
                <c:pt idx="5">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Heijmans</c:v>
                </c:pt>
                <c:pt idx="1">
                  <c:v>Royal BAM Group</c:v>
                </c:pt>
                <c:pt idx="2">
                  <c:v>Strabag</c:v>
                </c:pt>
                <c:pt idx="3">
                  <c:v>Eiffage</c:v>
                </c:pt>
                <c:pt idx="4">
                  <c:v>Vinci</c:v>
                </c:pt>
                <c:pt idx="5">
                  <c:v>Skanska</c:v>
                </c:pt>
                <c:pt idx="6">
                  <c:v>Peab</c:v>
                </c:pt>
                <c:pt idx="7">
                  <c:v>NCC</c:v>
                </c:pt>
                <c:pt idx="8">
                  <c:v>Implenia</c:v>
                </c:pt>
                <c:pt idx="9">
                  <c:v>Veidekke</c:v>
                </c:pt>
              </c:strCache>
            </c:strRef>
          </c:cat>
          <c:val>
            <c:numRef>
              <c:f>Hoja1!$B$2:$B$11</c:f>
              <c:numCache>
                <c:formatCode>0.0"x"</c:formatCode>
                <c:ptCount val="10"/>
                <c:pt idx="0">
                  <c:v>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Van Wanrooij Bouw &amp; Ontwikkeling (promoción, construcción y suelo)</c:v>
                </c:pt>
                <c:pt idx="1">
                  <c:v>Hegeman (edificación utilitaria y mantenimiento, Amersfoort-Nijverdal)</c:v>
                </c:pt>
                <c:pt idx="2">
                  <c:v>Van Gisbergen (promotora regional)</c:v>
                </c:pt>
                <c:pt idx="3">
                  <c:v>Negocios neerlandeses de construcción, promoción e infraestructura de VolkerWessels</c:v>
                </c:pt>
              </c:strCache>
            </c:strRef>
          </c:cat>
          <c:val>
            <c:numRef>
              <c:f>Hoja1!$B$2:$B$5</c:f>
              <c:numCache>
                <c:formatCode>0.0"x"</c:formatCode>
                <c:ptCount val="4"/>
                <c:pt idx="0">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116</c:v>
                </c:pt>
                <c:pt idx="1">
                  <c:v>138</c:v>
                </c:pt>
                <c:pt idx="2">
                  <c:v>157</c:v>
                </c:pt>
                <c:pt idx="3">
                  <c:v>177</c:v>
                </c:pt>
                <c:pt idx="4">
                  <c:v>191</c:v>
                </c:pt>
                <c:pt idx="5">
                  <c:v>194</c:v>
                </c:pt>
                <c:pt idx="6">
                  <c:v>197</c:v>
                </c:pt>
                <c:pt idx="7">
                  <c:v>195</c:v>
                </c:pt>
                <c:pt idx="8">
                  <c:v>197</c:v>
                </c:pt>
                <c:pt idx="9">
                  <c:v>201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1086</c:v>
                </c:pt>
                <c:pt idx="1">
                  <c:v>1102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82,70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49.78</c:v>
                </c:pt>
                <c:pt idx="1">
                  <c:v>86.53</c:v>
                </c:pt>
                <c:pt idx="2">
                  <c:v>106.66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82,70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(53,65 – 117,80)</c:v>
                </c:pt>
                <c:pt idx="1">
                  <c:v>Precio objetivo de los analistas (115,00 – 123,00)</c:v>
                </c:pt>
                <c:pt idx="2">
                  <c:v>Comparables: PER NTM (76,68 – 93,61)</c:v>
                </c:pt>
                <c:pt idx="3">
                  <c:v>Transacciones precedentes (EV/ventas) (36,70 – 67,06)</c:v>
                </c:pt>
                <c:pt idx="4">
                  <c:v>DCF (WACC y g ± 0,5) (79,62 – 95,37)</c:v>
                </c:pt>
                <c:pt idx="5">
                  <c:v>Escenarios (bajista – alcista) (49,78 – 106,66)</c:v>
                </c:pt>
                <c:pt idx="6">
                  <c:v>DCF con la prima implícita del mercado (4,2 %)</c:v>
                </c:pt>
                <c:pt idx="7">
                  <c:v>Precio actual (82,70)</c:v>
                </c:pt>
              </c:strCache>
            </c:strRef>
          </c:cat>
          <c:val>
            <c:numRef>
              <c:f>Hoja1!$B$2:$B$9</c:f>
              <c:numCache>
                <c:formatCode>#,##0</c:formatCode>
                <c:ptCount val="8"/>
                <c:pt idx="0">
                  <c:v>53.65</c:v>
                </c:pt>
                <c:pt idx="1">
                  <c:v>115</c:v>
                </c:pt>
                <c:pt idx="2">
                  <c:v>76.68</c:v>
                </c:pt>
                <c:pt idx="3">
                  <c:v>36.7</c:v>
                </c:pt>
                <c:pt idx="4">
                  <c:v>79.62</c:v>
                </c:pt>
                <c:pt idx="5">
                  <c:v>49.78</c:v>
                </c:pt>
                <c:pt idx="6">
                  <c:v>98.21</c:v>
                </c:pt>
                <c:pt idx="7">
                  <c:v>82.29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(53,65 – 117,80)</c:v>
                </c:pt>
                <c:pt idx="1">
                  <c:v>Precio objetivo de los analistas (115,00 – 123,00)</c:v>
                </c:pt>
                <c:pt idx="2">
                  <c:v>Comparables: PER NTM (76,68 – 93,61)</c:v>
                </c:pt>
                <c:pt idx="3">
                  <c:v>Transacciones precedentes (EV/ventas) (36,70 – 67,06)</c:v>
                </c:pt>
                <c:pt idx="4">
                  <c:v>DCF (WACC y g ± 0,5) (79,62 – 95,37)</c:v>
                </c:pt>
                <c:pt idx="5">
                  <c:v>Escenarios (bajista – alcista) (49,78 – 106,66)</c:v>
                </c:pt>
                <c:pt idx="6">
                  <c:v>DCF con la prima implícita del mercado (4,2 %)</c:v>
                </c:pt>
                <c:pt idx="7">
                  <c:v>Precio actual (82,70)</c:v>
                </c:pt>
              </c:strCache>
            </c:strRef>
          </c:cat>
          <c:val>
            <c:numRef>
              <c:f>Hoja1!$C$2:$C$9</c:f>
              <c:numCache>
                <c:formatCode>#,##0</c:formatCode>
                <c:ptCount val="8"/>
                <c:pt idx="0">
                  <c:v>64.15</c:v>
                </c:pt>
                <c:pt idx="1">
                  <c:v>8</c:v>
                </c:pt>
                <c:pt idx="2">
                  <c:v>16.929999999999993</c:v>
                </c:pt>
                <c:pt idx="3">
                  <c:v>30.36</c:v>
                </c:pt>
                <c:pt idx="4">
                  <c:v>15.75</c:v>
                </c:pt>
                <c:pt idx="5">
                  <c:v>56.879999999999995</c:v>
                </c:pt>
                <c:pt idx="6">
                  <c:v>15.490000000000009</c:v>
                </c:pt>
                <c:pt idx="7">
                  <c:v>0.8199999999999932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