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Lasertec Corporation</w:t>
      </w:r>
    </w:p>
    <w:p>
      <w:pPr>
        <w:spacing w:after="60"/>
        <w:rPr>
          <w:color w:val="52514E"/>
          <w:sz w:val="22"/>
          <w:szCs w:val="22"/>
        </w:rPr>
      </w:pPr>
      <w:r>
        <w:rPr>
          <w:color w:val="52514E"/>
          <w:sz w:val="22"/>
          <w:szCs w:val="22"/>
        </w:rPr>
        <w:t xml:space="preserve">6920 · Bolsa de Tokio (Prime) · ISIN JP3979200007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39.590,00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40.931,34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+4,2 % (base +16,3 %)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19.723,92 JPY · mercado 22.790,20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3.548.452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22,2x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Lasertec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6920 / JP3979200007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Yokohama (Kanagawa) · 1960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https://www.lasertec.co.jp/en/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39.590,00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20.355,00 – 58.580,00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3.548.452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3.474.606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149.000 M JPY/día (3 meses; 3,7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40.931,34 JPY</w:t>
      </w:r>
      <w:r>
        <w:t xml:space="preserve"> frente a 39.590,00 · Rentabilidad a 12 meses </w:t>
      </w:r>
      <w:r>
        <w:rPr>
          <w:b/>
          <w:bCs/>
        </w:rPr>
        <w:t xml:space="preserve">+4,2 % (base +16,3 %)</w:t>
      </w:r>
      <w:r>
        <w:t xml:space="preserve"> · Valor intrínseco 19.723,92 JPY · con la prima implícita del mercado: 22.790,20 (-42,4 %) · Alcista / bajista -51,9 % / -79,5 %</w:t>
      </w:r>
    </w:p>
    <w:p>
      <w:pPr>
        <w:spacing w:after="100"/>
      </w:pPr>
      <w:r>
        <w:rPr>
          <w:b/>
        </w:rPr>
        <w:t xml:space="preserve">La recomendación y por qué.</w:t>
      </w:r>
      <w:r>
        <w:t xml:space="preserve"> Mantener (para quien no la tiene: no comprar a este precio), con convicción media. El objetivo a 12 meses es de 40.931 JPY (ponderado), un 4,2 % de rentabilidad con dividendo sobre el precio de 39.590 JPY del 19-oct; el base, 45.699 JPY (+16,3 %). No llega a Comprar por dos motivos: la ponderada queda lejos del 15 % y el valor intrínseco (19.724 JPY) está un 50 % por debajo del precio. El objetivo medio de los 17 analistas, 49.337,5 JPY [36], queda por encima de nuestro base. La convicción es media: el negocio es de los mejores del sector, pero el precio depende de un ciclo de pedidos que nadie ve con más de un año de antelación; subiría la convicción ver los pedidos del 1T FY2027 (30-oct) fuera del rango de la guía, en cualquiera de los dos sentidos.</w:t>
      </w:r>
    </w:p>
    <w:p>
      <w:pPr>
        <w:spacing w:after="100"/>
      </w:pPr>
      <w:r>
        <w:rPr>
          <w:b/>
        </w:rPr>
        <w:t xml:space="preserve">El negocio.</w:t>
      </w:r>
      <w:r>
        <w:t xml:space="preserve"> Lasertec es el único fabricante del mundo de equipos de inspección actínica de máscaras EUV con patrón (ACTIS) y tiene alrededor de la mitad del mercado de inspección de máscaras, de 1.800 M USD [22, 23]. Sin esos equipos una fundición no puede usar máscaras EUV en producción. Sus clientes son tres: TSMC (21,4 %), Intel (20,7 %) y Samsung (20,2 %) [6]. El ROIC es del 54,2 % frente a un WACC del 11,48 %, sin deuda y con 91.503 M de caja [1].</w:t>
      </w:r>
    </w:p>
    <w:p>
      <w:pPr>
        <w:spacing w:after="100"/>
      </w:pPr>
      <w:r>
        <w:rPr>
          <w:b/>
        </w:rPr>
        <w:t xml:space="preserve">Lo que pide el precio.</w:t>
      </w:r>
      <w:r>
        <w:t xml:space="preserve"> El DCF da 14.887 JPY. Para justificar 39.590 JPY las ventas tendrían que crecer un 28,6 % anual durante diez años; nuestro base, que sigue la guía de FY2027 (290.000 M, +25,8 %) y el punto medio de los pedidos previstos (300.000-400.000 M) [1], da un 9,5 % con una corrección en FY2030e. El escáner señaló un crecimiento del 40 % anual: es el de FY2020-FY2024, cuando la EUV pasó de cero a la producción en masa; en FY2026 las ventas cayeron un 8,3 % porque en FY2025 los pedidos de ACTIS fueron negativos [3].</w:t>
      </w:r>
    </w:p>
    <w:p>
      <w:pPr>
        <w:spacing w:after="100"/>
      </w:pPr>
      <w:r>
        <w:rPr>
          <w:b/>
        </w:rPr>
        <w:t xml:space="preserve">El ciclo.</w:t>
      </w:r>
      <w:r>
        <w:t xml:space="preserve"> Pedidos de 105.226 M en FY2025 y 237.504 M en FY2026; cartera de 322.964 M [1]. Los anticipos de clientes, el mejor indicador del compromiso, bajaron de 95.155 M a 44.284 M en tres años y el circulante subió al 59,8 % de las ventas [1]. Si los pedidos de FY2027 se quedan en la parte baja, el mercado volvería a pagar 22 veces el beneficio, como en junio de 2025.</w:t>
      </w:r>
    </w:p>
    <w:p>
      <w:pPr>
        <w:spacing w:after="100"/>
      </w:pPr>
      <w:r>
        <w:rPr>
          <w:b/>
        </w:rPr>
        <w:t xml:space="preserve">La IA.</w:t>
      </w:r>
      <w:r>
        <w:t xml:space="preserve"> Es la razón del ciclo actual (las fundiciones llenan líneas EUV para chips de IA) y no amenaza el producto; el riesgo es que el gasto en centros de datos se frene y las fundiciones aplacen capacidad.</w:t>
      </w:r>
    </w:p>
    <w:p>
      <w:pPr>
        <w:spacing w:after="100"/>
      </w:pPr>
      <w:r>
        <w:rPr>
          <w:b/>
        </w:rPr>
        <w:t xml:space="preserve">Qué cambiaría la recomendación.</w:t>
      </w:r>
      <w:r>
        <w:t xml:space="preserve"> Precio por debajo de 19.724 JPY con la regla a 12 meses cumplida; o pedidos del 1T FY2027 (30-oct) que apunten a 400.000 M en el año, que acercarían nuestro BPA de FY2028e al consenso (1.509 JPY).</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40.931,34 JPY</w:t>
      </w:r>
      <w:r>
        <w:t xml:space="preserve"> (rentabilidad +4,2 % (base +16,3 %)) · Valor intrínseco: 19.723,92 JPY (-50,2 % sobre 39.590,00) · con la prima implícita del mercado: 22.790,20 (-42,4 %)</w:t>
      </w:r>
    </w:p>
    <w:p>
      <w:pPr>
        <w:spacing w:after="100"/>
      </w:pPr>
      <w:r>
        <w:t xml:space="preserve">Lasertec es un monopolio técnico: el único proveedor de inspección actínica de máscaras EUV con patrón, con alrededor de la mitad del mercado de inspección de máscaras y un ROIC del 54,2 % [1, 22, 23]. La EUV multiplicó sus ventas por 5,4 de FY2020 a FY2026 (de 42.572 M a 230.485 M) con un margen de explotación del 45,7 % [1].</w:t>
      </w:r>
    </w:p>
    <w:p>
      <w:pPr>
        <w:spacing w:after="100"/>
      </w:pPr>
      <w:r>
        <w:t xml:space="preserve">El precio descuenta que ese crecimiento siga una década: el DCF inverso pide un 28,6 % anual. Nuestro base, con la guía de la empresa y una corrección cíclica, da un 9,5 % anual y un valor intrínseco de 19.724 JPY. La regla a 12 meses deja un objetivo ponderado de 40.931 JPY (+4,2 % con dividendo): mantener quien la tenga, no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40.931,34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 × 868,80 = 19.548,00 · 35,8x × 1.276,50 = 45.698,70 · 35,8x × 1.474,30 = 52.779,94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49.337,50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19.723,92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 / -79,5 %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frente a 11,5 %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22.790,20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frente a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19.723,92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19.723,92 y 45.844,82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45.844,82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19.724 JPY: Comprar (ponderada ≥ 15 %, base ≥ 12 % y precio ≤ valor intrínseco).</w:t>
      </w:r>
    </w:p>
    <w:p>
      <w:pPr>
        <w:pStyle w:val="ListParagraph"/>
        <w:numPr>
          <w:ilvl w:val="0"/>
          <w:numId w:val="2"/>
        </w:numPr>
        <w:spacing w:after="60"/>
      </w:pPr>
      <w:r>
        <w:t xml:space="preserve">Pedidos de FY2027 por encima de 400.000 M con anticipos al alza: revisaríamos al alza el BPA de FY2028e hacia el consenso.</w:t>
      </w:r>
    </w:p>
    <w:p>
      <w:pPr>
        <w:pStyle w:val="ListParagraph"/>
        <w:numPr>
          <w:ilvl w:val="0"/>
          <w:numId w:val="2"/>
        </w:numPr>
        <w:spacing w:after="60"/>
      </w:pPr>
      <w:r>
        <w:t xml:space="preserve">Pedidos trimestrales por debajo de 50.000 M o cancelaciones de ACTIS: bajaríamos el base hacia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las ventas del 28,6 % anual durante diez años y un consenso que proyecta tres años seguidos de crecimiento de doble dígito (FY2027-FY2029: 299.177, 388.100 y 461.943 M) [35].</w:t>
      </w:r>
    </w:p>
    <w:p>
      <w:pPr>
        <w:keepNext/>
        <w:spacing w:after="100"/>
      </w:pPr>
      <w:r>
        <w:rPr>
          <w:b/>
          <w:bCs/>
        </w:rPr>
        <w:t xml:space="preserve">Lo que creemos nosotros.</w:t>
      </w:r>
    </w:p>
    <w:p>
      <w:pPr>
        <w:spacing w:after="100"/>
      </w:pPr>
      <w:r>
        <w:t xml:space="preserve">Un negocio excelente pero cíclico: la guía de FY2027 se cumple, FY2028e crece un 22 % con pedidos en el punto medio de la guía, y una corrección del 10 % en FY2030e cuando la capacidad de 2 nm esté completa.</w:t>
      </w:r>
    </w:p>
    <w:p>
      <w:pPr>
        <w:keepNext/>
        <w:spacing w:after="100"/>
      </w:pPr>
      <w:r>
        <w:rPr>
          <w:b/>
          <w:bCs/>
        </w:rPr>
        <w:t xml:space="preserve">Por qué podemos tener razón.</w:t>
      </w:r>
    </w:p>
    <w:p>
      <w:pPr>
        <w:spacing w:after="100"/>
      </w:pPr>
      <w:r>
        <w:t xml:space="preserve">Porque en FY2025 los pedidos de ACTIS fueron negativos y en FY2026 las ventas cayeron un 8,3 % [3]; porque los anticipos de clientes se han reducido a la mitad aunque los pedidos suban [1]; y porque tres clientes concentran el 62 % de las ventas [6].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39.5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en inspección actínica EUV</w:t>
      </w:r>
      <w:r>
        <w:t xml:space="preserve">: único proveedor comercial de ACTIS para máscaras con patrón [22].</w:t>
      </w:r>
    </w:p>
    <w:p>
      <w:pPr>
        <w:pStyle w:val="ListParagraph"/>
        <w:numPr>
          <w:ilvl w:val="0"/>
          <w:numId w:val="2"/>
        </w:numPr>
        <w:spacing w:after="60"/>
      </w:pPr>
      <w:r>
        <w:rPr>
          <w:b/>
        </w:rPr>
        <w:t xml:space="preserve">Rentabilidad excepcional</w:t>
      </w:r>
      <w:r>
        <w:t xml:space="preserve">: ROIC del 54,2 % en FY2026 y nunca por debajo del 54 % en siete años.</w:t>
      </w:r>
    </w:p>
    <w:p>
      <w:pPr>
        <w:pStyle w:val="ListParagraph"/>
        <w:numPr>
          <w:ilvl w:val="0"/>
          <w:numId w:val="2"/>
        </w:numPr>
        <w:spacing w:after="60"/>
      </w:pPr>
      <w:r>
        <w:rPr>
          <w:b/>
        </w:rPr>
        <w:t xml:space="preserve">Balance sin riesgo</w:t>
      </w:r>
      <w:r>
        <w:t xml:space="preserve">: 91.503 M de caja y ninguna deuda [1].</w:t>
      </w:r>
    </w:p>
    <w:p>
      <w:pPr>
        <w:pStyle w:val="ListParagraph"/>
        <w:numPr>
          <w:ilvl w:val="0"/>
          <w:numId w:val="2"/>
        </w:numPr>
        <w:spacing w:after="60"/>
      </w:pPr>
      <w:r>
        <w:rPr>
          <w:b/>
        </w:rPr>
        <w:t xml:space="preserve">Visibilidad</w:t>
      </w:r>
      <w:r>
        <w:t xml:space="preserve">: cartera de 322.964 M (1,4 años de ventas) y guía de pedidos de 300.000-400.000 M [1].</w:t>
      </w:r>
    </w:p>
    <w:p>
      <w:pPr>
        <w:pStyle w:val="ListParagraph"/>
        <w:numPr>
          <w:ilvl w:val="0"/>
          <w:numId w:val="2"/>
        </w:numPr>
        <w:spacing w:after="60"/>
      </w:pPr>
      <w:r>
        <w:rPr>
          <w:b/>
        </w:rPr>
        <w:t xml:space="preserve">Dirección que bate su guía</w:t>
      </w:r>
      <w:r>
        <w:t xml:space="preserve">: subió la de FY2026 en enero y la superó [15].</w:t>
      </w:r>
    </w:p>
    <w:p>
      <w:pPr>
        <w:pStyle w:val="Heading2"/>
      </w:pPr>
      <w:r>
        <w:t xml:space="preserve">En contra</w:t>
      </w:r>
    </w:p>
    <w:p>
      <w:pPr>
        <w:pStyle w:val="ListParagraph"/>
        <w:numPr>
          <w:ilvl w:val="0"/>
          <w:numId w:val="2"/>
        </w:numPr>
        <w:spacing w:after="60"/>
      </w:pPr>
      <w:r>
        <w:rPr>
          <w:b/>
        </w:rPr>
        <w:t xml:space="preserve">Precio que exige otra década de EUV</w:t>
      </w:r>
      <w:r>
        <w:t xml:space="preserve">: DCF inverso con un 28,6 % anual frente al 9,5 % de nuestro base.</w:t>
      </w:r>
    </w:p>
    <w:p>
      <w:pPr>
        <w:pStyle w:val="ListParagraph"/>
        <w:numPr>
          <w:ilvl w:val="0"/>
          <w:numId w:val="2"/>
        </w:numPr>
        <w:spacing w:after="60"/>
      </w:pPr>
      <w:r>
        <w:rPr>
          <w:b/>
        </w:rPr>
        <w:t xml:space="preserve">Ciclo</w:t>
      </w:r>
      <w:r>
        <w:t xml:space="preserve">: pedidos de ACTIS negativos en FY2025 y ventas −8,3 % en FY2026 [3].</w:t>
      </w:r>
    </w:p>
    <w:p>
      <w:pPr>
        <w:pStyle w:val="ListParagraph"/>
        <w:numPr>
          <w:ilvl w:val="0"/>
          <w:numId w:val="2"/>
        </w:numPr>
        <w:spacing w:after="60"/>
      </w:pPr>
      <w:r>
        <w:rPr>
          <w:b/>
        </w:rPr>
        <w:t xml:space="preserve">Concentración</w:t>
      </w:r>
      <w:r>
        <w:t xml:space="preserve">: TSMC, Intel y Samsung son el 62 % de las ventas [6].</w:t>
      </w:r>
    </w:p>
    <w:p>
      <w:pPr>
        <w:pStyle w:val="ListParagraph"/>
        <w:numPr>
          <w:ilvl w:val="0"/>
          <w:numId w:val="2"/>
        </w:numPr>
        <w:spacing w:after="60"/>
      </w:pPr>
      <w:r>
        <w:rPr>
          <w:b/>
        </w:rPr>
        <w:t xml:space="preserve">Circulante pesado</w:t>
      </w:r>
      <w:r>
        <w:t xml:space="preserve">: existencias del 72,8 % de las ventas y anticipos a la baja [1].</w:t>
      </w:r>
    </w:p>
    <w:p>
      <w:pPr>
        <w:pStyle w:val="ListParagraph"/>
        <w:numPr>
          <w:ilvl w:val="0"/>
          <w:numId w:val="2"/>
        </w:numPr>
        <w:spacing w:after="60"/>
      </w:pPr>
      <w:r>
        <w:rPr>
          <w:b/>
        </w:rPr>
        <w:t xml:space="preserve">Volatilidad</w:t>
      </w:r>
      <w:r>
        <w:t xml:space="preserve">: anual del 77 % y caída máxima del 76,6 % [34].</w:t>
      </w:r>
    </w:p>
    <w:p>
      <w:pPr>
        <w:pStyle w:val="Heading2"/>
      </w:pPr>
      <w:r>
        <w:t xml:space="preserve">Qué tiene que pasar para que la tesis funcione</w:t>
      </w:r>
    </w:p>
    <w:p>
      <w:pPr>
        <w:spacing w:after="100"/>
      </w:pPr>
      <w:r>
        <w:t xml:space="preserve">La tesis depende de que los pedidos se corrijan cuando las fundiciones completen la capacidad de 2 nm. La señal de que no se cumple sería unos pedidos del 1T y 2T FY2027 que apunten a 400.000 M en el año con los anticipos al alza; la de que se cumple, pedidos por debajo de 75.000 M por trimestre y existencias que suben.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237.504 M en FY2026 (59.400 M de media)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50.000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44.284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de 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compra de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fabricados sin aceptación del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ACTIS y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primer cliente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 (TSMC)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31,6x / 22,2x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45,9x / 32,0x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Fundada en 1960 en Tokio como fabricante de equipos de rayos X para televisión (NJS Corporation), lanzó en 1975-1976 el primer sistema del mundo de inspección de máscaras para circuitos integrados y en 1986 adoptó el nombre de Lasertec [21]. Cotiza desde 1990 en el mercado no oficial de Japón (código 6920), en JASDAQ desde 2004 y en la primera sección de Tokio desde 2013 [21]. Su transformación llegó con la litografía EUV: en 2017 lanzó el primer equipo del mundo de inspección de sustratos de máscara EUV con luz EUV (ABICS E120) y en 2019 el primero de inspección actínica de máscaras con patrón (ACTIS A150) [21]. Las ventas se multiplicaron por ocho entre FY2019 y FY2025 [2]. Osamu Okabayashi presidió la compañía de 2009 a 2024; desde julio de 2024 la dirige Tetsuya Sendoda, que viene de ventas y tecnología de inspección de máscaras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compañía (equipos de rayos X para televisión)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sistema del mundo de inspección de máscaras para circuitos integrados (1MD1)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Lasertec y filial en EE. UU.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MATRICS de inspección de máscaras; ventas de 10.000 M JPY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sección de la Bolsa de Tokio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ABICS E120: primera inspección de sustratos de máscara EUV con luz EUV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ACTIS A150: primera inspección actínica de máscaras EUV con patrón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terrenos en Shin-Yokohama para el Lasertec Innovation Park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Tetsuya Sendoda, consejero delegado; acusación del bajista Scorpion Capital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Cancelaciones de pedidos de ACTIS (pedidos netos negativos) y lanzamiento del ACTIS A200HiT para fábricas [3, 26].</w:t>
            </w:r>
          </w:p>
        </w:tc>
      </w:tr>
    </w:tbl>
    <w:p>
      <w:pPr>
        <w:spacing w:after="160" w:before="0"/>
      </w:pPr>
    </w:p>
    <w:p>
      <w:pPr>
        <w:pStyle w:val="Heading1"/>
      </w:pPr>
      <w:r>
        <w:t xml:space="preserve">2. Modelo de negocio</w:t>
      </w:r>
    </w:p>
    <w:p>
      <w:pPr>
        <w:spacing w:after="100"/>
      </w:pPr>
      <w:r>
        <w:t xml:space="preserve">Lasertec diseña y fabrica equipos de inspección óptica para semiconductores. Su producto clave son los sistemas de inspección de máscaras (fotomáscaras: la plantilla que la litografía copia en la oblea) para litografía EUV: ACTIS, que inspecciona con la misma luz EUV de 13,5 nm de la exposición y es el único de su clase en el mercado, y MATRICS, que usa luz DUV [5, 22]. Completan la oferta la inspección de sustratos de máscara (ABICS para EUV, MAGICS) y de obleas, y un negocio pequeño de pantallas planas, microscopios y baterías [5]. Los clientes son los talleres de máscaras (de los fabricantes de chips o independientes) y, cada vez más, las fábricas de obleas, que inspeccionan las máscaras durante su uso [3]. Diseña y monta en Yokohama, con proveedores externos para la óptica y la fuente de luz, y da servicio desde filiales en EE. UU., Corea, Taiwán, China y Singapur [6].</w:t>
      </w:r>
    </w:p>
    <w:p>
      <w:pPr>
        <w:pStyle w:val="Heading2"/>
      </w:pPr>
      <w:r>
        <w:t xml:space="preserve">Cómo gana dinero</w:t>
      </w:r>
    </w:p>
    <w:p>
      <w:pPr>
        <w:spacing w:after="100"/>
      </w:pPr>
      <w:r>
        <w:t xml:space="preserve">Vende equipos de precio muy alto y pocos clientes, con anticipos y un plazo de alrededor de un año entre pedido y entrega; la venta se reconoce cuando el cliente acepta el equipo instalado [4]. El margen bruto (59,2 % en FY2026) depende de la mezcla: ACTIS, sin competencia, deja más que MATRICS [4]. Los servicios (25,4 % de las ventas, 58.646 M) crecen con la base instalada y son la parte recurrente [5]. La estructura es ligera: con un 45,7 % de margen de explotación, cada 1.000 M de ventas adicionales llegan casi enteros al beneficio, y la I+D (7,1 % de las ventas) es el gasto que más crece [3]. No hay estacionalidad, pero sí ciclos fuertes de pedidos ligados a la inversión en litografía EUV y a la entrada de nodos nuevos (2 nm, 1,4 nm) [3, 4]. Factura sobre todo en yenes; el yen débil suma (1.000 M de resultado por yen) [5].</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para semiconductores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equipos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para semiconductores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equipos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extrema: TSMC (21,4 %), Intel (20,7 %) y Samsung (20,2 %) sumaron el 62,3 % de las ventas de FY2026; en FY2025, el 79,5 %, con Intel en el 33,3 % [6]. Son los tres fabricantes con litografía EUV en lógica avanzada, más los talleres de máscaras (propios de esos fabricantes o independientes) [3]. Las ventas por destino de FY2026: Corea 66.075 M, EE. UU. 51.610 M, Taiwán 45.854 M [1]. No hay contratos plurianuales: se trabaja por pedido, con anticipos y un plazo de alrededor de un año entre pedido y venta [4]. El poder de precios se ve en el margen bruto, del 59,2 % en FY2026, y en que la compañía dice haber trasladado a precios la subida de materiales y memorias [3, 5]. En FY2025 un cliente canceló pedidos de ACTIS (pedidos netos de −10.500 M) [3,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237.504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FY2027: 300.000-400.000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322.964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1,4 años de ventas; incluye 17.400 M de efecto divisa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ACTIS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actínica; 30,6 % de las ventas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ACTIS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negativo por cancelaciones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MATRICS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Nodos de 2-3 nm y China (DUV)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de 16.582 M en el 4T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 de las ventas; más de 20.000 M previstos en FY2027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Previsión de 1.542 en FY2027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inspección de fotomáscaras (con patrón y sin él), un nicho del control de procesos de semiconductores. Market Intelo lo estima en 1.800 M USD en 2025 con un crecimiento anual del 7,2 % hasta 2034 [23]; DataHorizzon da 4.800 M USD, pero su perímetro es más amplio y su lista de empresas no incluye a Lasertec (incluye una farmacéutica), así que no se usa [24]. Se toma Market Intelo. Encaja con las ventas de Lasertec: su inspección de máscaras facturó en torno a 134.000 M JPY en FY2026 (menos del 80 % de 168.090 M), unos 900 M USD, alrededor de la mitad del mercado [5, 23]. KLA, el otro gran proveedor, no publica sus ventas de inspección de máscaras por separado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1.800 M USD en 2025 (≈ 270.000 M JPY a 150 JPY/USD)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Capas EUV por chip y nodos de 2 nm y 1,4 nm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MATRICS +70 % en FY2026 por la expansión de 2-3 nm; la tecnología de 1,4 nm está en desarrollo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Inspección de máscaras en la fábrica (A200HiT)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que todas las fábricas de lógica adopten el A200HiT; evaluación en clientes desde el segundo semestre de FY2027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DRAM y HBM con EUV</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A300 de talleres de máscaras de DRAM y consultas de fábricas de DRAM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los tres grandes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323.762 M (FY2022) → 105.226 M (FY2025) → 237.504 M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puede vender equipos EUV en China; vende MATRICS para DUV, con demanda casi doble en FY2027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inspección actínica no hay competidor comercial; en DUV compite con KLA y NuFlare [4,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suman el 62,3 % de las ventas y pueden cancelar pedidos, como en FY2025 [3,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de luz y óptica especiales, difíciles de sustituir (riesgo declarado en el yuho)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de desarrollo de la inspección actínica; KLA defiende la vía DUV y de haz de electrones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Inspección DUV o por haz de electrones de los rivales y cambios de película protectora (pellicle) que pueden ayudar o restar [4].</w:t>
            </w:r>
          </w:p>
        </w:tc>
      </w:tr>
    </w:tbl>
    <w:p>
      <w:pPr>
        <w:spacing w:after="160" w:before="0"/>
      </w:pPr>
    </w:p>
    <w:p>
      <w:pPr>
        <w:pStyle w:val="Heading2"/>
      </w:pPr>
      <w:r>
        <w:t xml:space="preserve">Ciclo</w:t>
      </w:r>
    </w:p>
    <w:p>
      <w:pPr>
        <w:spacing w:after="100"/>
      </w:pPr>
      <w:r>
        <w:t xml:space="preserve">Los pedidos tocaron fondo en FY2025 (105.226 M) y se recuperaron en FY2026 (237.504 M), con una previsión de 300.000-400.000 M para FY2027 [2, 3]. La inversión en lógica y memoria crece por la IA [3]. Lasertec no estaba en el tamaño actual en 2008-2009; en la caída de 2022-2023 de la memoria sus pedidos siguieron altos por la EUV, y la caída llegó en FY2024-FY2025 con cancelaciones de un cliente [2, 12].</w:t>
      </w:r>
    </w:p>
    <w:p>
      <w:pPr>
        <w:pStyle w:val="Heading2"/>
      </w:pPr>
      <w:r>
        <w:t xml:space="preserve">Regulación</w:t>
      </w:r>
    </w:p>
    <w:p>
      <w:pPr>
        <w:spacing w:after="100"/>
      </w:pPr>
      <w:r>
        <w:t xml:space="preserve">Las restricciones de exportación de EE. UU., Japón y los Países Bajos impiden vender equipos para EUV en China; Lasertec vende allí inspección DUV (MATRICS) y la dirección espera casi duplicar esas ventas en FY2027 [4]. «Otros de Asia», que incluye China, fue el 13,5 % de las ventas de FY2026 [2]. Un endurecimiento de los controles a la inspección DUV restaría parte de ese crecimiento.</w:t>
      </w:r>
    </w:p>
    <w:p>
      <w:pPr>
        <w:pStyle w:val="Heading2"/>
      </w:pPr>
      <w:r>
        <w:t xml:space="preserve">Tendencias y disrupción</w:t>
      </w:r>
    </w:p>
    <w:p>
      <w:pPr>
        <w:spacing w:after="100"/>
      </w:pPr>
      <w:r>
        <w:t xml:space="preserve">Tres tendencias favorecen a Lasertec: más capas EUV por chip y máscaras más complejas (curvilíneas) que la inspección DUV no resuelve bien; la inspección en las fábricas de obleas con equipos de alto rendimiento (A200HiT); y la EUV en la DRAM y la HBM [4]. La que más preocupa es la película protectora de la máscara: si es de un material que solo deja pasar la luz EUV, favorece a ACTIS; la decisión no está tomada [4]. En julio de 2026 la noticia de que China fabrica escáneres DUV castigó a ASML y a Lasertec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50 % de la inspección de máscaras (estimación propia: ≈ 900 M USD de ventas de Lasertec frente a un mercado de 1.800 M USD); único proveedor comercial de inspección actínica de máscaras EUV con patrón [5, 22,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control de procesos; inspección de máscaras con luz DUV (Teron) y haz de electrones; ingresos del grupo FY2026 13.580 M USD convertidos a 158,18 JPY/USD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NuFlare Technology (Toshiba)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de máscaras DUV y escritura de máscaras por haz de electrones; filial no cotizada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de máscaras (Aera) y por haz de electrones; nicho dentro de un grupo de equipos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Carl Zeiss SMT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imagen aérea (AIMS EUV): complemento de la inspección, no sustituto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procesos de los clientes se califican con sus equipos y recetas; la evaluación del A200HiT dura más de seis meses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inspección actínica comercial desde 2019; márgenes brutos del 59 %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ligera con proveedores externos; sin ventaja de escala frente a KLA.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1.800 M USD: no caben muchos proveedores con diez años de I+D [8].</w:t>
            </w:r>
          </w:p>
        </w:tc>
      </w:tr>
    </w:tbl>
    <w:p>
      <w:pPr>
        <w:spacing w:after="160" w:before="0"/>
      </w:pPr>
    </w:p>
    <w:p>
      <w:pPr>
        <w:pStyle w:val="Heading2"/>
      </w:pPr>
      <w:r>
        <w:t xml:space="preserve">Amenazas</w:t>
      </w:r>
    </w:p>
    <w:p>
      <w:pPr>
        <w:spacing w:after="100"/>
      </w:pPr>
      <w:r>
        <w:t xml:space="preserve">Tres amenazas. Que la inspección DUV y por haz de electrones de KLA baste para los nodos que vienen (KLA lo defendió; según un analista en la conferencia de agosto, ese discurso ha perdido apoyo) [4]. Que los clientes reduzcan capas EUV o retrasen nodos, como en las cancelaciones de FY2025 [3]. Y que Intel, que fue el 33,3 % de las ventas de FY2025, recorte inversión [6]. Probabilidad de erosión del foso en cinco años: baja; de un año malo de pedidos: 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230.485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FY2020-FY2026: ingresos </w:t>
      </w:r>
      <w:r>
        <w:rPr>
          <w:b/>
          <w:bCs/>
        </w:rPr>
        <w:t xml:space="preserve">32,5 %</w:t>
      </w:r>
      <w:r>
        <w:t xml:space="preserve">, EBITDA </w:t>
      </w:r>
      <w:r>
        <w:rPr>
          <w:b/>
          <w:bCs/>
        </w:rPr>
        <w:t xml:space="preserve">38,0 %</w:t>
      </w:r>
      <w:r>
        <w:t xml:space="preserve">, BPA </w:t>
      </w:r>
      <w:r>
        <w:rPr>
          <w:b/>
          <w:bCs/>
        </w:rPr>
        <w:t xml:space="preserve">38,9 %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42.572 M JPY en FY2020 a 230.485 M en FY2026, todo orgánico (sin compras; un único segmento) [1, 2]. El motor es la inspección de máscaras para litografía EUV: ACTIS (inspección actínica, con luz EUV de 13,5 nm) facturó 114.800 M en FY2025 y 70.500 M en FY2026, y MATRICS (inspección de máscaras con luz DUV, también para EUV) 50.600 M y 51.200 M [3, 5]. FY2026 cayó un 8,3 % en ventas y un 14,3 % en resultado de explotación porque reflejó los pedidos de FY2025, que se hundieron a 105.226 M por cancelaciones de ACTIS (pedidos netos de ACTIS: −10.500 M) [1, 3]. El margen bruto pasó del 50,3 % (FY2024) al 59,0 % (FY2025) y 59,2 % (FY2026) por la mezcla (ACTIS y servicios) y el yen débil [3, 5]; el margen de explotación bajó de 48,8 % a 45,7 % por la I+D (16.292 M, +39,5 %) y el aumento de plantilla (1.335 empleados, +172) [3]. Los servicios crecieron un 36,5 % hasta 58.646 M (25,4 % de las ventas): es la parte recurrente de la base instalada [1].</w:t>
      </w:r>
    </w:p>
    <w:p>
      <w:pPr>
        <w:pStyle w:val="Heading2"/>
      </w:pPr>
      <w:r>
        <w:t xml:space="preserve">Ajustes y partidas no recurrentes</w:t>
      </w:r>
    </w:p>
    <w:p>
      <w:pPr>
        <w:spacing w:after="100"/>
      </w:pPr>
      <w:r>
        <w:t xml:space="preserve">Cifras publicadas en normas japonesas (J-GAAP), sin ajustes. No hay partidas extraordinarias desde FY2020: el beneficio antes de impuestos coincide con el resultado ordinario todos los años [1, 7, 8, 9, 10, 11]. El resultado no operativo es casi todo diferencias de cambio: +2.068 M en FY2026 y −3.676 M en FY2025 [1]. No se usa un BPA ajustado. La compañía estima que cada yen de depreciación frente al dólar suma 1.100 M de ventas y 1.000 M de resultado de explotación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6-ago-2026 la dirección dio por cerrada la caída: pedidos de FY2026 de 237.504 M (+125,7 %), en la parte alta de la horquilla de 200.000-240.000 M que había dado en abril, y una previsión de pedidos para FY2027 de 300.000-400.000 M (punto medio 350.000 M), con MATRICS y ACTIS duplicando pedidos [3, 4]. El punto alto depende de que el ACTIS A200HiT (inspección actínica de alto rendimiento para fábricas de obleas) supere la evaluación en las fábricas de los clientes, que aún no había empezado; según el consejero delegado, como pronto en el segundo semestre del ejercicio [4]. Los analistas preguntaron sobre todo por tres cosas: el reparto de pedidos entre talleres de máscaras y fábricas, el plazo de la evaluación del A200HiT y por qué el margen de explotación previsto baja al 43,1 % si crece ACTIS; la respuesta fue la mezcla (las ventas de FY2027 vienen de pedidos de hace más de un año, cuando ACTIS tuvo pedidos negativos) y más I+D (más de 20.000 M) [4]. En la de abril (3T) ya había subido la previsión de pedidos de 170.000-220.000 M a 200.000-240.000 M y dijo que algunos clientes que habían cancelado volvían a pedir [12]. La dirección no dio cifras trimestrales de pedidos (las dejó de publicar en FY2025) ni nombres de clientes, y evitó cuantificar el efecto del A200HiT («50.000 M no es una cifra determinada») [4,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la clave del balance. Las existencias (casi todo producto en curso: equipos fabricados que esperan la aceptación del cliente) fueron de 167.791 M en FY2026, el 72,8 % de las ventas, y los anticipos cayeron de 95.155 M (FY2023) a 44.284 M [2]. Resultado: el circulante comercial neto (existencias + clientes − proveedores − anticipos) pasó del 40 % de las ventas en FY2023 al 60 % en FY2026. Es lo que hay que vigilar: en un ciclo con pedidos que se cancelan, el producto en curso puede quedarse sin cliente. La compañía explica que el equipo se monta en casa del cliente y se cuenta como producto en curso hasta su aceptación [19].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FY2020-FY2026: FCF </w:t>
      </w:r>
      <w:r>
        <w:rPr>
          <w:b/>
          <w:bCs/>
        </w:rPr>
        <w:t xml:space="preserve">184.795</w:t>
      </w:r>
      <w:r>
        <w:t xml:space="preserve">, conversión </w:t>
      </w:r>
      <w:r>
        <w:rPr>
          <w:b/>
          <w:bCs/>
        </w:rPr>
        <w:t xml:space="preserve">57 %</w:t>
      </w:r>
      <w:r>
        <w:t xml:space="preserve"> del beneficio neto; adquisiciones 0, dividendos 99.220, recompras 12.003.</w:t>
      </w:r>
    </w:p>
    <w:p>
      <w:pPr>
        <w:spacing w:after="100"/>
      </w:pPr>
      <w:r>
        <w:t xml:space="preserve">La conversión del beneficio en caja es irregular porque depende de los anticipos y del producto en curso: flujo operativo negativo en FY2022 (−3.464 M con un beneficio de 24.850 M) mientras el producto en curso se doblaba, y 77.874 M en FY2025 (92 % del beneficio) [2]. En FY2026 bajó a 48.540 M por 43.451 M de impuestos pagados y 21.120 M de anticipos consumidos [1]. La inversión es pequeña: 1.791 M de inmovilizado en FY2026 (0,8 % de las ventas); el pico de FY2023 (20.545 M) fue la compra de terrenos y edificios en Shin-Yokohama para el «Lasertec Innovation Park» [2, 9]. Para FY2027 la compañía prevé 5.700 M de inversión y 3.600 M de amortización [3]. Casi todo el capex es de crecimiento o de instalaciones; el de mantenimiento es inferior a la amortización (estimación propia).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Japan LLC</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salvedades conocidas (el informe de auditoría del yuho solo se publica en japonés)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En junio de 2024 el bajista Scorpion Capital acusó a Lasertec de inflar ventas y existencias [18]. La compañía respondió que el producto en curso se mantiene hasta que el cliente acepta el equipo montado en su fábrica y que su contabilidad es correcta [19]. Ningún regulador ha actuado desde entonces y las cuentas posteriores no se han reexpresado [1, 7]. La señal que sí está en las cuentas es la proporción de existencias (72,8 % de las ventas en FY2026) y la caída de anticipos: si un cliente cancela tras fabricarse el equipo, el ajuste llegaría por deterioro de existencias. No hay capitalización de I+D (16.292 M a gasto) ni fondo de comercio. Los pagos en acciones son pequeños (provisión de 2.467 M) [1]. Ver Altman, Piotroski y Beneish en la tabla.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del 72,8 % de las ventas y anticipos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en curso de 122.449 M y anticipos de 44.284 M en FY2026, frente a 131.056 M y 95.155 M en FY2023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Acusación de un bajista en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Scorpion Capital (jun-2024); sin actuación del regulador ni reexpresión posterior [18,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Intel y Samsung suman el 62,3 % de las ventas de FY2026 (79,5 % en FY2025)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98.766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118.488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FY2026 (el 0 % del capital invertido medio); ha subido más de un 5 % en 0 de 6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51,8 % · </w:t>
      </w:r>
      <w:r>
        <w:rPr>
          <w:b/>
          <w:bCs/>
        </w:rPr>
        <w:t xml:space="preserve">WACC</w:t>
      </w:r>
      <w:r>
        <w:t xml:space="preserve">: 11,5 %.</w:t>
      </w:r>
    </w:p>
    <w:p>
      <w:pPr>
        <w:spacing w:after="100"/>
      </w:pPr>
      <w:r>
        <w:t xml:space="preserve">Lasertec crea valor con un margen excepcional: el ROIC del motor fue del 54,2 % en FY2026 frente a un WACC del 11,48 %, y no ha bajado del 54 % en los siete años de la serie (máximo del 91,0 % en FY2021) [1, 2]. El ROIC incremental histórico es del 51,8 %: cada yen invertido en circulante (casi todo el capital, porque el inmovilizado apenas pesa) rinde lo mismo que el capital antiguo. El ROE del 33,9 % es menor que el ROIC por la caja (91.503 M) y el patrimonio acumulado. El punto débil es el circulante: las existencias de 167.791 M (72,8 % de las ventas) y la caída de los anticipos de clientes de 95.155 M en FY2023 a 44.284 M en FY2026 llevaron el capital de explotación del 40 % al 59,8 % de las ventas, y por eso la conversión de beneficio en caja fue solo del 57 % de FY2020 a FY2026 [1]. El ROIC alto es de foso (monopolio actínico), no de ciclo: incluso en FY2020, con 42.572 M de ventas, fue del 74,6 %.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-91.503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de 91.503 M JPY a 30-jun-2026, sin deuda financiera ni gastos por intereses en FY2026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FY2024 (los préstamos a corto de 10.000 M en FY2022 y 5.000 M en FY2023 se devolvieron) [1, 8, 9]. El pasivo relevante son los anticipos de clientes: 44.284 M a 30-jun-2026, frente a 95.155 M en el pico de FY2023 [2]; se compensan con entregas (no se devuelven en caja), por eso van al circulante y no al puente. Ingresos diferidos de servicios: 7.794 M [1]. Impuestos a pagar 12.767 M. Provisión para pagos en acciones 2.467 M [1]. El dividendo final de FY2026 (197 JPY por acción, 17.657 M) se pagó el 28-sep-2026, después del balance [1]. Arrendamientos: en J-GAAP solo figuran 136 M de activos arrendados; los alquileres van en gastos.</w:t>
      </w:r>
    </w:p>
    <w:p>
      <w:pPr>
        <w:pStyle w:val="Heading1"/>
      </w:pPr>
      <w:r>
        <w:t xml:space="preserve">12. Asignación de capital</w:t>
      </w:r>
    </w:p>
    <w:p>
      <w:pPr>
        <w:pStyle w:val="Confianza"/>
        <w:spacing w:after="100"/>
      </w:pPr>
      <w:r>
        <w:t xml:space="preserve">Confianza: Media</w:t>
      </w:r>
    </w:p>
    <w:p>
      <w:pPr>
        <w:spacing w:after="100"/>
      </w:pPr>
      <w:r>
        <w:t xml:space="preserve">La política es un pago del 35 % del beneficio consolidado (desde FY2015), flexible según resultados [1, 3]. FY2026 pagó 329 JPY por acción (38,1 % del beneficio) y la previsión de FY2027 es de 351 JPY (35 %) [1]. En agosto de 2025 aprobó su primera recompra relevante, de hasta 12.000 M o un millón de acciones, terminada en diciembre con 560.600 acciones por 11.998 M [16, 17]; dijo que podría usar las acciones propias para compras. La prioridad declarada es el circulante y la inversión a medio plazo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Asignación prudente y poco ambiciosa. De FY2020 a FY2026 generó 184.795 M de flujo libre y devolvió 111.223 M (99.220 M en dividendos y 12.003 M en su primera recompra relevante, la de agosto-diciembre de 2025, 560.600 acciones a unos 21.400 JPY, por debajo de la mitad del precio de hoy) [1, 16, 17]. Sin compras ni deuda (la de 10.000 M de FY2022 ya se devolvió). La política es un pago del 35 % del beneficio; FY2026 pagó 329 JPY (38,1 %) y FY2027 prevé 351 JPY [1]. El capital se lo come el circulante: las existencias se multiplicaron por cinco desde FY2020 porque cada ACTIS tarda más de un año en fabricarse y se reconoce cuando el cliente lo acepta. Con 91.503 M de caja y un capex de 1.791 M, el margen para más recompras existe, pero la dirección prefiere colchón para el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Sendoda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(Representative Director,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desde 2008, especialista en inspección de máscaras; dirigió ventas antes de ser consejero delegado en julio de 2024 [28]. En su mandato los pedidos cayeron a 105.226 M (FY2025) y se recuperaron a 237.504 M (FY2026)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Osamu Okabayashi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(Director, Chairman &amp; Executive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2009 a 2024, periodo en que las ventas pasaron de menos de 10.000 M a 213.506 M y llegó la serie ACTIS [2, 28]. Desde 2024 lleva planificación y cumplimiento.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Haruhiko Kusunose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Vice Chairman &amp; Executive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técnico desde 2009; responsable de desarrollo avanzado, personal y producción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Hisashi Yokokawa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(Executive Officer,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de planificación; presenta los resultados [3,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200.000 M y resultado de explotación 85.000 M (ago-2025); subida a 220.000 M y 100.000 M (ene-2026)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230.485 M; resultado de explotación 105.259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(pedidos)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170.000-220.000 M; subida a 200.000-240.000 M en abril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237.504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ventas 250.000 M y resultado de explotación 103.000 M (ago-2024)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251.477 M; resultado de explotación 122.843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técnico: los tres consejeros ejecutivos llevan entre 18 y 31 años en la casa [28]. La sucesión de 2024 fue ordenada: Okabayashi pasó a presidente ejecutivo y Sendoda, de 47 años, a consejero delegado [28]. La guía se cumple o se supera con prudencia; el riesgo de credibilidad está en las previsiones de pedidos, que dependen de pocos clientes. En agosto de 2026 dejó el consejo Atsushi Tajima (consejero ejecutivo) sin motivo publicado, y en septiembre se suprimieron las divisiones de ventas y tecnología para decidir más rápido [31, 32].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Sendoda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Osamu Okabayashi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(Chairman &amp; Executive Officer)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Haruhiko Kusunose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Koji Mihara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(catedrático, Universidad de Waseda)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Yoshiko Iwata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(J-Eurus IR; consejera de SMC)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Miyuki Ishiguro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(abogada, Nagashima Ohno &amp; Tsunematsu; consejera de Nomura)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Takashi Yuri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(ex consejero delegado de TechMatrix)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salvedades conocidas (el informe de auditoría del yuho solo se publica en japonés)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nacionales)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nacionales)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Uchiyama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Setsuko Maeda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Uchiyama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Haruka Takahashi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 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(4.655.734 acciones sobre 94.286.400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+559.692 acciones en FY2026 por la recompra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Tres partes: fijo mensual, variable anual y acciones restringidas (RS y RSU) [30]. El variable se calcula con una fórmula ligada al beneficio neto, multiplicada por un coeficiente individual de 0 a 2 salvo para presidente, vicepresidente y consejero delegado; la junta de 2026 aprobó 818 M JPY de variable para los cuatro consejeros ejecutivos de FY2026 [29, 30]. Las acciones restringidas tienen un tope de 300 M JPY y 30.000 acciones al año y pueden recortarse o anularse por mala conducta (cláusula de reducción) [30]. No hay métrica de ROIC, flujo de caja ni rentabilidad para el accionista: premia el beneficio del año, que en un negocio cíclico paga los picos. Solo se publica la remuneración individual de quien supera 100 M JPY, en el yuho en japonés [30]. La junta aprobó la revisión del plan de RSU con un 98,15 % a favor [29].</w:t>
      </w:r>
    </w:p>
    <w:p>
      <w:pPr>
        <w:pStyle w:val="Heading2"/>
      </w:pPr>
      <w:r>
        <w:t xml:space="preserve">Operaciones vinculadas, estructura de control y defensas</w:t>
      </w:r>
    </w:p>
    <w:p>
      <w:pPr>
        <w:spacing w:after="100"/>
      </w:pPr>
      <w:r>
        <w:t xml:space="preserve">Sin accionista de control ni sociedad matriz: el mayor accionista directo es un custodio de fondos (20,59 %) y la familia Uchiyama suma en torno al 4,8 % entre persona física y sociedad [30]. Una acción, un voto; sin medidas antiopa declaradas en el informe de gobierno [30]. Mandato de un año para los consejeros [30]. Sin participaciones cruzadas relevantes [30]. El consejo lo preside un consejero externo y cuatro de siete son independientes [30]. Es una sociedad con consejo de auditoría (Audit &amp; Supervisory Board) de tres miembros, dos externos [30].</w:t>
      </w:r>
    </w:p>
    <w:p>
      <w:pPr>
        <w:pStyle w:val="Heading2"/>
      </w:pPr>
      <w:r>
        <w:t xml:space="preserve">Señales de alerta</w:t>
      </w:r>
    </w:p>
    <w:p>
      <w:pPr>
        <w:pStyle w:val="ListParagraph"/>
        <w:numPr>
          <w:ilvl w:val="0"/>
          <w:numId w:val="2"/>
        </w:numPr>
        <w:spacing w:after="60"/>
      </w:pPr>
      <w:r>
        <w:t xml:space="preserve">Salida del consejero ejecutivo Atsushi Tajima en septiembre de 2026, sin motivo publicado [31].</w:t>
      </w:r>
    </w:p>
    <w:p>
      <w:pPr>
        <w:pStyle w:val="ListParagraph"/>
        <w:numPr>
          <w:ilvl w:val="0"/>
          <w:numId w:val="2"/>
        </w:numPr>
        <w:spacing w:after="60"/>
      </w:pPr>
      <w:r>
        <w:t xml:space="preserve">Remuneración variable ligada solo al beneficio neto del año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(julio 2026 - junio 2027), del 6-ago-2026: ventas de 290.000 M JPY (+25,8 %), resultado de explotación de 125.000 M (margen del 43,1 %), beneficio neto de 90.000 M y BPA de 1.004,12 JPY, con 150 JPY/USD; pedidos de 300.000-400.000 M; dividendo de 351 JPY [1]. Es la primera guía del ejercicio y se revisará con el 1T el 30-oct-2026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224.135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49.337,50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34.000,00 – 70.000,00</w:t>
            </w:r>
          </w:p>
        </w:tc>
      </w:tr>
    </w:tbl>
    <w:p>
      <w:pPr>
        <w:spacing w:after="160" w:before="0"/>
      </w:pPr>
    </w:p>
    <w:p>
      <w:pPr>
        <w:pStyle w:val="Heading2"/>
      </w:pPr>
      <w:r>
        <w:t xml:space="preserve">Revisiones de estimaciones</w:t>
      </w:r>
    </w:p>
    <w:p>
      <w:pPr>
        <w:spacing w:after="100"/>
      </w:pPr>
      <w:r>
        <w:t xml:space="preserve">Solo MarketScreener da estimaciones completas a tres años [35]; Stock Analysis (S&amp;P Global) coincide en el objetivo medio (49.338 JPY, mediana 48.900) y da ventas de FY2027 de 302.000 M (280.000-318.000) [37]. Recomendaciones de octubre: 8 compra fuerte, 1 compra, 6 mantener y 2 venta fuerte; en mayo eran 7, 0, 7 y 2 [37]. Movimientos recientes: Goldman Sachs a 70.000 JPY (7-oct), Macquarie mantiene 36.000 (17-oct), Jefferies bajó de 57.000 a 51.000 en agosto [36, 42]. El consenso de ventas de FY2027 (299.177 M) supera en un 3 % la guía; el BPA (1.118) en un 11 % [1, 35].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es de las más volátiles del Nikkei (volatilidad de 77 % a un año; caída máxima del 76,6 % entre mayo de 2024 y abril de 2025) [34]. A diez años rinde un 56,1 % anual frente a un 14,2 % del TOPIX, pero a cinco años solo un 9,0 % frente a un 17,7 %: el pico de 2021 (cotizó a 78 veces el beneficio del año siguiente) y la caída de 2024, cuando se supo de las cancelaciones de ACTIS, se comieron la subida [34]. En el último año ha ganado un 94,6 % por la recuperación de pedidos y la demanda de la IA, pero está un 31 % por debajo del máximo del 19-jun-2026 [34].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 / -12,2 % / -4,8 % / +94,4 %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 / +99,9 %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mayo a junio hasta el máximo del 19-jun (58.580 JPY): pedidos del 3T por encima de lo esperado, subida de la horquilla de pedidos a 200.000-240.000 M y euforia por los equipos para IA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30-jul: el 27-jul la noticia de que China fabrica escáneres DUV hundió a ASML y a Lasertec (−9,7 % el 17-jul y −14 % el 28-jul), con el terremoto de Kumamoto del 28-jul en el sector [27,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7-ago tras los resultados: el margen de explotación previsto (43,1 %) y la guía de ventas (290.000 M) decepcionaron frente a un consenso más alto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15-oct de todo el sector de equipos japonés (Advantest −15 %, Tokyo Electron −7,8 %) por la deuda de CoreWeave y el IPC de EE. UU., sin noticia propia [34,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2-feb tras los resultados del 2T: la previsión subió menos de lo esperado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(julio-septiembre) el 30-oct-2026 a las 15:45 de Tokio, con conferencia a las 16:00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mantiene su objetivo en 36.000 JPY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fija un objetivo de 70.000 JPY, el máximo del consenso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ampliación de capital de Intel, mayor de lo previsto, se lee como apoyo a la inversión de un cliente que fue el 20,7 % de las ventas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consejo el consejero ejecutivo Atsushi Tajima (efectivo el 25-sep), sin motivo publicado; no hay registro de ventas de acciones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Termina la recompra de 560.600 acciones por 11.998 M JPY; no hay ampliaciones, convertibles ni colocaciones de accionistas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14,8 % en un mes pero cae un 12,2 % en tres meses y está un 31,1 % por debajo del máximo de 52 semanas; cotiza un 2 % por encima de la media de 200 sesiones (tendencia alcista) con una volatilidad de 60 días del 84 % [34]. Las caídas fuertes tienen causa sectorial o de expectativas (resultados de febrero y agosto, China y la DUV en julio, sector el 15-oct), ninguna de deterioro propio del negocio. No hay colocaciones, ampliaciones, litigios ni ventas de directivos conocidas. El único hecho pendiente son los resultados del 30-oct, que por la regla 11 no retrasan.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el PER de los últimos 12 meses ha ido de 20,7 a 84,7 veces (media 56,4) y hoy es de 45,9 veces, en el percentil 33 de su historia; el EV/EBITDA, 31,6 veces frente a una media de 38,6. Con el beneficio adelantado, que es lo que usa la regla (precio de cierre de junio ÷ BPA real del ejercicio siguiente), la historia es más baja: mediana de 32,96 veces en FY2020-FY2025 sin FY2021, mínimo de 22,51 (FY2025) y hoy 38,95 veces sobre nuestro BPA de FY2027e. La acción no está cara frente a su pasado; lo está frente a lo que vale el flujo de caja [2, 14, 34].</w:t>
      </w:r>
    </w:p>
    <w:p>
      <w:pPr>
        <w:pStyle w:val="Heading1"/>
      </w:pPr>
      <w:r>
        <w:t xml:space="preserve">18. Comparables cotizados</w:t>
      </w:r>
    </w:p>
    <w:p>
      <w:pPr>
        <w:pStyle w:val="Confianza"/>
        <w:spacing w:after="100"/>
      </w:pPr>
      <w:r>
        <w:t xml:space="preserve">Confianza: Media</w:t>
      </w:r>
    </w:p>
    <w:p>
      <w:pPr>
        <w:spacing w:after="100"/>
      </w:pPr>
      <w:r>
        <w:t xml:space="preserve">Equipos de semiconductores de alto margen y foso tecnológico: el control de procesos (KLA, Onto, Nova), la litografía de la que depende la demanda de Lasertec (ASML), los equipos de proceso (Lam Research, Tokyo Electron), el corte y pulido japonés (Disco) y el test (Teradyne). No hay ningún comparable puro de inspección de máscaras cotizado. Se excluye a Advantest (el análisis del 15-oct le da un BPA del FY2025 duplicado que distorsiona su PER)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Lasertec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Tokyo Electron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23.525.904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33.924.722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51.272.759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101.613.303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Teradyne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Onto Innovation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 / 32,3x / 36,6x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38.048,78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40.379,17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45.745,20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 / 28,2x / 30,9x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32.442,77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34.886,03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38.226,18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230.485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 / 12,1x / 15,0x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32.016,39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39.280,92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Lasertec cotiza a un PER de los próximos 12 meses de 32,0 veces, algo por encima de la mediana de sus ocho pares (28,2 veces), con el mayor ROIC del grupo junto a KLA y Lam (54,2 %) y el mayor margen EBITDA salvo Disco. Por PER de los comparables saldría un valor de 34.886 JPY por acción (rango 32.443-38.226) y por EV/EBITDA de los últimos 12 meses, 40.379 JPY. Frente al sector el precio es razonable; lo que está caro es el sector entero, que cotiza a 25-33 veces beneficios en máximos de ciclo [40, 41].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+25,8 %, la guía de agosto de 290.000 M [1], apoyada en una cartera de 322.964 M (1,4 años de ventas) [1]. FY2028e: +22 % (consenso +29,7 %) con pedidos de FY2027 en el punto medio de la guía, 350.000 M [3, 35]. FY2029e: +12 %. FY2030e: −10 %, una corrección del ciclo como la de FY2026 (−8,3 %), que vino de pedidos negativos de ACTIS en FY2025 [3]. Después, del 14 % al 3 %, por debajo del crecimiento del mercado de inspección de máscaras (7,2 % anual hasta 2034) a partir de FY2034e [23].</w:t>
      </w:r>
    </w:p>
    <w:p>
      <w:pPr>
        <w:keepNext/>
        <w:spacing w:after="100"/>
      </w:pPr>
      <w:r>
        <w:rPr>
          <w:b/>
          <w:bCs/>
        </w:rPr>
        <w:t xml:space="preserve">Márgenes.</w:t>
      </w:r>
    </w:p>
    <w:p>
      <w:pPr>
        <w:spacing w:after="100"/>
      </w:pPr>
      <w:r>
        <w:t xml:space="preserve">Margen EBITDA del 44,3 % en FY2027e, coherente con la guía (resultado de explotación del 43,1 % y amortización de 3.600 M) [1]; del 46 % y el 46,5 % en los dos años siguientes, cerca del 47,7 % de FY2026; baja al 42 % en la corrección de FY2030e y converge al 42,5 % a largo plazo, por debajo de la media de FY2023-FY2026 por más I+D (20.000 M en FY2027) y competencia [1, 2].</w:t>
      </w:r>
    </w:p>
    <w:p>
      <w:pPr>
        <w:keepNext/>
        <w:spacing w:after="100"/>
      </w:pPr>
      <w:r>
        <w:rPr>
          <w:b/>
          <w:bCs/>
        </w:rPr>
        <w:t xml:space="preserve">Inversión y circulante.</w:t>
      </w:r>
    </w:p>
    <w:p>
      <w:pPr>
        <w:spacing w:after="100"/>
      </w:pPr>
      <w:r>
        <w:t xml:space="preserve">Capex del 2,0 % de las ventas (5.700 M previstos en FY2027) [1] y amortización del 1,25-1,5 %. Circulante del 57 % de las ventas en FY2027e y del 52 % en FY2028e, desde el 59,8 % de FY2026, y del 48 % después, la media de FY2022-FY2026 (40,2-59,8 %), suponiendo que los anticipos de clientes se recuperan en parte con los pedidos [1]. Los anticipos se compensan con entregas: son circulante y no deuda.</w:t>
      </w:r>
    </w:p>
    <w:p>
      <w:pPr>
        <w:keepNext/>
        <w:spacing w:after="100"/>
      </w:pPr>
      <w:r>
        <w:rPr>
          <w:b/>
          <w:bCs/>
        </w:rPr>
        <w:t xml:space="preserve">Coste del capital.</w:t>
      </w:r>
    </w:p>
    <w:p>
      <w:pPr>
        <w:spacing w:after="100"/>
      </w:pPr>
      <w:r>
        <w:t xml:space="preserve">Tasa libre: bono japonés a 10 años del 2,958 % (16-oct-2026) [38]. Beta 1,55: entre la semanal ajustada de 5 años (1,54) y la mensual de 5 años (1,89) frente al TOPIX, con la semanal de 2 años en 1,43 [34]. Prima de mercado del 5,5 %, sin prima adicional (vende a clientes globales). Coste del capital del 11,48 %; sin deuda financiera, así que es también el WACC.</w:t>
      </w:r>
    </w:p>
    <w:p>
      <w:pPr>
        <w:keepNext/>
        <w:spacing w:after="100"/>
      </w:pPr>
      <w:r>
        <w:rPr>
          <w:b/>
          <w:bCs/>
        </w:rPr>
        <w:t xml:space="preserve">Valor terminal.</w:t>
      </w:r>
    </w:p>
    <w:p>
      <w:pPr>
        <w:spacing w:after="100"/>
      </w:pPr>
      <w:r>
        <w:t xml:space="preserve">Gordon con un 2,4 %: inflación esperada en yenes en torno al 2 % y algo de crecimiento real por la intensidad de inspección por nodo, por debajo de la tasa libre menos medio punto. El múltiplo de salida implícito es bajo frente a los comparables (EV/EBITDA de 28-40 veces), porque el terminal supone un negocio maduro y no uno en plena expansión de la EUV.</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1.694.849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1.334.313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14.886,90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1,4 %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1,9 %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2,4 %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2,9 %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3,4 %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14.890,11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14.104,49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15.250,17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16.873,11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14.860,40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17.297,03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147.616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 (histórico: 51,8 %)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 frente al 9,5 %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147.616 M, el 11 % del NOPAT, con un capex bruto medio del 2,0 % de las ventas). En un negocio de activos ligeros, el crecimiento medio del 9,5 %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entrega de la cartera (ACTIS y MATRICS para 2 nm) [3]; precio: equipos más caros (ACTIS A200HiT) [26]; otros: servicios sobre una base instalada mayor.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los pedidos de FY2027 (punto medio de la guía) y precio por High-NA.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menor al completar los clientes la capacidad de 2 nm.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cíclica: menos compras de ACTIS; precios estables.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con el nodo siguiente (A14/1,4 nm).</w:t>
            </w:r>
          </w:p>
        </w:tc>
      </w:tr>
    </w:tbl>
    <w:p>
      <w:pPr>
        <w:spacing w:after="160" w:before="0"/>
      </w:pPr>
    </w:p>
    <w:p>
      <w:pPr>
        <w:spacing w:after="100"/>
      </w:pPr>
      <w:r>
        <w:t xml:space="preserve">Sí. El crecimiento proyectado (9,5 % de media) está en línea con el financiable al ROIC actual y muy por debajo de la tasa histórica (32,5 % anual de FY2020 a FY2026); la proyección apenas necesita capital fijo, así que la prueba es de poder de precios y de cuota. Las dos pasan: Lasertec es el único proveedor de inspección actínica de máscaras EUV con patrón [22], con alrededor de la mitad del mercado de inspección de máscaras (1.800 M USD en 2025) [23], y ha subido precio con cada generación de ACTIS [26]. El mercado crece un 7,2 % anual hasta 2034 [23]: el 9,5 % proyectado supone ganar algo de cuota en EUV y servicios, coherente con la base instalada.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28,6 % (base: 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73 % justifica el precio (base: 42,5 %)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(WACC: 11,5 %)</w:t>
            </w:r>
          </w:p>
        </w:tc>
      </w:tr>
    </w:tbl>
    <w:p>
      <w:pPr>
        <w:spacing w:after="160" w:before="0"/>
      </w:pPr>
    </w:p>
    <w:p>
      <w:pPr>
        <w:spacing w:after="100"/>
      </w:pPr>
      <w:r>
        <w:t xml:space="preserve">El DCF da 14.887 JPY por acción, un 62,4 % por debajo del precio de 39.590 JPY, con un 47 % del valor en el terminal. El DCF inverso es la clave: para justificar el precio con nuestros márgenes, las ventas tendrían que crecer un 28,6 % anual durante diez años, frente al 9,5 % de nuestro base y al 7,2 % del mercado; con nuestro crecimiento, ningún margen hasta el 73 % justifica el precio, y la rentabilidad que implica comprar hoy es del 5,8 % anual frente a un WACC del 11,48 %. El crecimiento histórico (32,5 % anual en seis años) es el que el precio extrapola; venía de lanzar la EUV desde cero.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fundiciones aplazan la High-NA y el 2 nm se llena con los equipos ya instalados: FY2027e crece un 19,8 %, FY2028e y FY2029e se quedan planos y el margen EBITDA baja al 40 % y después al 36,5 %. Ya pasó: los pedidos de ACTIS fueron negativos en FY2025 y las ventas cayeron en FY2026 [3].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FY2027e cumple la guía; dos años más de crecimiento decreciente (22 % y 12 %), corrección del 10 % en FY2030e y margen EBITDA que converge al 42,5 %.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19.061,44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alarga el ciclo EUV: pedidos de FY2027 en la parte alta de la guía (400.000 M), ventas de FY2028e un 32 % más y margen 2 puntos más, cerca del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JPY) · precio actual 39.5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14.235,85 JPY (-64,0 %).</w:t>
      </w:r>
    </w:p>
    <w:p>
      <w:pPr>
        <w:spacing w:after="100"/>
      </w:pPr>
      <w:r>
        <w:t xml:space="preserve">Los tres escenarios del DCF quedan por debajo del precio: 8.108 JPY el bajista (−79,5 %), 14.887 el base (−62,4 %) y 19.061 el alcista (−51,9 %). Lo que separa nuestro valor del precio no es el escenario sino el horizonte: el mercado paga hoy 39 veces el beneficio del año que viene, lo que equivale a suponer que el crecimiento de la EUV se mantiene una década.</w:t>
      </w:r>
    </w:p>
    <w:p>
      <w:pPr>
        <w:pStyle w:val="Heading1"/>
      </w:pPr>
      <w:r>
        <w:t xml:space="preserve">22. Suma de partes</w:t>
      </w:r>
    </w:p>
    <w:p>
      <w:pPr>
        <w:pStyle w:val="Confianza"/>
        <w:spacing w:after="100"/>
      </w:pPr>
      <w:r>
        <w:t xml:space="preserve">Confianza: Alta</w:t>
      </w:r>
    </w:p>
    <w:p>
      <w:pPr>
        <w:spacing w:after="100"/>
      </w:pPr>
      <w:r>
        <w:t xml:space="preserve">No aplica: el 73 % de las ventas son equipos de inspección para semiconductores, el 25 % servicios sobre esa misma base instalada y el 2 % otros equipos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JPY) · precio actual 39.5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38.226,18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19.059,17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20.498,78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39.392,05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39.787,95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19.723,92 JPY (-50,2 % sobre 39.590,00).</w:t>
      </w:r>
    </w:p>
    <w:p>
      <w:pPr>
        <w:spacing w:after="100"/>
      </w:pPr>
      <w:r>
        <w:t xml:space="preserve">Pesos: DCF 50 %, escenarios 25 % y comparables 25 %; sin transacciones (no hay operaciones con múltiplo verificable) ni suma de partes. El DCF es el método más fiable para el valor a largo plazo porque obliga a explicitar el ciclo; los comparables (34.886 JPY por PER) solo dicen que el sector cotiza a 25-33 veces beneficios de máximos. La caja neta (91.503 M) suma unos 1.020 JPY por acción y el dividendo final pagado en septiembre (17.657 M) se descuenta del puente.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19.548,00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(39x) a mitad de camino hacia abajo, hacia la mediana de 5 años (33x)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45.698,70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52.779,94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bl>
    <w:p>
      <w:pPr>
        <w:spacing w:after="160" w:before="0"/>
      </w:pPr>
    </w:p>
    <w:p>
      <w:pPr>
        <w:spacing w:after="100"/>
      </w:pPr>
      <w:r>
        <w:rPr>
          <w:b/>
          <w:bCs/>
        </w:rPr>
        <w:t xml:space="preserve">Objetivo a 12 meses (ponderado):</w:t>
      </w:r>
      <w:r>
        <w:t xml:space="preserve"> 40.931,34 JPY · rentabilidad +4,2 % (base +16,3 %) · señal Mantener.</w:t>
      </w:r>
    </w:p>
    <w:p>
      <w:pPr>
        <w:spacing w:after="100"/>
      </w:pPr>
      <w:r>
        <w:t xml:space="preserve">Para comparar, con la regla v2 (historia al cierre, mismo precio): 20,7x / 39,0x / 50,6x, 22,2 %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(1.016,5) está un 9,1 % por debajo del consenso (1.118) y el de FY2028e (1.276,5) un 15,4 % por debajo (1.509) [35]. La diferencia es de ventas y algo de margen: el consenso supone 299.177 M y 388.100 M (+29,8 % y +29,7 %), nosotros 289.950 M y 353.739 M (+25,8 % y +22 %), porque tomamos la guía de la empresa en FY2027e y el punto medio de su previsión de pedidos para FY2028e.</w:t>
      </w:r>
    </w:p>
    <w:p>
      <w:pPr>
        <w:keepNext/>
        <w:spacing w:after="100"/>
      </w:pPr>
      <w:r>
        <w:rPr>
          <w:b/>
          <w:bCs/>
        </w:rPr>
        <w:t xml:space="preserve">Del valor intrínseco al objetivo a 12 meses.</w:t>
      </w:r>
    </w:p>
    <w:p>
      <w:pPr>
        <w:spacing w:after="100"/>
      </w:pPr>
      <w:r>
        <w:t xml:space="preserve">El objetivo ponderado a 12 meses es de 40.931 JPY (+3,4 %; +4,2 % con dividendo) y el base de 45.699 JPY (+16,3 % con dividendo); el valor intrínseco es de 19.724 JPY. La distancia entre los dos es la prima que el mercado paga por el ciclo EUV y que la regla mantiene en parte (PER base de 35,8 veces, a mitad de camino entre el actual de 38,95 y la mediana adelantada de 32,96). El bajista (19.548 JPY, PER 22,5 sobre un BPA plano) recuerda que en junio de 2025 el mercado pagó ese múltiplo.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y pedidos del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por encima de 90.000 M confirmarían la parte alta de la guía (300.000-400.000 M); por debajo de 60.000 M, la parte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y posible revisión de la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dos últimos ejercicios la guía se subió en enero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ACTIS para EUV de alta apertura (High-NA) y para el nodo de 2 nm de Intel y Samsung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FY2028 crece o vuelve a caer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pesó en los pedidos de MATRICS (DUV); un veto recortaría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de las fundiciones en capacidad de IA (TSMC, Intel, Samsung)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capacidad EUV = más inspección de máscaras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pedidos: cancelaciones o aplazamientos de ACTIS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(escenario bajista frente al base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322.964 M (1,4 años de ventas) y caja sin deuda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50.000 M o pedidos netos negativos como en FY2025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tres clientes son el 62 %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uno de los tres aplaza su EUV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21,4 %, Intel 20,7 % y Samsung 20,2 %: ninguno domina solo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capex de Intel o Samsung en EUV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el beneficio cerca de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en el bajista a 12 meses (PER de 22,5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38,95 veces, no extremo frente a su historia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30 veces sin bajada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KLA en EUV (inspección por haz de electrones o actínica propia)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de ventaja en luz actínica y procesos de los clientes ya calificados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 sistema actínico de KLA o de un segundo proveedor en TSMC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calidad contable (acusación de Scorpion Capital de 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un deterioro de existencias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PwC Japan sin salvedades conocidas; sin reexpresiones [18,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existencias o cambio de auditor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más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135 JPY/USD)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contratos en yenes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 (cada yen son 1.000 M de resultado de explotación)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fabrica su propia EUV o se veta la venta de DUV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inspección actínica no se vende a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listas de control o caída de pedidos de MATRICS [27]</w:t>
            </w:r>
          </w:p>
        </w:tc>
      </w:tr>
    </w:tbl>
    <w:p>
      <w:pPr>
        <w:spacing w:after="160" w:before="0"/>
      </w:pPr>
    </w:p>
    <w:p>
      <w:pPr>
        <w:pStyle w:val="Heading2"/>
      </w:pPr>
      <w:r>
        <w:t xml:space="preserve">Pre-mortem</w:t>
      </w:r>
    </w:p>
    <w:p>
      <w:pPr>
        <w:spacing w:after="100"/>
      </w:pPr>
      <w:r>
        <w:t xml:space="preserve">Octubre de 2028: la acción ha perdido un 50 %. Lo que pasó: los pedidos de FY2027 se quedaron en la parte baja de la guía (300.000 M) porque Intel retrasó otra vez su 14A y Samsung redujo su inversión en fundición; TSMC, ya con su parque de ACTIS completo para 2 nm, aplazó la High-NA. Las ventas de FY2028 bajaron un 15 %, las existencias subieron por equipos fabricados que nadie recogía y el mercado volvió a pagar 22 veces el beneficio, como en junio de 2025. Era previsible: ocurrió en FY2025, cuando los pedidos de ACTIS fueron negativos.</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+15 % (alcista a 12 meses) / −46 % si la inversión de las fundiciones se frena (bajista del DCF)</w:t>
      </w:r>
    </w:p>
    <w:p>
      <w:pPr>
        <w:spacing w:after="100"/>
      </w:pPr>
      <w:r>
        <w:t xml:space="preserve">La IA no amenaza el producto: ninguna IA sustituye la inspección física de una máscara EUV, y el software de análisis de defectos que mejora con IA lo incorpora el propio equipo. Al contrario, la demanda de chips de IA es lo que llena las líneas EUV de TSMC, Intel y Samsung (2 nm, 14A) y por tanto la demanda de ACTIS y MATRICS [4]. El riesgo es de ciclo, no de sustitución: si el gasto en centros de datos se frena en 2027-2028, las fundiciones aplazarían capacidad y los pedidos de Lasertec caerían como en FY2025. Efecto a 3-5 años: positivo en volumen (más capas EUV y máscaras más caras), con una volatilidad de pedidos que no desaparece.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más afectan a las cifras son la retención de ingenieros (la ventaja es el conocimiento de óptica y luz actínica de una plantilla de 1.335 personas), la cadena de suministro de componentes ópticos y la concentración geográfica de la fabricación en Yokohama (riesgo sísmico) [6, 20]. Las emisiones propias son pequeñas. El informe integrado 2025 publica objetivos de clima y materialidad sin calificaciones de terceros [20].</w:t>
      </w:r>
    </w:p>
    <w:p>
      <w:pPr>
        <w:pStyle w:val="Heading2"/>
      </w:pPr>
      <w:r>
        <w:t xml:space="preserve">Controversias</w:t>
      </w:r>
    </w:p>
    <w:p>
      <w:pPr>
        <w:spacing w:after="100"/>
      </w:pPr>
      <w:r>
        <w:t xml:space="preserve">La acusación de fraude contable del bajista Scorpion Capital (junio de 2024), que la empresa negó y que no ha tenido consecuencias regulatorias ni reexpresiones [18,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FY2027 (300.000-400.000 M) es ACTIS para 2 nm y High-NA y qué parte reposición?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FY2028 crece o cae; es el supuesto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ACTIS tienen ya TSMC, Intel y Samsung y cuántos necesitan por nodo?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la base instalada.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anticipos bajaron de 95.155 M a 44.284 M con los pedidos al alza?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salto del circulante al 59,8 % de las ventas y la conversión en caja del 57 %.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KLA un sistema actínico en desarrollo o calificado en algún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amenaza al monopolio.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 con 91.503 M de caja y un capex de 1.791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pago del 35 % y una recompra puntual dejan crecer la caja sin uso.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Japón (tablón de 6920)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última semana el 61 % de los que votan quiere comprar y el 21 % vender; el debate es de corto plazo (la caída del 15-oct, el Nasdaq, la «anomalía de octubre») y espera un rango de 39.000-42.000 JPY hasta los resultados del 30-oct, donde «lo bueno ya se da por hecho» y se busca sorpresa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(LSRCY)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noticias y transcripciones de resultados; el último análisis con debate es de junio de 2024 («debilidad como oportunidad»)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Smartkarma y Moomoo (posiciones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Lasertec figura entre los valores con más crédito al margen en Tokio y los particulares de SBI fueron vendedores netos en junio, en el máximo [51,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destaca como valor de crecimiento japonés con alta participación de directivos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1T (30-oct) y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pide +25,8 % de ventas; la cifra que mueve es la de pedidos, que la compañía no da por trimestres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apalancamiento de particulares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Volatilidad de 60 días del 84 % y mucho crédito al margen: caídas del 13-14 % en un día cuatro veces en un año [51].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semiconductores avanzados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en pedidos (237.504 M en FY2026), pero el negocio depende de tres clientes [48].</w:t>
            </w:r>
          </w:p>
        </w:tc>
      </w:tr>
    </w:tbl>
    <w:p>
      <w:pPr>
        <w:spacing w:after="160" w:before="0"/>
      </w:pPr>
    </w:p>
    <w:p>
      <w:pPr>
        <w:spacing w:after="100"/>
      </w:pPr>
      <w:r>
        <w:t xml:space="preserve">El inversor particular japonés domina la conversación y es de corto plazo: mucho crédito al margen y debate sobre el día a día. No señala un riesgo que el informe no recoja; confirma que la acción reacciona con fuerza a los resultados (−13,5 % el día después de los anuales) y que el 30-oct puede moverla en cualquier dirección. No hay euforia ni capitulación: el tablón está dividido con mayoría compradora.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52 (30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57,0 % frente a 59,8 % real: genera una variación de circulante de 27.336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(FY2029e)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-18,1 % frente al consenso: justifica la diferencia en el DCF. Explicación: Diferencia deliberada: suponemos pedidos de FY2027 en el punto medio de la guía (350.000 M frente a 300.000-400.000 M) [1] y una corrección cíclica en FY2030e como la de FY2025-FY2026, cuando los pedidos bajaron a 105.226 M con los de ACTIS en negativo y las ventas de FY2026 cayeron un 8,3 % [1, 3]; el consenso proyecta tres años seguidos de crecimiento de doble dígito (299.177, 388.100 y 461.943 M) [35]. Nuestro EBITDA de FY2029e queda un 18,1 % por debajo; FY2027e solo un 9,6 %, cerca de la guía de la empresa.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33,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yuho FY2026 en inglés (traducción parcial, sin la sección de auditoría); 2) yuho en japonés (PDF sin texto extraíble: fuentes CJK no incrustadas); 3) informe de gobierno de 2026 (solo nombra a PwC Japan)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FY2026: sin deuda financiera; 2) balance FY2024-FY2026: deuda 0;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competidores.ingresos (NuFlare, AMAT, Zeiss en inspección de máscaras)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los rivales: no separan la inspección de máscaras; 2) estudios de mercado (Market Intelo, DataHorizzon): sin cuotas por empresa; 3) KLA 10-K: no separa las máscaras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2025: sin calificaciones de agencias; 2) yuho y ESG Data Book (no descargado); 3) búsqueda MSCI/Sustainalytics en el informe integrado: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yuho FY2026 en inglés: la sección de remuneración no está traducida; 2) yuho en japonés: PDF sin texto extraíble; 3) informe de gobierno y convocatoria: solo el variable agregado (818 M JPY para cuatro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Japón no tiene registro público de operaciones de directivos; 2) informes de grandes participaciones (EDINET): ninguno de directivos; 3) convocatoria: acciones de cada consejero (10.610 Sendoda, 87.180 Okabayashi, 83.530 Kusunose)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inspección de máscaras: ninguna compra con precio publicado en 5-7 años (NuFlare es filial de Toshiba desde antes); 2) control de procesos: KLA-Orbotech (2019) y Nova-Ancosys (2021) sin múltiplos de EBITDA verificados en fuente primaria; 3) prensa: múltiplos con sinergias, no comprobables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JPX publica solo posiciones cortas por encima del 0,5 % del capital; 2) búsqueda en el listado de JPX no hecha por falta de tiempo; 3) Stock Analysis no da cortos en Japón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(no lo da); 2) Fact Sheet 2026 (composición por tipo de accionista sin flotante); 3) Yahoo (no lo da para Tokio)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the Year Ended June 30, 2026 (Japanese GAAP): cuenta, balance, flujos, ingresos por región y producto, pedidos y cartera,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https://ssl4.eir-parts.net/doc/6920/ir_material_for_fiscal_ym7/209786/00.pdf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Highlights [Excel]: series anuales FY2019-FY2026 y trimestrales (cuenta, balance, flujos, pedidos, cartera, regiones, productos,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https://ssl4.eir-parts.net/doc/6920/ir_material_for_fiscal_ym9/209785/00.xlsx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 - Fiscal Year ended June 2026 Financial Results (ventas y pedidos de ACTIS y MATRICS,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https://ssl4.eir-parts.net/doc/6920/ir_material_for_fiscal_ym5/209787/00.pdf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Briefing for the Fiscal Year Ended June 2026 (guion con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 / SCRIPTS 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https://ssl4.eir-parts.net/doc/6920/ir_material_for_fiscal_ym5/210010/00.pdf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Year Ended June 2026 - 1on1 FAQ (desglose de ventas y pedidos por producto, sensibilidad al tipo de cambio)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https://ssl4.eir-parts.net/doc/6920/ir_material_for_fiscal_ym9/209783/00.pdf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Securities Report (yuho) for Fiscal Year Ended June 30, 2026, traducción parcial (riesgos, clientes principales, gobierno)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https://ssl4.eir-parts.net/doc/6920/ir_material_for_fiscal_ym14/214098/00.pdf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June 30, 2025 (Japanese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https://ssl4.eir-parts.net/doc/6920/ir_material_for_fiscal_ym7/184432/00.pdf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June 30, 2024 (Japanese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https://ssl4.eir-parts.net/doc/6920/ir_material_for_fiscal_ym7/161105/00.pdf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June 30, 2023 (Japanese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https://ssl4.eir-parts.net/doc/6920/ir_material_for_fiscal_ym7/139401/00.pdf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June 30, 2022 (Japanese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https://ssl4.eir-parts.net/doc/6920/ir_material_for_fiscal_ym7/121946/00.pdf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June 30, 2021 (Japanese GAAP; incluye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https://ssl4.eir-parts.net/doc/6920/ir_material_for_fiscal_ym7/104519/00.pdf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 - Third Quarter of Fiscal Year Ending June 2026 Financial Results (guion con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 / SCRIPTS 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https://ssl4.eir-parts.net/doc/6920/ir_material_for_fiscal_ym5/202349/00.pdf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Third Quarter Ended March 31, 2026 (Japanese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https://ssl4.eir-parts.net/doc/6920/ir_material_for_fiscal_ym7/202350/00.pdf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2026 (series de cinco años, cotización al cierre,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https://ssl4.eir-parts.net/doc/6920/ir_material_for_fiscal_ym6/209869/00.pdf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Revised Forecast of Consolidated Financial Results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https://ssl4.eir-parts.net/doc/6920/tdnet/2747189/00.pdf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Share Buyback (hasta 1 millón de acciones y 12.000 M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https://ssl4.eir-parts.net/doc/6920/tdnet/2669212/00.pdf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Status and Completion of Share Buyback (560.600 acciones, 11.998 M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https://ssl4.eir-parts.net/doc/6920/tdnet/2731992/00.pdf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seller Scorpion Capital targets Lasertec with fraud allegations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https://fortune.com/2024/06/05/short-seller-scorpion-capital-lasertec-japan-semiconductors-chips-euv-fraud-allegations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Says Its Inventory Valued Properly, Actis Orders Strong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Tax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https://news.bloombergtax.com/financial-accounting/lasertec-says-its-inventory-valued-properly-actis-orders-strong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 (estrategia, tecnología, materialidad, clima)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https://ssl4.eir-parts.net/doc/6920/ir_material_for_fiscal_ym16/199172/00.pdf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Milestones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https://www.lasertec.co.jp/en/company/history.html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EUV Mask-related Inspection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https://www.lasertec.co.jp/en/ir/individuals/euv.html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Photomask Inspection Systems Market Research Report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Intelo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https://marketintelo.com/report/photomask-inspection-systems-market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Photomask Inspection System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DataHorizzon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https://datahorizzonresearch.com/photomask-inspection-system-market-76262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Form 10-K del ejercicio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https://www.sec.gov/Archives/edgar/data/319201/000031920126000027/klac-20260630.htm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Releases ACTIS A200HiT Series Actinic EUV Patterned Mask Inspection System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https://ssl4.eir-parts.net/doc/6920/tdnet/2705318/00.pdf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fell sharply after ASML shares declined on news that China has begun manufacturing DUV lithography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Moomoo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https://www.moomoo.com/news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64th Ordinary General Meeting of Shareholders (candidatos al consejo, trayectorias,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https://ssl4.eir-parts.net/doc/6920/ir_material10/284698/00.pdf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resultados de las votaciones de la 64.ª junta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https://ssl4.eir-parts.net/doc/6920/ir_material6/286373/00.pdf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(accionistas, consejo,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https://ssl4.eir-parts.net/doc/6920/tdnet/2887814/00.pdf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Changes to Members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https://ssl4.eir-parts.net/doc/6920/tdnet/2865492/00.pdf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Organizational Changes and Executive Officer Appointments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https://ssl4.eir-parts.net/doc/6920/tdnet/2887640/00.pdf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Resolutions Adopted at the 64th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https://ssl4.eir-parts.net/doc/6920/ir_material6/286398/00.pdf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(6920.T, 1305.T, 1625.T) hasta el 19-oct-2026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https://finance.yahoo.com/quote/6920.T/history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https://www.marketscreener.com/quote/stock/LASERTEC-CORPORATION-11551536/finances/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https://www.marketscreener.com/quote/stock/LASERTEC-CORPORATION-11551536/consensus/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(TYO:6920) Stock Forecast &amp; Price Target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https://stockanalysis.com/quote/tyo/6920/forecast/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jgbcme.csv: bono a 10 años del 16-oct-2026, 2,958 %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Hacienda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análisis de Advantest (Stock Analysis, 15-oct-2026; repositorio, informes/advantest-2026-10-15/notas/D.json)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vía 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14 al 19-oct-2026 de 8035.T, 6146.T, KLAC, LRCX, ASML, TER, ONTO, NVMI y USD/JPY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Macquarie keeps JPY 36,000 target for Lasertec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Lasertec stock tumbling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Shares Drop After Outlook Misses Market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https://www.bloomberg.com/news/articles/2026-02-01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Target Price Raised to ¥70,000 by Major U.S. Securities Firm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Morning Connection: Intel's Upsized Share Offering May Lift Suppliers Lasertec, Screen and TOK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Smartkarma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https://www.smartkarma.com/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Calendar / anuncio de resultados del 1T FY2027 el 30-oct-2026 (feed de eir-parts)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https://www.lasertec.co.jp/en/ir/calendar.html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Tablón de Yahoo! Finance Japón de レーザーテック (6920): mensajes y «evaluación de todos» de la última semana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https://finance.yahoo.co.jp/quote/6920.T/bbs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de noticias y análisis de LSRCY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https://seekingalpha.com/api/sa/combined/LSRCY.xml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Lasertec Stock Leads 3 Japanese Growth Picks With High Insider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JPX Margin Trading Weekly (Oct 2nd): Mitsubishi UFJ Financial, Advantest, Fujikura, Lasertec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Smartkarma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https://www.smartkarma.com/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SBI Securities (full-day trading) reported net selling of Lasertec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Moomoo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https://www.moomoo.com/news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82,3 %</w:t>
      </w:r>
      <w:r>
        <w:t xml:space="preserve"> · Secciones con menos del 60 % de campos cubiertos: </w:t>
      </w:r>
      <w:r>
        <w:rPr>
          <w:b/>
          <w:bCs/>
        </w:rPr>
        <w:t xml:space="preserve">capital, gobierno, transacciones</w:t>
      </w:r>
      <w:r>
        <w:t xml:space="preserve"> · Generado el 19 oct 2026.</w:t>
      </w:r>
    </w:p>
    <w:p>
      <w:pPr>
        <w:pStyle w:val="Nota"/>
        <w:spacing w:after="100"/>
      </w:pPr>
      <w:r>
        <w:t xml:space="preserve">Una sola línea: Bolsa de Tokio (Prime), código 6920; el ADR no patrocinado (LSRCY) no se usa. Japón no tiene XBRL público en el repo: las cuentas salen de los tanshin anuales J-GAAP FY2021-FY2026, del tanshin del 3T FY2026, de la hoja Financial Highlights y del yuho FY2026 (traducción parcial al inglés; el original japonés no tiene texto extraíble, así que la remuneración individual del consejero delegado y los años del auditor quedan como huecos). Ejercicio de julio a junio con la etiqueta del cierre: «FY2026» es julio de 2025-junio de 2026. El balance del puente es el de 30-jun-2026; el 1T FY2027 se publica el 30-oct-2026, once días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Lasertec Corporation (6920)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39.590,00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(20.355,00 – 58.580,00)</c:v>
                </c:pt>
                <c:pt idx="1">
                  <c:v>Precio objetivo de los analistas (34.000,00 – 70.000,00)</c:v>
                </c:pt>
                <c:pt idx="2">
                  <c:v>Comparables: PER NTM (32.442,77 – 38.226,18)</c:v>
                </c:pt>
                <c:pt idx="3">
                  <c:v>DCF (WACC y g ± 0,5) (13.803,76 – 16.224,49)</c:v>
                </c:pt>
                <c:pt idx="4">
                  <c:v>Escenarios (bajista – alcista) (8.108,16 – 19.061,44)</c:v>
                </c:pt>
                <c:pt idx="5">
                  <c:v>DCF con la prima implícita del mercado (4,2 %)</c:v>
                </c:pt>
                <c:pt idx="6">
                  <c:v>Precio actual (39.590,00)</c:v>
                </c:pt>
              </c:strCache>
            </c:strRef>
          </c:cat>
          <c:val>
            <c:numRef>
              <c:f>Hoja1!$B$2:$B$8</c:f>
              <c:numCache>
                <c:formatCode>#,##0</c:formatCode>
                <c:ptCount val="7"/>
                <c:pt idx="0">
                  <c:v>20355</c:v>
                </c:pt>
                <c:pt idx="1">
                  <c:v>34000</c:v>
                </c:pt>
                <c:pt idx="2">
                  <c:v>32442.77</c:v>
                </c:pt>
                <c:pt idx="3">
                  <c:v>13803.76</c:v>
                </c:pt>
                <c:pt idx="4">
                  <c:v>8108.16</c:v>
                </c:pt>
                <c:pt idx="5">
                  <c:v>17812.67</c:v>
                </c:pt>
                <c:pt idx="6">
                  <c:v>39392.05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(20.355,00 – 58.580,00)</c:v>
                </c:pt>
                <c:pt idx="1">
                  <c:v>Precio objetivo de los analistas (34.000,00 – 70.000,00)</c:v>
                </c:pt>
                <c:pt idx="2">
                  <c:v>Comparables: PER NTM (32.442,77 – 38.226,18)</c:v>
                </c:pt>
                <c:pt idx="3">
                  <c:v>DCF (WACC y g ± 0,5) (13.803,76 – 16.224,49)</c:v>
                </c:pt>
                <c:pt idx="4">
                  <c:v>Escenarios (bajista – alcista) (8.108,16 – 19.061,44)</c:v>
                </c:pt>
                <c:pt idx="5">
                  <c:v>DCF con la prima implícita del mercado (4,2 %)</c:v>
                </c:pt>
                <c:pt idx="6">
                  <c:v>Precio actual (39.590,00)</c:v>
                </c:pt>
              </c:strCache>
            </c:strRef>
          </c:cat>
          <c:val>
            <c:numRef>
              <c:f>Hoja1!$C$2:$C$8</c:f>
              <c:numCache>
                <c:formatCode>#,##0</c:formatCode>
                <c:ptCount val="7"/>
                <c:pt idx="0">
                  <c:v>38225</c:v>
                </c:pt>
                <c:pt idx="1">
                  <c:v>36000</c:v>
                </c:pt>
                <c:pt idx="2">
                  <c:v>5783.41</c:v>
                </c:pt>
                <c:pt idx="3">
                  <c:v>2420.7299999999996</c:v>
                </c:pt>
                <c:pt idx="4">
                  <c:v>10953.279999999999</c:v>
                </c:pt>
                <c:pt idx="5">
                  <c:v>2686.1100000000006</c:v>
                </c:pt>
                <c:pt idx="6">
                  <c:v>395.8999999999942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Equipos para semiconductores</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34372</c:v>
                </c:pt>
                <c:pt idx="1">
                  <c:v>58401</c:v>
                </c:pt>
                <c:pt idx="2">
                  <c:v>75971</c:v>
                </c:pt>
                <c:pt idx="3">
                  <c:v>130730</c:v>
                </c:pt>
                <c:pt idx="4">
                  <c:v>181752</c:v>
                </c:pt>
                <c:pt idx="5">
                  <c:v>202965</c:v>
                </c:pt>
                <c:pt idx="6">
                  <c:v>168090</c:v>
                </c:pt>
              </c:numCache>
            </c:numRef>
          </c:val>
        </c:ser>
        <c:ser>
          <c:idx val="1"/>
          <c:order val="1"/>
          <c:tx>
            <c:strRef>
              <c:f>Hoja1!$C$1</c:f>
              <c:strCache>
                <c:ptCount val="1"/>
                <c:pt idx="0">
                  <c:v>Otros equipos</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2150</c:v>
                </c:pt>
                <c:pt idx="1">
                  <c:v>3638</c:v>
                </c:pt>
                <c:pt idx="2">
                  <c:v>1983</c:v>
                </c:pt>
                <c:pt idx="3">
                  <c:v>3179</c:v>
                </c:pt>
                <c:pt idx="4">
                  <c:v>2783</c:v>
                </c:pt>
                <c:pt idx="5">
                  <c:v>5552</c:v>
                </c:pt>
                <c:pt idx="6">
                  <c:v>3747</c:v>
                </c:pt>
              </c:numCache>
            </c:numRef>
          </c:val>
        </c:ser>
        <c:ser>
          <c:idx val="2"/>
          <c:order val="2"/>
          <c:tx>
            <c:strRef>
              <c:f>Hoja1!$D$1</c:f>
              <c:strCache>
                <c:ptCount val="1"/>
                <c:pt idx="0">
                  <c:v>Servicios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6049</c:v>
                </c:pt>
                <c:pt idx="1">
                  <c:v>8208</c:v>
                </c:pt>
                <c:pt idx="2">
                  <c:v>12423</c:v>
                </c:pt>
                <c:pt idx="3">
                  <c:v>18922</c:v>
                </c:pt>
                <c:pt idx="4">
                  <c:v>28970</c:v>
                </c:pt>
                <c:pt idx="5">
                  <c:v>42959</c:v>
                </c:pt>
                <c:pt idx="6">
                  <c:v>58646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Equipos para semiconductores</c:v>
                </c:pt>
                <c:pt idx="1">
                  <c:v>Otros equipos</c:v>
                </c:pt>
                <c:pt idx="2">
                  <c:v>Servicios</c:v>
                </c:pt>
              </c:strCache>
            </c:strRef>
          </c:cat>
          <c:val>
            <c:numRef>
              <c:f>Hoja1!$B$2:$B$4</c:f>
              <c:numCache>
                <c:formatCode>General</c:formatCode>
                <c:ptCount val="3"/>
                <c:pt idx="0">
                  <c:v>72.9</c:v>
                </c:pt>
                <c:pt idx="1">
                  <c:v>1.6</c:v>
                </c:pt>
                <c:pt idx="2">
                  <c:v>25.4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Corea</c:v>
                </c:pt>
                <c:pt idx="1">
                  <c:v>EE. UU.</c:v>
                </c:pt>
                <c:pt idx="2">
                  <c:v>Taiwán</c:v>
                </c:pt>
                <c:pt idx="3">
                  <c:v>Otros de Asia (incl. China)</c:v>
                </c:pt>
                <c:pt idx="4">
                  <c:v>Japón</c:v>
                </c:pt>
                <c:pt idx="5">
                  <c:v>Europa</c:v>
                </c:pt>
              </c:strCache>
            </c:strRef>
          </c:cat>
          <c:val>
            <c:numRef>
              <c:f>Hoja1!$B$2:$B$7</c:f>
              <c:numCache>
                <c:formatCode>0"%"</c:formatCode>
                <c:ptCount val="6"/>
                <c:pt idx="0">
                  <c:v>28.7</c:v>
                </c:pt>
                <c:pt idx="1">
                  <c:v>22.4</c:v>
                </c:pt>
                <c:pt idx="2">
                  <c:v>19.9</c:v>
                </c:pt>
                <c:pt idx="3">
                  <c:v>13.5</c:v>
                </c:pt>
                <c:pt idx="4">
                  <c:v>12.2</c:v>
                </c:pt>
                <c:pt idx="5">
                  <c:v>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2019</c:v>
                </c:pt>
                <c:pt idx="1">
                  <c:v>2022</c:v>
                </c:pt>
                <c:pt idx="2">
                  <c:v>2025</c:v>
                </c:pt>
                <c:pt idx="3">
                  <c:v>2030e</c:v>
                </c:pt>
                <c:pt idx="4">
                  <c:v>2034e</c:v>
                </c:pt>
              </c:strCache>
            </c:strRef>
          </c:cat>
          <c:val>
            <c:numRef>
              <c:f>Hoja1!$B$2:$B$6</c:f>
              <c:numCache>
                <c:formatCode>#,##0</c:formatCode>
                <c:ptCount val="5"/>
                <c:pt idx="0">
                  <c:v>1200</c:v>
                </c:pt>
                <c:pt idx="1">
                  <c:v>1500</c:v>
                </c:pt>
                <c:pt idx="2">
                  <c:v>1800</c:v>
                </c:pt>
                <c:pt idx="3">
                  <c:v>2550</c:v>
                </c:pt>
                <c:pt idx="4">
                  <c:v>3400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Lasertec</c:v>
                </c:pt>
                <c:pt idx="1">
                  <c:v>KLA</c:v>
                </c:pt>
                <c:pt idx="2">
                  <c:v>NuFlare Technology (Toshiba)</c:v>
                </c:pt>
                <c:pt idx="3">
                  <c:v>Applied Materials</c:v>
                </c:pt>
                <c:pt idx="4">
                  <c:v>Carl Zeiss SMT</c:v>
                </c:pt>
              </c:strCache>
            </c:strRef>
          </c:cat>
          <c:val>
            <c:numRef>
              <c:f>Hoja1!$B$2:$B$6</c:f>
              <c:numCache>
                <c:formatCode>0.0"%"</c:formatCode>
                <c:ptCount val="5"/>
                <c:pt idx="0">
                  <c:v>45.7</c:v>
                </c:pt>
                <c:pt idx="1">
                  <c:v>41.7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Hoja1!$B$2:$B$18</c:f>
              <c:numCache>
                <c:formatCode>#,##0</c:formatCode>
                <c:ptCount val="17"/>
                <c:pt idx="0">
                  <c:v>42572</c:v>
                </c:pt>
                <c:pt idx="1">
                  <c:v>70248</c:v>
                </c:pt>
                <c:pt idx="2">
                  <c:v>90378</c:v>
                </c:pt>
                <c:pt idx="3">
                  <c:v>152832</c:v>
                </c:pt>
                <c:pt idx="4">
                  <c:v>213506</c:v>
                </c:pt>
                <c:pt idx="5">
                  <c:v>251477</c:v>
                </c:pt>
                <c:pt idx="6">
                  <c:v>230485</c:v>
                </c:pt>
                <c:pt idx="7">
                  <c:v>289950</c:v>
                </c:pt>
                <c:pt idx="8">
                  <c:v>353739</c:v>
                </c:pt>
                <c:pt idx="9">
                  <c:v>396188</c:v>
                </c:pt>
                <c:pt idx="10">
                  <c:v>356569</c:v>
                </c:pt>
                <c:pt idx="11">
                  <c:v>406489</c:v>
                </c:pt>
                <c:pt idx="12">
                  <c:v>447138</c:v>
                </c:pt>
                <c:pt idx="13">
                  <c:v>482909</c:v>
                </c:pt>
                <c:pt idx="14">
                  <c:v>511883</c:v>
                </c:pt>
                <c:pt idx="15">
                  <c:v>532358</c:v>
                </c:pt>
                <c:pt idx="16">
                  <c:v>548329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Hoja1!$C$2:$C$18</c:f>
              <c:numCache>
                <c:formatCode>#,##0</c:formatCode>
                <c:ptCount val="17"/>
                <c:pt idx="0">
                  <c:v>15943</c:v>
                </c:pt>
                <c:pt idx="1">
                  <c:v>27716</c:v>
                </c:pt>
                <c:pt idx="2">
                  <c:v>35975</c:v>
                </c:pt>
                <c:pt idx="3">
                  <c:v>65773</c:v>
                </c:pt>
                <c:pt idx="4">
                  <c:v>86101</c:v>
                </c:pt>
                <c:pt idx="5">
                  <c:v>127519</c:v>
                </c:pt>
                <c:pt idx="6">
                  <c:v>109933</c:v>
                </c:pt>
                <c:pt idx="7">
                  <c:v>128448</c:v>
                </c:pt>
                <c:pt idx="8">
                  <c:v>162720</c:v>
                </c:pt>
                <c:pt idx="9">
                  <c:v>184227</c:v>
                </c:pt>
                <c:pt idx="10">
                  <c:v>149759</c:v>
                </c:pt>
                <c:pt idx="11">
                  <c:v>178855</c:v>
                </c:pt>
                <c:pt idx="12">
                  <c:v>198976</c:v>
                </c:pt>
                <c:pt idx="13">
                  <c:v>212480</c:v>
                </c:pt>
                <c:pt idx="14">
                  <c:v>222669</c:v>
                </c:pt>
                <c:pt idx="15">
                  <c:v>228914</c:v>
                </c:pt>
                <c:pt idx="16">
                  <c:v>233040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54</c:v>
                </c:pt>
                <c:pt idx="1">
                  <c:v>52.6</c:v>
                </c:pt>
                <c:pt idx="2">
                  <c:v>52.9</c:v>
                </c:pt>
                <c:pt idx="3">
                  <c:v>55</c:v>
                </c:pt>
                <c:pt idx="4">
                  <c:v>50.3</c:v>
                </c:pt>
                <c:pt idx="5">
                  <c:v>59</c:v>
                </c:pt>
                <c:pt idx="6">
                  <c:v>59.2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37.4</c:v>
                </c:pt>
                <c:pt idx="1">
                  <c:v>39.5</c:v>
                </c:pt>
                <c:pt idx="2">
                  <c:v>39.8</c:v>
                </c:pt>
                <c:pt idx="3">
                  <c:v>43</c:v>
                </c:pt>
                <c:pt idx="4">
                  <c:v>40.3</c:v>
                </c:pt>
                <c:pt idx="5">
                  <c:v>50.7</c:v>
                </c:pt>
                <c:pt idx="6">
                  <c:v>47.7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35.4</c:v>
                </c:pt>
                <c:pt idx="1">
                  <c:v>37.1</c:v>
                </c:pt>
                <c:pt idx="2">
                  <c:v>36</c:v>
                </c:pt>
                <c:pt idx="3">
                  <c:v>40.8</c:v>
                </c:pt>
                <c:pt idx="4">
                  <c:v>38.1</c:v>
                </c:pt>
                <c:pt idx="5">
                  <c:v>48.8</c:v>
                </c:pt>
                <c:pt idx="6">
                  <c:v>45.7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Hoja1!$E$2:$E$8</c:f>
              <c:numCache>
                <c:formatCode>0"%"</c:formatCode>
                <c:ptCount val="7"/>
                <c:pt idx="0">
                  <c:v>25.4</c:v>
                </c:pt>
                <c:pt idx="1">
                  <c:v>27.4</c:v>
                </c:pt>
                <c:pt idx="2">
                  <c:v>27.5</c:v>
                </c:pt>
                <c:pt idx="3">
                  <c:v>30.2</c:v>
                </c:pt>
                <c:pt idx="4">
                  <c:v>27.7</c:v>
                </c:pt>
                <c:pt idx="5">
                  <c:v>33.7</c:v>
                </c:pt>
                <c:pt idx="6">
                  <c:v>33.6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-22.3</c:v>
                </c:pt>
                <c:pt idx="1">
                  <c:v>93.4</c:v>
                </c:pt>
                <c:pt idx="2">
                  <c:v>-35.9</c:v>
                </c:pt>
                <c:pt idx="3">
                  <c:v>46.8</c:v>
                </c:pt>
                <c:pt idx="4">
                  <c:v>47.5</c:v>
                </c:pt>
                <c:pt idx="5">
                  <c:v>-19.7</c:v>
                </c:pt>
                <c:pt idx="6">
                  <c:v>3.5</c:v>
                </c:pt>
                <c:pt idx="7">
                  <c:v>-26.3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49</c:v>
                </c:pt>
                <c:pt idx="1">
                  <c:v>41</c:v>
                </c:pt>
                <c:pt idx="2">
                  <c:v>42</c:v>
                </c:pt>
                <c:pt idx="3">
                  <c:v>52</c:v>
                </c:pt>
                <c:pt idx="4">
                  <c:v>39</c:v>
                </c:pt>
                <c:pt idx="5">
                  <c:v>36</c:v>
                </c:pt>
                <c:pt idx="6">
                  <c:v>43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635</c:v>
                </c:pt>
                <c:pt idx="1">
                  <c:v>591</c:v>
                </c:pt>
                <c:pt idx="2">
                  <c:v>892</c:v>
                </c:pt>
                <c:pt idx="3">
                  <c:v>807</c:v>
                </c:pt>
                <c:pt idx="4">
                  <c:v>559</c:v>
                </c:pt>
                <c:pt idx="5">
                  <c:v>598</c:v>
                </c:pt>
                <c:pt idx="6">
                  <c:v>651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93</c:v>
                </c:pt>
                <c:pt idx="1">
                  <c:v>71</c:v>
                </c:pt>
                <c:pt idx="2">
                  <c:v>94</c:v>
                </c:pt>
                <c:pt idx="3">
                  <c:v>90</c:v>
                </c:pt>
                <c:pt idx="4">
                  <c:v>40</c:v>
                </c:pt>
                <c:pt idx="5">
                  <c:v>34</c:v>
                </c:pt>
                <c:pt idx="6">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14687</c:v>
                </c:pt>
                <c:pt idx="1">
                  <c:v>6849</c:v>
                </c:pt>
                <c:pt idx="2">
                  <c:v>-8829</c:v>
                </c:pt>
                <c:pt idx="3">
                  <c:v>20003</c:v>
                </c:pt>
                <c:pt idx="4">
                  <c:v>29785</c:v>
                </c:pt>
                <c:pt idx="5">
                  <c:v>75551</c:v>
                </c:pt>
                <c:pt idx="6">
                  <c:v>46749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10823</c:v>
                </c:pt>
                <c:pt idx="1">
                  <c:v>19250</c:v>
                </c:pt>
                <c:pt idx="2">
                  <c:v>24850</c:v>
                </c:pt>
                <c:pt idx="3">
                  <c:v>46164</c:v>
                </c:pt>
                <c:pt idx="4">
                  <c:v>59076</c:v>
                </c:pt>
                <c:pt idx="5">
                  <c:v>84652</c:v>
                </c:pt>
                <c:pt idx="6">
                  <c:v>77485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74.6</c:v>
                </c:pt>
                <c:pt idx="1">
                  <c:v>91</c:v>
                </c:pt>
                <c:pt idx="2">
                  <c:v>55.6</c:v>
                </c:pt>
                <c:pt idx="3">
                  <c:v>62.9</c:v>
                </c:pt>
                <c:pt idx="4">
                  <c:v>59.3</c:v>
                </c:pt>
                <c:pt idx="5">
                  <c:v>73.5</c:v>
                </c:pt>
                <c:pt idx="6">
                  <c:v>54.2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11.5</c:v>
                </c:pt>
                <c:pt idx="1">
                  <c:v>11.5</c:v>
                </c:pt>
                <c:pt idx="2">
                  <c:v>11.5</c:v>
                </c:pt>
                <c:pt idx="3">
                  <c:v>11.5</c:v>
                </c:pt>
                <c:pt idx="4">
                  <c:v>11.5</c:v>
                </c:pt>
                <c:pt idx="5">
                  <c:v>11.5</c:v>
                </c:pt>
                <c:pt idx="6">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27.6</c:v>
                </c:pt>
                <c:pt idx="1">
                  <c:v>40.8</c:v>
                </c:pt>
                <c:pt idx="2">
                  <c:v>38.8</c:v>
                </c:pt>
                <c:pt idx="3">
                  <c:v>50.8</c:v>
                </c:pt>
                <c:pt idx="4">
                  <c:v>45.4</c:v>
                </c:pt>
                <c:pt idx="5">
                  <c:v>46.9</c:v>
                </c:pt>
                <c:pt idx="6">
                  <c:v>33.9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0.0"x"</c:formatCode>
                <c:ptCount val="7"/>
                <c:pt idx="0">
                  <c:v>-1.55</c:v>
                </c:pt>
                <c:pt idx="1">
                  <c:v>-1.01</c:v>
                </c:pt>
                <c:pt idx="2">
                  <c:v>-0.38</c:v>
                </c:pt>
                <c:pt idx="3">
                  <c:v>-0.38</c:v>
                </c:pt>
                <c:pt idx="4">
                  <c:v>-0.44</c:v>
                </c:pt>
                <c:pt idx="5">
                  <c:v>-0.68</c:v>
                </c:pt>
                <c:pt idx="6">
                  <c:v>-0.83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2796</c:v>
                </c:pt>
                <c:pt idx="1">
                  <c:v>4238</c:v>
                </c:pt>
                <c:pt idx="2">
                  <c:v>7846</c:v>
                </c:pt>
                <c:pt idx="3">
                  <c:v>10551</c:v>
                </c:pt>
                <c:pt idx="4">
                  <c:v>18127</c:v>
                </c:pt>
                <c:pt idx="5">
                  <c:v>24531</c:v>
                </c:pt>
                <c:pt idx="6">
                  <c:v>31131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c:v>
                </c:pt>
                <c:pt idx="1">
                  <c:v>0</c:v>
                </c:pt>
                <c:pt idx="2">
                  <c:v>0</c:v>
                </c:pt>
                <c:pt idx="3">
                  <c:v>0</c:v>
                </c:pt>
                <c:pt idx="4">
                  <c:v>0</c:v>
                </c:pt>
                <c:pt idx="5">
                  <c:v>0</c:v>
                </c:pt>
                <c:pt idx="6">
                  <c:v>12003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The Master Trust Bank of Japan (cuenta fiduciaria)</c:v>
                </c:pt>
                <c:pt idx="1">
                  <c:v>Custody Bank of Japan (cuenta fiduciaria)</c:v>
                </c:pt>
                <c:pt idx="2">
                  <c:v>State Street Bank and Trust Company 505001</c:v>
                </c:pt>
                <c:pt idx="3">
                  <c:v>Hiroshi Uchiyama</c:v>
                </c:pt>
                <c:pt idx="4">
                  <c:v>Setsuko Maeda</c:v>
                </c:pt>
                <c:pt idx="5">
                  <c:v>Uchiyama Holdings</c:v>
                </c:pt>
                <c:pt idx="6">
                  <c:v>Haruka Takahashi</c:v>
                </c:pt>
                <c:pt idx="7">
                  <c:v>Autocartera</c:v>
                </c:pt>
              </c:strCache>
            </c:strRef>
          </c:cat>
          <c:val>
            <c:numRef>
              <c:f>Hoja1!$B$2:$B$9</c:f>
              <c:numCache>
                <c:formatCode>0.0"%"</c:formatCode>
                <c:ptCount val="8"/>
                <c:pt idx="0">
                  <c:v>20.59</c:v>
                </c:pt>
                <c:pt idx="1">
                  <c:v>6.92</c:v>
                </c:pt>
                <c:pt idx="2">
                  <c:v>3.58</c:v>
                </c:pt>
                <c:pt idx="3">
                  <c:v>3.13</c:v>
                </c:pt>
                <c:pt idx="4">
                  <c:v>3.05</c:v>
                </c:pt>
                <c:pt idx="5">
                  <c:v>1.64</c:v>
                </c:pt>
                <c:pt idx="6">
                  <c:v>1.6</c:v>
                </c:pt>
                <c:pt idx="7">
                  <c:v>4.94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72.4</c:v>
                </c:pt>
                <c:pt idx="1">
                  <c:v>154.5</c:v>
                </c:pt>
                <c:pt idx="2">
                  <c:v>-0.3</c:v>
                </c:pt>
                <c:pt idx="3">
                  <c:v>301.1</c:v>
                </c:pt>
                <c:pt idx="4">
                  <c:v>118.7</c:v>
                </c:pt>
                <c:pt idx="5">
                  <c:v>192.1</c:v>
                </c:pt>
                <c:pt idx="6">
                  <c:v>-38</c:v>
                </c:pt>
                <c:pt idx="7">
                  <c:v>72.3</c:v>
                </c:pt>
                <c:pt idx="8">
                  <c:v>-58.7</c:v>
                </c:pt>
                <c:pt idx="9">
                  <c:v>98.3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0.0"x"</c:formatCode>
                <c:ptCount val="7"/>
                <c:pt idx="0">
                  <c:v>56</c:v>
                </c:pt>
                <c:pt idx="1">
                  <c:v>69.3</c:v>
                </c:pt>
                <c:pt idx="2">
                  <c:v>40.1</c:v>
                </c:pt>
                <c:pt idx="3">
                  <c:v>29.2</c:v>
                </c:pt>
                <c:pt idx="4">
                  <c:v>37.4</c:v>
                </c:pt>
                <c:pt idx="5">
                  <c:v>13.1</c:v>
                </c:pt>
                <c:pt idx="6">
                  <c:v>39.8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0.0"x"</c:formatCode>
                <c:ptCount val="7"/>
                <c:pt idx="0">
                  <c:v>38.6</c:v>
                </c:pt>
                <c:pt idx="1">
                  <c:v>38.6</c:v>
                </c:pt>
                <c:pt idx="2">
                  <c:v>38.6</c:v>
                </c:pt>
                <c:pt idx="3">
                  <c:v>38.6</c:v>
                </c:pt>
                <c:pt idx="4">
                  <c:v>38.6</c:v>
                </c:pt>
                <c:pt idx="5">
                  <c:v>38.6</c:v>
                </c:pt>
                <c:pt idx="6">
                  <c:v>38.6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Lasertec</c:v>
                </c:pt>
                <c:pt idx="1">
                  <c:v>Tokyo Electron</c:v>
                </c:pt>
                <c:pt idx="2">
                  <c:v>Disco</c:v>
                </c:pt>
                <c:pt idx="3">
                  <c:v>KLA</c:v>
                </c:pt>
                <c:pt idx="4">
                  <c:v>Lam Research</c:v>
                </c:pt>
                <c:pt idx="5">
                  <c:v>ASML</c:v>
                </c:pt>
                <c:pt idx="6">
                  <c:v>Teradyne</c:v>
                </c:pt>
                <c:pt idx="7">
                  <c:v>Onto Innovation</c:v>
                </c:pt>
                <c:pt idx="8">
                  <c:v>Nova</c:v>
                </c:pt>
              </c:strCache>
            </c:strRef>
          </c:cat>
          <c:val>
            <c:numRef>
              <c:f>Hoja1!$B$2:$B$10</c:f>
              <c:numCache>
                <c:formatCode>0.0"x"</c:formatCode>
                <c:ptCount val="9"/>
                <c:pt idx="0">
                  <c:v>22.2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59739</c:v>
                </c:pt>
                <c:pt idx="1">
                  <c:v>92109</c:v>
                </c:pt>
                <c:pt idx="2">
                  <c:v>119267</c:v>
                </c:pt>
                <c:pt idx="3">
                  <c:v>120488</c:v>
                </c:pt>
                <c:pt idx="4">
                  <c:v>97528</c:v>
                </c:pt>
                <c:pt idx="5">
                  <c:v>115725</c:v>
                </c:pt>
                <c:pt idx="6">
                  <c:v>127159</c:v>
                </c:pt>
                <c:pt idx="7">
                  <c:v>137251</c:v>
                </c:pt>
                <c:pt idx="8">
                  <c:v>145474</c:v>
                </c:pt>
                <c:pt idx="9">
                  <c:v>150335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669821</c:v>
                </c:pt>
                <c:pt idx="1">
                  <c:v>590645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39.590,00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8108.16</c:v>
                </c:pt>
                <c:pt idx="1">
                  <c:v>14886.9</c:v>
                </c:pt>
                <c:pt idx="2">
                  <c:v>19061.44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39.590,00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(20.355,00 – 58.580,00)</c:v>
                </c:pt>
                <c:pt idx="1">
                  <c:v>Precio objetivo de los analistas (34.000,00 – 70.000,00)</c:v>
                </c:pt>
                <c:pt idx="2">
                  <c:v>Comparables: PER NTM (32.442,77 – 38.226,18)</c:v>
                </c:pt>
                <c:pt idx="3">
                  <c:v>DCF (WACC y g ± 0,5) (13.803,76 – 16.224,49)</c:v>
                </c:pt>
                <c:pt idx="4">
                  <c:v>Escenarios (bajista – alcista) (8.108,16 – 19.061,44)</c:v>
                </c:pt>
                <c:pt idx="5">
                  <c:v>DCF con la prima implícita del mercado (4,2 %)</c:v>
                </c:pt>
                <c:pt idx="6">
                  <c:v>Precio actual (39.590,00)</c:v>
                </c:pt>
              </c:strCache>
            </c:strRef>
          </c:cat>
          <c:val>
            <c:numRef>
              <c:f>Hoja1!$B$2:$B$8</c:f>
              <c:numCache>
                <c:formatCode>#,##0</c:formatCode>
                <c:ptCount val="7"/>
                <c:pt idx="0">
                  <c:v>20355</c:v>
                </c:pt>
                <c:pt idx="1">
                  <c:v>34000</c:v>
                </c:pt>
                <c:pt idx="2">
                  <c:v>32442.77</c:v>
                </c:pt>
                <c:pt idx="3">
                  <c:v>13803.76</c:v>
                </c:pt>
                <c:pt idx="4">
                  <c:v>8108.16</c:v>
                </c:pt>
                <c:pt idx="5">
                  <c:v>17812.67</c:v>
                </c:pt>
                <c:pt idx="6">
                  <c:v>39392.05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(20.355,00 – 58.580,00)</c:v>
                </c:pt>
                <c:pt idx="1">
                  <c:v>Precio objetivo de los analistas (34.000,00 – 70.000,00)</c:v>
                </c:pt>
                <c:pt idx="2">
                  <c:v>Comparables: PER NTM (32.442,77 – 38.226,18)</c:v>
                </c:pt>
                <c:pt idx="3">
                  <c:v>DCF (WACC y g ± 0,5) (13.803,76 – 16.224,49)</c:v>
                </c:pt>
                <c:pt idx="4">
                  <c:v>Escenarios (bajista – alcista) (8.108,16 – 19.061,44)</c:v>
                </c:pt>
                <c:pt idx="5">
                  <c:v>DCF con la prima implícita del mercado (4,2 %)</c:v>
                </c:pt>
                <c:pt idx="6">
                  <c:v>Precio actual (39.590,00)</c:v>
                </c:pt>
              </c:strCache>
            </c:strRef>
          </c:cat>
          <c:val>
            <c:numRef>
              <c:f>Hoja1!$C$2:$C$8</c:f>
              <c:numCache>
                <c:formatCode>#,##0</c:formatCode>
                <c:ptCount val="7"/>
                <c:pt idx="0">
                  <c:v>38225</c:v>
                </c:pt>
                <c:pt idx="1">
                  <c:v>36000</c:v>
                </c:pt>
                <c:pt idx="2">
                  <c:v>5783.41</c:v>
                </c:pt>
                <c:pt idx="3">
                  <c:v>2420.7299999999996</c:v>
                </c:pt>
                <c:pt idx="4">
                  <c:v>10953.279999999999</c:v>
                </c:pt>
                <c:pt idx="5">
                  <c:v>2686.1100000000006</c:v>
                </c:pt>
                <c:pt idx="6">
                  <c:v>395.8999999999942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