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Ningbo Deye Technology Group Co., Ltd. (宁波德业科技股份有限公司)</w:t>
      </w:r>
    </w:p>
    <w:p>
      <w:pPr>
        <w:spacing w:after="60"/>
        <w:rPr>
          <w:color w:val="52514E"/>
          <w:sz w:val="22"/>
          <w:szCs w:val="22"/>
        </w:rPr>
      </w:pPr>
      <w:r>
        <w:rPr>
          <w:color w:val="52514E"/>
          <w:sz w:val="22"/>
          <w:szCs w:val="22"/>
        </w:rPr>
        <w:t xml:space="preserve">605117.SS · Bolsa de Shanghái (consejo principal, acciones A); compra desde el extranjero solo por Shanghai-Hong Kong Stock Connect · ISIN CNE1000052S3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CNY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71,35 CNY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71,18 CNY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+2,7 % (base +10,0 %)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76,72 CNY · mercado 89,57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90.807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Ningbo Deye Technology Group Co., Ltd. (宁波德业科技股份有限公司)</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605117.SS / CNE1000052S3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Shanghái (consejo principal, acciones A); compra desde el extranjero solo por Shanghai-Hong Kong Stock Connect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CSI 300 (ETF 510300.SS)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 (inversores y almacenamiento)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Ningbo (Zhejiang) · 2000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https://www.deye.com.cn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71,35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50,79 – 126,90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90.807 M CNY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81.439 M CNY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1168 M CNY/día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71,18 CNY</w:t>
      </w:r>
      <w:r>
        <w:t xml:space="preserve"> frente a 71,35 · Rentabilidad a 12 meses </w:t>
      </w:r>
      <w:r>
        <w:rPr>
          <w:b/>
          <w:bCs/>
        </w:rPr>
        <w:t xml:space="preserve">+2,7 % (base +10,0 %)</w:t>
      </w:r>
      <w:r>
        <w:t xml:space="preserve"> · Valor intrínseco 76,72 CNY · con la prima implícita del mercado: 89,57 (+25,5 %) · Alcista / bajista +50,0 % / -48,9 %</w:t>
      </w:r>
    </w:p>
    <w:p>
      <w:pPr>
        <w:spacing w:after="100"/>
      </w:pPr>
      <w:r>
        <w:rPr>
          <w:b/>
        </w:rPr>
        <w:t xml:space="preserve">La recomendación y por qué.</w:t>
      </w:r>
      <w:r>
        <w:t xml:space="preserve"> Mantener, con convicción baja. El objetivo a 12 meses es de 71,18 CNY (ponderado) y 76,43 CNY en el caso base, frente a un precio de 71,35 CNY: la rentabilidad a 12 meses, con el dividendo, es del 2,7 % ponderada y del 10,0 % en el base, lejos del 15 % que pide comprar. El valor intrínseco (76,72 CNY, +7,5 %) dice lo mismo: la acción está en precio. Los analistas (objetivo medio de 135,48 CNY) quedan muy por encima de nuestro rango (de 36,49 a 107,06 CNY), porque pagan 20 veces el beneficio y nosotros aplicamos 13,6, la mediana de los tres últimos años. La convicción es baja porque las reglas discrepan (la relativa daría comprar, la absoluta mantener) y la asimetría es de 1,02; subiría con un precio por debajo de 63,69 CNY o con un 4T26 que confirme que 2027e no cae.</w:t>
      </w:r>
    </w:p>
    <w:p>
      <w:pPr>
        <w:spacing w:after="100"/>
      </w:pPr>
      <w:r>
        <w:rPr>
          <w:b/>
        </w:rPr>
        <w:t xml:space="preserve">El negocio.</w:t>
      </w:r>
      <w:r>
        <w:t xml:space="preserve"> Deye es el primer fabricante mundial de inversores de almacenamiento residencial (20,6 % por ingresos) y vende baterías al mismo cliente [9]. Su margen EBITDA del 29,6 % en 2025 duplica la mediana de los comparables y su ROIC es altísimo (183,5 % en el motor, 21,5 % con toda la caja en el capital) frente a un WACC del 8,84 %, porque el circulante es negativo [9]. La sostenibilidad del crecimiento es «Sí»: crecer un 11,0 % anual en 2027-2031e apenas pide capital y supone perder cuota (del 10,2 % al 8,0 %), no ganarla.</w:t>
      </w:r>
    </w:p>
    <w:p>
      <w:pPr>
        <w:spacing w:after="100"/>
      </w:pPr>
      <w:r>
        <w:rPr>
          <w:b/>
        </w:rPr>
        <w:t xml:space="preserve">Sector y ciclo.</w:t>
      </w:r>
      <w:r>
        <w:t xml:space="preserve"> Estamos en la fase alta: el beneficio de 9M26 crece un 80-84 % por la crisis energética, Ucrania, Australia y los apagones de Asia y África [10]. El canal ya cayó un 59 % en dos trimestres en 2023 [3]. Desde mayo, la UE excluye de sus fondos los inversores chinos y estudia extenderlo al mercado privado; Europa es el 32,7 % de las ventas [9, 17].</w:t>
      </w:r>
    </w:p>
    <w:p>
      <w:pPr>
        <w:spacing w:after="100"/>
      </w:pPr>
      <w:r>
        <w:rPr>
          <w:b/>
        </w:rPr>
        <w:t xml:space="preserve">Finanzas.</w:t>
      </w:r>
      <w:r>
        <w:t xml:space="preserve"> Ventas de 4.168 a 12.224 M CNY en 2021-2025 sin compras y 17.329 M en los últimos doce meses; caja neta ajustada de unos 9.200 M tras el dividendo a cuenta de octubre. Cuentas NIIF sin salvedades (BDO); el riesgo contable es el circulante financiado por proveedores (9.666 M) y las pérdidas de cambio [6, 9].</w:t>
      </w:r>
    </w:p>
    <w:p>
      <w:pPr>
        <w:spacing w:after="100"/>
      </w:pPr>
      <w:r>
        <w:rPr>
          <w:b/>
        </w:rPr>
        <w:t xml:space="preserve">Equipo y gobierno.</w:t>
      </w:r>
      <w:r>
        <w:t xml:space="preserve"> Control familiar del 57,5 %, padre e hijos al frente; cumplen lo que prometen y reparten el 86 % del beneficio, pero preparan una emisión en Hong Kong que no necesitan [6, 9, 25].</w:t>
      </w:r>
    </w:p>
    <w:p>
      <w:pPr>
        <w:spacing w:after="100"/>
      </w:pPr>
      <w:r>
        <w:rPr>
          <w:b/>
        </w:rPr>
        <w:t xml:space="preserve">Valoración.</w:t>
      </w:r>
      <w:r>
        <w:t xml:space="preserve"> El DCF da 78,49 CNY con un WACC del 8,84 % y un terminal del 1 %. El precio descuenta un crecimiento del 8,6 % anual en 2027-2031e frente a nuestro 11,0 %, y una rentabilidad implícita del 9,7 %: no es exigente. El PER de los próximos doce meses (13,2) está por debajo de la mediana de los comparables (14,1). Nuestro BPA de 2028e (5,62) queda un 15 % bajo el consenso porque bajamos el margen por la mezcla y la competencia.</w:t>
      </w:r>
    </w:p>
    <w:p>
      <w:pPr>
        <w:spacing w:after="100"/>
      </w:pPr>
      <w:r>
        <w:rPr>
          <w:b/>
        </w:rPr>
        <w:t xml:space="preserve">Riesgos y catalizadores.</w:t>
      </w:r>
      <w:r>
        <w:t xml:space="preserve"> El riesgo dominante es el ciclo: el bajista (36,49 CNY, −48,9 %) repite 2023. Le siguen la exclusión europea (−15 %) y la guerra de precios. Catalizadores: informe del 3T26 el 30-oct y campaña de invierno. Los foros chinos muestran cansancio («de crecimiento a dividendo»); no añaden un riesgo nuevo.</w:t>
      </w:r>
    </w:p>
    <w:p>
      <w:pPr>
        <w:spacing w:after="100"/>
      </w:pPr>
      <w:r>
        <w:rPr>
          <w:b/>
        </w:rPr>
        <w:t xml:space="preserve">Qué cambiaría la decisión.</w:t>
      </w:r>
      <w:r>
        <w:t xml:space="preserve"> Compraríamos por debajo de 63,69 CNY y venderíamos por encima de 81,39 CNY. Pasaríamos a comprar si el 4T26 mantiene las ventas por encima de 6.000 M con margen bruto superior al 36 %, y a vender si las existencias pasan de 4.500 M con ventas en caída o si la UE propone excluir a los inversores chinos del mercado privado.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71,18 CNY</w:t>
      </w:r>
      <w:r>
        <w:t xml:space="preserve"> (rentabilidad +2,7 % (base +10,0 %)) · Valor intrínseco: 76,72 CNY (+7,5 % sobre 71,35) · con la prima implícita del mercado: 89,57 (+25,5 %)</w:t>
      </w:r>
    </w:p>
    <w:p>
      <w:pPr>
        <w:spacing w:after="100"/>
      </w:pPr>
      <w:r>
        <w:t xml:space="preserve">Deye es el mayor fabricante del mundo de inversores de almacenamiento para hogares (20,6 % del mercado por ingresos en 2025) y vende la batería al mismo cliente: las baterías pasaron de cero en 2022 a 4.894 M CNY en el 1S26 [6, 9]. Con un margen EBITDA del 28-30 %, el doble que sus rivales, un circulante negativo y una caja neta de unos 9.200 M, ha multiplicado el beneficio por 5,5 en cuatro años sin compras y reparte el 86 % [1, 9].</w:t>
      </w:r>
    </w:p>
    <w:p>
      <w:pPr>
        <w:spacing w:after="100"/>
      </w:pPr>
      <w:r>
        <w:t xml:space="preserve">El precio (71,35 CNY) descuenta un crecimiento del 8,6 % anual en 2027-2031e y cotiza a 13,2 veces el beneficio de los próximos doce meses, por debajo de la mediana de los comparables (14,1) y en su mediana adelantada de los tres últimos años. El mercado no paga el +80 % de 2026 porque cree que es un pico: Ucrania, Australia y la crisis energética son demanda de emergencia, y la UE ha empezado a cerrar la puerta a los inversores chinos [10, 17].</w:t>
      </w:r>
    </w:p>
    <w:p>
      <w:pPr>
        <w:spacing w:after="100"/>
      </w:pPr>
      <w:r>
        <w:t xml:space="preserve">El mercado tiene razón a medias. El negocio es de calidad y el precio no es exigente, pero el canal ya cayó un 59 % en 2023 y el riesgo europeo es real. Para invertir hay que creer que 2027 no repetirá 2023: con nuestro caso base la acción rinde un 10 % al año, y con el bajista pierde la mitad.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71,18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3,17 = 34,55 · 13,6x × 5,62 = 76,43 · 14,5x × 6,71 = 97,30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 / 10,0 %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135,48 (nuestro base -43,6 %)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76,72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 / -48,9 %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frente a 8,8 % y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89,57 CNY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(2027e-2031e)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frente a 30,0 %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(24,5 %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63,69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63,69 y 81,39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81,39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63,69 CNY: pasaría a Comprar (ponderada a 12 meses ≥ 15 %).</w:t>
      </w:r>
    </w:p>
    <w:p>
      <w:pPr>
        <w:pStyle w:val="ListParagraph"/>
        <w:numPr>
          <w:ilvl w:val="0"/>
          <w:numId w:val="2"/>
        </w:numPr>
        <w:spacing w:after="60"/>
      </w:pPr>
      <w:r>
        <w:t xml:space="preserve">Precio por encima de 81,39 CNY: pasaría a Vender.</w:t>
      </w:r>
    </w:p>
    <w:p>
      <w:pPr>
        <w:pStyle w:val="ListParagraph"/>
        <w:numPr>
          <w:ilvl w:val="0"/>
          <w:numId w:val="2"/>
        </w:numPr>
        <w:spacing w:after="60"/>
      </w:pPr>
      <w:r>
        <w:t xml:space="preserve">Ventas del 4T26 por debajo de 5.000 M con existencias por encima de 4.500 M: revisaríamos a la baja el caso base.</w:t>
      </w:r>
    </w:p>
    <w:p>
      <w:pPr>
        <w:pStyle w:val="ListParagraph"/>
        <w:numPr>
          <w:ilvl w:val="0"/>
          <w:numId w:val="2"/>
        </w:numPr>
        <w:spacing w:after="60"/>
      </w:pPr>
      <w:r>
        <w:t xml:space="preserve">Propuesta legislativa de la UE para excluir inversores chinos del mercado privado: bajaríamos el base.</w:t>
      </w:r>
    </w:p>
    <w:p>
      <w:pPr>
        <w:pStyle w:val="ListParagraph"/>
        <w:numPr>
          <w:ilvl w:val="0"/>
          <w:numId w:val="2"/>
        </w:numPr>
        <w:spacing w:after="60"/>
      </w:pPr>
      <w:r>
        <w:t xml:space="preserve">Margen bruto del grupo por debajo del 34 % en un trimestre: revisaríamos el margen de toda la proyección.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2026 es un pico de demanda (Ucrania, Australia, crisis energética) y que el beneficio se estancará: crecimiento implícito del 8,6 % anual en 2027-2031e y PER de 13,2 veces los próximos doce meses. Los analistas, en cambio, esperan +23-47 % de ventas en 2027e y ponen objetivos medios de 135 CNY.</w:t>
      </w:r>
    </w:p>
    <w:p>
      <w:pPr>
        <w:keepNext/>
        <w:spacing w:after="100"/>
      </w:pPr>
      <w:r>
        <w:rPr>
          <w:b/>
          <w:bCs/>
        </w:rPr>
        <w:t xml:space="preserve">Lo que creemos nosotros.</w:t>
      </w:r>
    </w:p>
    <w:p>
      <w:pPr>
        <w:spacing w:after="100"/>
      </w:pPr>
      <w:r>
        <w:t xml:space="preserve">Entre los dos: el beneficio crecerá en 2027e (+17 %) pero menos que lo que esperan los analistas, porque el margen bajará por la mezcla de baterías, la competencia y la exclusión europea. El caso base vale 78,49 CNY en el DCF y 76,43 CNY a 12 meses; no vemos un error grande del mercado.</w:t>
      </w:r>
    </w:p>
    <w:p>
      <w:pPr>
        <w:keepNext/>
        <w:spacing w:after="100"/>
      </w:pPr>
      <w:r>
        <w:rPr>
          <w:b/>
          <w:bCs/>
        </w:rPr>
        <w:t xml:space="preserve">Por qué podemos tener razón.</w:t>
      </w:r>
    </w:p>
    <w:p>
      <w:pPr>
        <w:spacing w:after="100"/>
      </w:pPr>
      <w:r>
        <w:t xml:space="preserve">La historia de 2023 enseña que el canal de distribuidores amplifica los ciclos, y los rivales chinos tienen capacidad sobrante. Nuestra diferencia con el consenso es de margen y múltiplo, no de demanda: no compramos el PER de 20 veces que aplican los bancos chinos.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NY) · precio actual 71,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Líder mundial</w:t>
      </w:r>
      <w:r>
        <w:t xml:space="preserve"> en inversores de almacenamiento residencial, con el 20,6 % del mercado por ingresos [9].</w:t>
      </w:r>
    </w:p>
    <w:p>
      <w:pPr>
        <w:pStyle w:val="ListParagraph"/>
        <w:numPr>
          <w:ilvl w:val="0"/>
          <w:numId w:val="2"/>
        </w:numPr>
        <w:spacing w:after="60"/>
      </w:pPr>
      <w:r>
        <w:rPr>
          <w:b/>
        </w:rPr>
        <w:t xml:space="preserve">Margen EBITDA del 29,6 %</w:t>
      </w:r>
      <w:r>
        <w:t xml:space="preserve"> en 2025, frente a una mediana del 17 % de los comparables [9, 36].</w:t>
      </w:r>
    </w:p>
    <w:p>
      <w:pPr>
        <w:pStyle w:val="ListParagraph"/>
        <w:numPr>
          <w:ilvl w:val="0"/>
          <w:numId w:val="2"/>
        </w:numPr>
        <w:spacing w:after="60"/>
      </w:pPr>
      <w:r>
        <w:rPr>
          <w:b/>
        </w:rPr>
        <w:t xml:space="preserve">Caja neta de unos 9.200 M CNY</w:t>
      </w:r>
      <w:r>
        <w:t xml:space="preserve"> tras el dividendo de octubre, el 10 % de la capitalización [6].</w:t>
      </w:r>
    </w:p>
    <w:p>
      <w:pPr>
        <w:pStyle w:val="ListParagraph"/>
        <w:numPr>
          <w:ilvl w:val="0"/>
          <w:numId w:val="2"/>
        </w:numPr>
        <w:spacing w:after="60"/>
      </w:pPr>
      <w:r>
        <w:rPr>
          <w:b/>
        </w:rPr>
        <w:t xml:space="preserve">Beneficio de 9M26 +80-84 %</w:t>
      </w:r>
      <w:r>
        <w:t xml:space="preserve"> y baterías +244 % en el 1S26 [6, 10].</w:t>
      </w:r>
    </w:p>
    <w:p>
      <w:pPr>
        <w:pStyle w:val="ListParagraph"/>
        <w:numPr>
          <w:ilvl w:val="0"/>
          <w:numId w:val="2"/>
        </w:numPr>
        <w:spacing w:after="60"/>
      </w:pPr>
      <w:r>
        <w:rPr>
          <w:b/>
        </w:rPr>
        <w:t xml:space="preserve">Dividendo alto</w:t>
      </w:r>
      <w:r>
        <w:t xml:space="preserve">: reparte el 86 % del beneficio; 1,6 CNY a cuenta ya pagados en 2026 [1, 12].</w:t>
      </w:r>
    </w:p>
    <w:p>
      <w:pPr>
        <w:pStyle w:val="Heading2"/>
      </w:pPr>
      <w:r>
        <w:t xml:space="preserve">En contra</w:t>
      </w:r>
    </w:p>
    <w:p>
      <w:pPr>
        <w:pStyle w:val="ListParagraph"/>
        <w:numPr>
          <w:ilvl w:val="0"/>
          <w:numId w:val="2"/>
        </w:numPr>
        <w:spacing w:after="60"/>
      </w:pPr>
      <w:r>
        <w:rPr>
          <w:b/>
        </w:rPr>
        <w:t xml:space="preserve">Ciclo del canal</w:t>
      </w:r>
      <w:r>
        <w:t xml:space="preserve">: las ventas trimestrales cayeron un 59 % en dos trimestres de 2023 [3].</w:t>
      </w:r>
    </w:p>
    <w:p>
      <w:pPr>
        <w:pStyle w:val="ListParagraph"/>
        <w:numPr>
          <w:ilvl w:val="0"/>
          <w:numId w:val="2"/>
        </w:numPr>
        <w:spacing w:after="60"/>
      </w:pPr>
      <w:r>
        <w:rPr>
          <w:b/>
        </w:rPr>
        <w:t xml:space="preserve">Exclusión europea</w:t>
      </w:r>
      <w:r>
        <w:t xml:space="preserve"> de inversores chinos de los fondos de la UE desde mayo de 2026; Europa es el 32,7 % de las ventas [9, 17].</w:t>
      </w:r>
    </w:p>
    <w:p>
      <w:pPr>
        <w:pStyle w:val="ListParagraph"/>
        <w:numPr>
          <w:ilvl w:val="0"/>
          <w:numId w:val="2"/>
        </w:numPr>
        <w:spacing w:after="60"/>
      </w:pPr>
      <w:r>
        <w:rPr>
          <w:b/>
        </w:rPr>
        <w:t xml:space="preserve">Guerra de precios</w:t>
      </w:r>
      <w:r>
        <w:t xml:space="preserve">: el margen bruto de las baterías bajó 9,5 puntos en 2025 [1].</w:t>
      </w:r>
    </w:p>
    <w:p>
      <w:pPr>
        <w:pStyle w:val="ListParagraph"/>
        <w:numPr>
          <w:ilvl w:val="0"/>
          <w:numId w:val="2"/>
        </w:numPr>
        <w:spacing w:after="60"/>
      </w:pPr>
      <w:r>
        <w:rPr>
          <w:b/>
        </w:rPr>
        <w:t xml:space="preserve">Emisión de acciones H</w:t>
      </w:r>
      <w:r>
        <w:t xml:space="preserve"> pendiente, sin tamaño ni precio [25].</w:t>
      </w:r>
    </w:p>
    <w:p>
      <w:pPr>
        <w:pStyle w:val="ListParagraph"/>
        <w:numPr>
          <w:ilvl w:val="0"/>
          <w:numId w:val="2"/>
        </w:numPr>
        <w:spacing w:after="60"/>
      </w:pPr>
      <w:r>
        <w:rPr>
          <w:b/>
        </w:rPr>
        <w:t xml:space="preserve">Control familiar del 57,5 %</w:t>
      </w:r>
      <w:r>
        <w:t xml:space="preserve"> con padre e hijos en la gestión [6].</w:t>
      </w:r>
    </w:p>
    <w:p>
      <w:pPr>
        <w:pStyle w:val="Heading2"/>
      </w:pPr>
      <w:r>
        <w:t xml:space="preserve">Qué tiene que pasar para que la tesis funcione</w:t>
      </w:r>
    </w:p>
    <w:p>
      <w:pPr>
        <w:spacing w:after="100"/>
      </w:pPr>
      <w:r>
        <w:t xml:space="preserve">La tesis depende de que 2027 no repita la caída de 2023. La señal está en el balance y en las ventas trimestrales: si las existencias suben por encima de 4.500 M (3.855 M en junio de 2026) mientras las ventas del trimestre bajan frente al anterior, el canal está lleno. La segunda señal es Bruselas: una propuesta para excluir a los inversores chinos del mercado privado cambiaría el caso base.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6.182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síntoma de un ciclo de existencias.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4.500 M con ventas 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Canal lleno.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de precios o mezcla.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Europa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 del total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de más del 20 %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de la exclusión europea.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Pérdidas de cambio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236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300 M en un semestre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Yuan fuerte.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20,7x / 13,2x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 · -1,7x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Zhang Hejun fundó la empresa en Ningbo en 2000 como fabricante de piezas inyectadas y de chapa para electrodomésticos; en 2003 añadió los deshumidificadores y los intercambiadores de calor para fabricantes de aire acondicionado [9]. El giro llegó en 2016, cuando la filial de variadores de frecuencia entró en los inversores fotovoltaicos aprovechando la electrónica que ya hacía; en 2018 lanzó el primer inversor híbrido con batería y en 2020 las baterías compatibles [9]. Salió a bolsa en Shanghái en abril de 2021. La crisis de suministro de Sudáfrica y la guerra de Ucrania dispararon las ventas en 2022-2023; el desplome de pedidos del 2S23 enseñó lo cíclico que es el canal [9]. En 2024 superó 10.000 M CNY de ventas y fue primera del mundo en inversores de almacenamiento residencial. La familia Zhang controla el 57,5 % y en 2026 ha pedido cotizar en Hong Kong [6,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Zhang Hejun funda en Ningbo la predecesora (Deye Limited), que fabrica piezas inyectadas y de chapa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Zhejiang Deye Environmental Appliances (deshumidificadores)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filial Deye Frequency Conversion entra en los inversores fotovoltaicos y abre la planta de Beilun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inversor de almacenamiento (híbrido)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Exporta inversores de almacenamiento a EE. UU. en volumen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la bolsa de Shanghái (abril)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paquete de baterías propio; la acción multiplica por 1,7 en el año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de baterías de Cixi; caída de la demanda en Sudáfrica y desplome de las ventas del 2S23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 10.000 M CNY de ventas y se convierte en el primer fabricante mundial de inversores de almacenamiento residencial por ingresos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Empieza la planta de Malasia y aprueba la fábrica de 16 GWh de almacenamiento comercial en Cixi [9,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Pide cotizar acciones H en Hong Kong (27-ene, actualizada el 28-jul) [9].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Deye fabrica en China inversores de almacenamiento (el «cerebro» que une paneles solares, batería, red y vivienda), inversores de cadena y microinversores, y desde 2023 los paquetes de baterías de litio-ferrofosfato que se venden con ellos [1, 9]. En 2025 los inversores fueron el 52 % de las ventas y las baterías el 31 %; en el 1S26, el 48 % y el 46 % [1, 6]. Conserva dos negocios heredados: deshumidificadores (805 M CNY en 2025) e intercambiadores de calor para aire acondicionado (938 M, en retirada deliberada) [1]. Vende en más de 160 países, el 80 % fuera de China, a través de distribuidores e instaladores: Europa 32,7 %, Asia sin China 28,3 %, China 20,3 %, África 9,3 %, Norteamérica 4,7 %, Sudamérica 2,4 % y Oceanía 2,3 % [9]. Sus mercados fuertes son los emergentes con apagones: Pakistán, India, Vietnam, Líbano, Irak, Yemen, Sudáfrica y Nigeria, además de Polonia, Rumanía, Ucrania y ahora Australia [1]. Fabrica en Ningbo (Beilun, Cixi, Haiyan) y construye en Malasia [9].</w:t>
      </w:r>
    </w:p>
    <w:p>
      <w:pPr>
        <w:pStyle w:val="Heading2"/>
      </w:pPr>
      <w:r>
        <w:t xml:space="preserve">Cómo gana dinero</w:t>
      </w:r>
    </w:p>
    <w:p>
      <w:pPr>
        <w:spacing w:after="100"/>
      </w:pPr>
      <w:r>
        <w:t xml:space="preserve">Gana dinero con el margen del producto: no hay ingresos recurrentes. El inversor de almacenamiento es la joya, con un margen bruto del 51,1 % en 2025; la batería deja un 31,8 % y el inversor de cadena un 32,1 % [1]. El margen del grupo depende de la mezcla (más baterías, menos margen), del precio de las celdas de litio y del cobre, del tipo de cambio (vende en dólares y euros, fabrica en yuanes: en los cuatro primeros meses de 2026 perdió 172 M CNY por el yuan fuerte) y de la guerra de precios [9]. El apalancamiento operativo es alto: los gastos comerciales, de administración e I+D fueron el 11,1 % de las ventas en 2025 [9]. Hay estacionalidad por el invierno europeo y las campañas de subvenciones, y sobre todo un ciclo de existencias en los distribuidores: en 2023 las ventas trimestrales cayeron un 59 % en dos trimestres [3].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Baterías de almacenamiento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Intercambiadores de calor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Deshumidificadores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Baterías de almacenamiento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Intercambiadores de calor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Deshumidificadores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concentrados en distribuidores: el primero (distribuidor desde 2023) supuso el 10,0 % de las ventas de enero-abril de 2026 y los cinco primeros el 23,8 %; entre ellos hay un cliente directo desde 2004 (electrodomésticos) [9]. Los plazos de cobro son de 40-90 días o por adelantado [9]. No hay contratos plurianuales: la fidelidad viene de la compatibilidad entre inversor y batería, del servicio técnico en más de 20 países y de la formación a instaladores [1]. El poder de precios es limitado y la propia empresa reconoce que bajó precios para ganar cuota; aun así el margen bruto del inversor de almacenamiento solo cedió 0,7 puntos en 2025, mientras el de la batería cedió 9,5 [1,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de almacenamiento vendidos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1S26 se vendieron 1.153.000 inversores, de ellos 570.300 de almacenamiento residencial y 60.500 comerciales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Paquetes de baterías vendidos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baterías del 1S26: 4.894 M CNY, +244 % [1,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inversores de almacenamiento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producto de mayor margen; el de baterías bajó 9,5 pp hasta el 31,8 %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ventas fuera de China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87,6 % en los cuatro primeros meses de 2026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37,6 % en el 1S26 (CAS) [6,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Intercambiadores de calor (ventas, M CNY)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Reducción deliberada de un negocio de margen bajo (7,7 %) [1,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almacenamiento de energía «detrás del contador»: sistemas residenciales (inversor de almacenamiento más batería) y comerciales e industriales, en todo el mundo [9]. Uso las cifras de Frost &amp; Sullivan del folleto de Hong Kong: 67.600 M CNY de almacenamiento residencial y 31.900 M de comercial e industrial en 2025 [9]. Lo contrasto con el estudio de Soochow, que en volumen da 25,6 GWh de instalaciones residenciales en 2025 y 46,7 GWh en 2026e (+83 %), con Australia, Europa y los emergentes como motores [16]. Excluyo el almacenamiento a gran escala de las eléctricas, donde Deye no compite (es el mercado de Sungrow, Tesla y CATL).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99.500 M CNY en 2025: 67.600 M de almacenamiento residencial y 31.900 M de comercial e industrial, según Frost &amp; Sullivan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CNY (residencial + comercial e industrial, Frost &amp; Sulliva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Apagones y redes débiles en mercados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África pasó de 606 a 1.139 M CNY de ventas de Deye en 2025 y Asia sin China, de 2.340 a 3.460 M; Pakistán, Líbano, Irak, Yemen, India y Vietnam crecen por falta de suministro [1,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electricidad y subvenciones en Europa y Australia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programa australiano «Cheaper Home Batteries» llevó Oceanía de 31 a 204 M CNY en cuatro meses; las ayudas de Polonia, Rumanía, Bulgaria y España y la guerra en Ucrania impulsan Europa [1,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Almacenamiento comercial e industrial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31.900 M CNY en 2025 que crecería un 36,1 % anual hasta 200.700 M en 2031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existencias de los distribuidores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2023 los distribuidores europeos y sudafricanos dejaron de comprar: las ventas trimestrales de Deye cayeron de 2.809 M (2T23) a 1.154 M (4T23)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Restricciones a inversores chinos por ciberseguridad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1-may-2026 la UE no financia proyectos con inversores de países de alto riesgo; Wood Mackenzie calcula que afecta al 14 % de la demanda futura [17,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 las celdas de litio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celdas son la primera materia prima de Deye; el margen bruto de las baterías bajó 9,5 pp en 2025 hasta el 31,8 % [1, 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diez fabricantes chinos con capacidad sobrante; los cinco primeros del inversor residencial de cadena solo suman el 30,3 %; Deye bajó precios para ganar cuota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sobre todo a distribuidores; el primer cliente supone el 10 % de las ventas de enero-abril de 2026 y los cinco primeros el 23,8 %; cobro a 40-90 días o por adelantado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Celdas de litio (CATL, EVE y otros) y chips; en el 1S26 la escasez de PCB y chips obligó a sustituir proveedores y adelantar compras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técnica es accesible, pero la certificación por país, la red de servicio en más de 20 países y la base instalada frenan a los recién llegados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hogares sin red fiable no hay alternativa barata; en Europa compiten las baterías de coche bidireccionales a largo plazo [9].</w:t>
            </w:r>
          </w:p>
        </w:tc>
      </w:tr>
    </w:tbl>
    <w:p>
      <w:pPr>
        <w:spacing w:after="160" w:before="0"/>
      </w:pPr>
    </w:p>
    <w:p>
      <w:pPr>
        <w:pStyle w:val="Heading2"/>
      </w:pPr>
      <w:r>
        <w:t xml:space="preserve">Ciclo</w:t>
      </w:r>
    </w:p>
    <w:p>
      <w:pPr>
        <w:spacing w:after="100"/>
      </w:pPr>
      <w:r>
        <w:t xml:space="preserve">Estamos en la fase alta: el beneficio de Deye de 9M26 crece un 80-84 % por la crisis energética, las ayudas de Australia y Europa del Este y la falta de suministro en Asia y África [1, 10]. Este canal ya vivió un ciclo completo: tras el pico de 2022 (guerra de Ucrania y apagones en Sudáfrica) los distribuidores europeos y sudafricanos se quedaron con existencias y las ventas de Deye cayeron de 2.809 M en el 2T23 a 1.154 M en el 4T23 (−59 %), aunque el margen EBITDA anual aguantó en el 28 % [3]. En 2020 el sector apenas existía y en 2008-09 no había mercado. Indicadores para seguir: existencias en los almacenes europeos, ventas por región y precio de la celda.</w:t>
      </w:r>
    </w:p>
    <w:p>
      <w:pPr>
        <w:pStyle w:val="Heading2"/>
      </w:pPr>
      <w:r>
        <w:t xml:space="preserve">Regulación</w:t>
      </w:r>
    </w:p>
    <w:p>
      <w:pPr>
        <w:spacing w:after="100"/>
      </w:pPr>
      <w:r>
        <w:t xml:space="preserve">Lo que más pesa es la seguridad: desde el 1-may-2026 la UE no financia con fondos europeos (incluidos el BEI y el BERD) proyectos con inversores de países de alto riesgo como China, y prepara una reforma de la Ley de Ciberseguridad que podría extenderlo al mercado privado; Wood Mackenzie calcula que afecta al 14 % de la demanda futura [17, 18]. En EE. UU., los aranceles de la sección 301 alcanzan a los inversores y el 4,7 % de las ventas de Deye están en Norteamérica [1, 9]. A favor: subvenciones a baterías en Australia («Cheaper Home Batteries», desde julio de 2025), Polonia, Rumanía, Bulgaria, España tras el apagón ibérico, y planes de electrificación con almacenamiento en Indonesia y Pakistán [1, 16].</w:t>
      </w:r>
    </w:p>
    <w:p>
      <w:pPr>
        <w:pStyle w:val="Heading2"/>
      </w:pPr>
      <w:r>
        <w:t xml:space="preserve">Tendencias y disrupción</w:t>
      </w:r>
    </w:p>
    <w:p>
      <w:pPr>
        <w:spacing w:after="100"/>
      </w:pPr>
      <w:r>
        <w:t xml:space="preserve">Tres tendencias: la batería se integra con el inversor (Deye vende ya casi tanto en baterías como en inversores, y gana porque el cliente compra el conjunto compatible) [6]; el almacenamiento comercial e industrial crece más rápido que el residencial (36 % anual previsto hasta 2031), y Deye invierte en una fábrica de 16 GWh para él [9, 21]; y la potencia sube (inversores de 50-125 kW, convertidores de 250 kW, transformadores de estado sólido) [6]. En contra: los fabricantes chinos sobrantes de capacidad presionan el precio (GoodWe gana un margen EBIT del 1,6 %) y las restricciones de seguridad favorecen a fabricantes europeos, japoneses y coreanos en la UE [17, 19].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inversores de almacenamiento residencial (20,6 % por ingresos en 2025), 2.º en inversores comerciales (20,4 %) y 6.º en sistemas residenciales completos (5,9 %)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Sungrow Power Supply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300274.SZ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de inversores y de almacenamiento a gran escala; 1.º en inversores de cadena residenciales [9,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Huawei Digital Power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fuerte en Europa y en sistemas residenciales; no publica cuentas separadas.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GoodWe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688390.SS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híbridos en Europa; margen hundido por la guerra de precios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Ginlong (Solis)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300763.SZ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de cadena; muy endeudado por su cartera de plantas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Kstar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002518.SZ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 inversores y almacenamiento residencial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Pylontech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688063.SS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Baterías residenciales; rival directo del paquete de baterías de Deye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Enphase Energy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ENPH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Microinversores y baterías en EE. UU. y Europa; ventas convertidas a 6,686 CNY/USD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SMA Solar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S92.DE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Pierde dinero en 2025; referencia europea de inversores (ventas a 7,524 CNY/EUR)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aplicación de monitorización (德业云) y la red de instaladores dan algo de fidelidad, pero no un efecto de red [B3].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Quien compró el inversor compra la batería compatible (protocolo, gestión de energía): las baterías pasaron de 884 a 4.894 M CNY semestrales en dos años y medio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reconocida entre instaladores de mercados emergentes (1.º en Sudáfrica) y certificaciones por país; sin patentes que bloqueen [B1, B3].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51 % en inversores de almacenamiento y EBIT del 27,7 % en 2025, frente al 1,6 % de GoodWe y el 14,8 % de Ginlong; cadena integrada heredada de los electrodomésticos [B3, B8].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residencial está fragmentado por país; Deye tiene el 20,6 % del inversor residencial pero solo el 5,9 % del sistema completo [B1].</w:t>
            </w:r>
          </w:p>
        </w:tc>
      </w:tr>
    </w:tbl>
    <w:p>
      <w:pPr>
        <w:spacing w:after="160" w:before="0"/>
      </w:pPr>
    </w:p>
    <w:p>
      <w:pPr>
        <w:pStyle w:val="Heading2"/>
      </w:pPr>
      <w:r>
        <w:t xml:space="preserve">Amenazas</w:t>
      </w:r>
    </w:p>
    <w:p>
      <w:pPr>
        <w:spacing w:after="100"/>
      </w:pPr>
      <w:r>
        <w:t xml:space="preserve">La amenaza principal es política, no técnica: si la UE extiende al mercado privado la exclusión de inversores chinos por ciberseguridad, Deye perdería parte de su primer mercado (32,7 % de las ventas); lo veo posible (30-40 % en tres años) pero con años de transición [17, 18]. La segunda es la guerra de precios: Huawei, Sungrow, Growatt, GoodWe y decenas de fabricantes chinos con capacidad sobrante, con el precedente de 2023-2025, cuando los márgenes de GoodWe y Pylontech se hundieron [19]. La tercera, el control remoto: en noviembre de 2024 inversores Deye vendidos en EE. UU. por canales no autorizados dejaron de funcionar tras una comprobación de certificación, lo que alimenta el argumento de seguridad [20].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spacing w:after="100"/>
      </w:pPr>
      <w:r>
        <w:t xml:space="preserve">Crecimiento anual compuesto 2021-2025: ingresos </w:t>
      </w:r>
      <w:r>
        <w:rPr>
          <w:b/>
          <w:bCs/>
        </w:rPr>
        <w:t xml:space="preserve">30,9 %</w:t>
      </w:r>
      <w:r>
        <w:t xml:space="preserve">, EBITDA </w:t>
      </w:r>
      <w:r>
        <w:rPr>
          <w:b/>
          <w:bCs/>
        </w:rPr>
        <w:t xml:space="preserve">52,0 %</w:t>
      </w:r>
      <w:r>
        <w:t xml:space="preserve">, BPA </w:t>
      </w:r>
      <w:r>
        <w:rPr>
          <w:b/>
          <w:bCs/>
        </w:rPr>
        <w:t xml:space="preserve">47,5 %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N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4.168 M CNY en 2021 a 12.224 M en 2025 (+31 % anual) sin compras: todo es orgánico [4, 9]. El salto lo dieron los inversores (de 1.198 a 6.348 M) y las baterías (de 0 a 3.832 M), mientras se retiraban los intercambiadores de calor (de 2.328 a 938 M) [1, 5]. El margen EBITDA subió del 16,3 % en 2021 al 28,8 % en 2022 por la mezcla y desde entonces se mueve en el 28-30 % (29,6 % en 2025), incluso en el año malo de 2023 [9]. 2025 fue un año de pausa (+9,1 %) con el beneficio un 7,1 % arriba. 2026 cambia de escala: ventas del 1S26 de 10.641 M (+92,2 %) y beneficio de 2.717 M (+78,5 %), con un margen bruto del 37,6 % [6]. El avance de 9M26 da 4.220-4.320 M de beneficio (+80-84 %), con un 3T26 de unos 1.500-1.600 M, plano frente al 2T por las diferencias de cambio y por ventas pendientes de reconocer [10, 13].</w:t>
      </w:r>
    </w:p>
    <w:p>
      <w:pPr>
        <w:pStyle w:val="Heading2"/>
      </w:pPr>
      <w:r>
        <w:t xml:space="preserve">Ajustes y partidas no recurrentes</w:t>
      </w:r>
    </w:p>
    <w:p>
      <w:pPr>
        <w:spacing w:after="100"/>
      </w:pPr>
      <w:r>
        <w:t xml:space="preserve">Uso cifras publicadas. Los pagos en acciones (229 M en 2023, 220 M en 2024 y 113 M en 2025) están dentro del EBIT y no los quito [9]. Saco del EBIT las diferencias de cambio y las variaciones de valor razonable de los productos financieros y coberturas, que van al resultado financiero: en 2025 fueron +30 M y −1 M, pero en el 1S26 las diferencias de cambio restaron ≈ 236 M y en enero-abril de 2026, 172 M [6, 9]. Las subvenciones (otros ingresos, 397 M en 2025 con los intereses de depósitos; 102 M de subvenciones en el 1S26) se quedan en el EBIT por recurrentes [6, 9]. El beneficio recurrente que publica la empresa (扣非) fue de 3.035 M en 2025, un 4 % menos que el publicado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 empresa no publica transcripciones; uso el informe semestral, el avance del 3T y las notas de los bancos tras la reunión de resultados del 1S26. En el 1S26 la dirección destacó tres cosas: las baterías crecen más que los inversores (+244 % frente a +94 %) porque los clientes que ya tienen el inversor compran la batería compatible; el comercial e industrial (60.500 inversores en el semestre) y el desarrollo de convertidores de 250 kW y transformadores de estado sólido; y la escasez de PCB y chips, que obligó a cambiar a proveedores chinos y adelantar compras [6]. En el avance del 3T (14-oct) atribuye el crecimiento a la demanda de almacenamiento por la crisis energética y la seguridad de suministro, en 160 países [10]. Los analistas preguntaron sobre todo por el 3T plano frente al 2T: Soochow lo explica por las pérdidas de cambio con el yuan fuerte y por ventas facturadas aún no reconocidas, y espera para el 4T la campaña de invierno de Ucrania y Europa, más de 1,3 millones de inversores residenciales en 2026 y 150.000-200.000 comerciales [13]. Lo que no se aclara: cuánto pesa Ucrania y cuánto aguanta el precio de la batería.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el activo total crece un 117 % y los ingresos un 43 %).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Deye tiene caja neta desde siempre: 13.260 M CNY entre tesorería, depósitos y productos financieros a 30-jun-2026 frente a 1.987 M de deuda bancaria, casi toda a corto y ligada al descuento de efectos [6]. La deuda sube y baja con la financiación del circulante (3.214 M en 2023, 1.011 M en 2024, 3.393 M en 2025) y no responde a necesidades de inversión [9]. El circulante comercial es negativo: los proveedores financian las existencias y los clientes, y esa financiación creció con las ventas (de −1.179 M a finales de 2025 a −3.118 M en junio de 2026) [6, 9]. Con el dividendo a cuenta pagado en octubre, la caja neta ajustada baja a unos 9.200 M, el 10 % de la capitalización.</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8.289</w:t>
      </w:r>
      <w:r>
        <w:t xml:space="preserve">, conversión </w:t>
      </w:r>
      <w:r>
        <w:rPr>
          <w:b/>
          <w:bCs/>
        </w:rPr>
        <w:t xml:space="preserve">83 %</w:t>
      </w:r>
      <w:r>
        <w:t xml:space="preserve"> del beneficio neto; adquisiciones 236, dividendos 5.234, recompras 300.</w:t>
      </w:r>
    </w:p>
    <w:p>
      <w:pPr>
        <w:spacing w:after="100"/>
      </w:pPr>
      <w:r>
        <w:t xml:space="preserve">La conversión de beneficio en caja es buena: el flujo operativo de 2021-2025 sumó 12.434 M frente a 10.018 M de beneficio, ayudado por el circulante negativo [4, 9]. Los años anómalos: 2023, con un flujo operativo de 2.081 M igual al beneficio por la caída de ventas del 2S, y el 1S26, con 4.195 M (154 % del beneficio) porque los proveedores financiaron la subida de existencias [6, 9]. El capex fue de 602-1.287 M al año; el de 2025 (10,5 % de las ventas) incluye la planta de Malasia y la tierra de Cixi, y la fábrica de 16 GWh de almacenamiento comercial pide al menos 2.127 M en dos fases [9, 21]. Estimación propia: el capex de mantenimiento es ≈ la amortización (232 M en 2025, 1,9 % de las ventas) y el resto es crecimiento. El grueso de la caja se va a dividendos: 2.683 M en 2025, el 85 % del beneficio [9].</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BDO China Shu Lun Pan (立信会计师事务所) en las cuentas CAS; BDO Limited (Hong Kong) en el informe NIIF del folleto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(CAS 2025 y NIIF 2023-2025 sin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limpias en lo que se puede comprobar. Dos auditores de la red BDO firman sin salvedades: BDO China Shu Lun Pan en las CAS (nueve años) y BDO Limited en el informe NIIF de 2023-2025 para Hong Kong; el beneficio y el patrimonio son iguales en las dos normas [1, 9]. No hay fondo de comercio ni I+D capitalizada relevante (intangibles de 10 M en NIIF) [9]. Los pagos en acciones fueron del 3,1 % de las ventas en 2023 y del 0,9 % en 2025 [9]. La partida que más distorsiona es la de cambio: +97 M en 2023 y −236 M en el 1S26 [6, 9]. El circulante muy negativo infla el flujo operativo en los años de crecimiento y lo castigará en una caída. Los indicadores del motor: Altman Z de 7,6 (zona segura por la caja), Piotroski F de 3 sobre 9 (bajo por la caída de margen bruto, la rotación de activos y la emisión de acciones por opciones de 2025, no por pérdidas) y Beneish M de −2,83 (sin señal de manipulación, por debajo de −1,78).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financiado por proveedores y efectos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9.666 M de proveedores y efectos a pagar a 30-jun-2026 frente a 6.548 M de existencias y cuentas a cobrar; parte de la caja está pignorada para garantizarlos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de cambio con el yuan fuerte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−172 M en enero-abril de 2026 y ≈ −236 M en el 1S26; la empresa cubre con forwards pero no del todo [6,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Clientes muy concentrados en un distribuidor nuevo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primer cliente (desde 2023) supone el 10 % de las ventas de enero-abril de 2026; un consejero y propietario del primer cliente fue consejero de la filial alemana de posventa entre mayo de 2023 y enero de 2026, según el folleto [9].</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212,6 % · </w:t>
      </w:r>
      <w:r>
        <w:rPr>
          <w:b/>
          <w:bCs/>
        </w:rPr>
        <w:t xml:space="preserve">WACC</w:t>
      </w:r>
      <w:r>
        <w:t xml:space="preserve">: 8,8 %.</w:t>
      </w:r>
    </w:p>
    <w:p>
      <w:pPr>
        <w:spacing w:after="100"/>
      </w:pPr>
      <w:r>
        <w:t xml:space="preserve">Crea valor de sobra con cualquier medida. El ROIC del motor es del 183,5 % en 2025 porque el capital invertido operativo es mínimo (1.610 M): el inmovilizado se compensa con un circulante negativo. Con una medida prudente (NOPAT de 2.954 M sobre todo el patrimonio más la deuda, 13.750 M, caja incluida), el ROIC es del 21,5 %, todavía 12-13 puntos por encima del WACC del 8,84 % [9]. El ROE pasó del 22 % en 2021 al 45 % en 2022 y ha bajado al 32 % en 2025 por la acumulación de caja. El motor del ROIC es el margen (EBIT del 27,7 % en 2025), no la rotación. El ROIC incremental histórico es muy alto (212,6 %) porque crecer apenas exige capital. Frente a los rivales: Sungrow ≈ 27 %, Kstar ≈ 12 %, GoodWe ≈ 3 % (estimaciones con NOPAT y capital invertido de Yahoo) [36].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-9.162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depósitos y productos financieros de 13.260 M CNY a 30-jun-2026 (6.038 de tesorería, 4.288 de activos financieros a valor razonable, 2.935 de depósitos a plazo y certificados) frente a 1.987 M de deuda bancaria y 34 M de arrendamientos [6]. De la tesorería, 1.065 M están pignorados como garantía de efectos comerciales a pagar, y otros 504 M de depósitos también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pensiones, litigios relevantes ni pagos aplazados por compras. El punto delicado es el circulante: a 30-jun-2026 los proveedores y efectos a pagar sumaban 9.666 M CNY (4.665 M de efectos comerciales), frente a 3.855 M de existencias y 2.693 M de clientes y efectos a cobrar [6]. Una parte de la caja está pignorada para garantizar esos efectos (1.065 M de tesorería, 300 M de depósitos a corto y 204 M a largo) [6]. Si el ciclo se da la vuelta y los proveedores acortan plazos, la caja neta podría bajar varios miles de millones aunque siga siendo positiva. El dividendo a cuenta de 2.037 M se pagó el 14-oct-2026, después del balance: lo resto de la caja en el puente (otros ajustes, junto con 40 M de la primera recompra) [12, 23].</w:t>
      </w:r>
    </w:p>
    <w:p>
      <w:pPr>
        <w:pStyle w:val="Heading1"/>
      </w:pPr>
      <w:r>
        <w:t xml:space="preserve">12. Asignación de capital</w:t>
      </w:r>
    </w:p>
    <w:p>
      <w:pPr>
        <w:pStyle w:val="Confianza"/>
        <w:spacing w:after="100"/>
      </w:pPr>
      <w:r>
        <w:t xml:space="preserve">Confianza: Media</w:t>
      </w:r>
    </w:p>
    <w:p>
      <w:pPr>
        <w:spacing w:after="100"/>
      </w:pPr>
      <w:r>
        <w:t xml:space="preserve">Reparte casi todo el beneficio: el 86 % de 2025 entre dividendos (1,1 CNY a cuenta y 1,8 CNY final, por acción de entonces) y recompra (100 M), más una acción liberada de 0,4 por acción cada año desde 2024 [1, 11]. En 2026 ya ha pagado 1,6 CNY a cuenta (2.037 M) el 14-oct [12]. El presidente propuso en septiembre una recompra de 100-200 M CNY para planes de incentivos, a un precio máximo de 131,40 CNY; el 15-oct compró 0,57 M de acciones por 40 M [22, 23]. Las prioridades declaradas son la capacidad fuera de China (Malasia), la fábrica de 16 GWh de almacenamiento comercial y la I+D; los fondos de la futura salida a Hong Kong irían a lo mismo [21,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minoritarios de filiales (pago de 137,2 M CNY)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participaciones minoritarias; sin fondo de comercio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Aportación a asociadas (88 M CNY; 130 M a 30-abr-2026)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pequeñas; resultado de asociadas −0,5 M en 2025</w:t>
            </w:r>
          </w:p>
        </w:tc>
      </w:tr>
    </w:tbl>
    <w:p>
      <w:pPr>
        <w:spacing w:after="160" w:before="0"/>
      </w:pPr>
    </w:p>
    <w:p>
      <w:pPr>
        <w:spacing w:after="100"/>
      </w:pPr>
      <w:r>
        <w:t xml:space="preserve">Buena asignadora de capital en lo que importa: ha multiplicado el beneficio por 5,5 en cuatro años invirtiendo 3.909 M en capex sin compras relevantes y devolviendo 5.233 M en dividendos (2021-2025) [9]. Los puntos débiles: la ampliación de 2.000 M de 2024 y las opciones (2.717 M de emisión en 2024 y 381 M en 2025) diluyeron un 7 % el capital en dos años [9]; y la salida a Hong Kong supondrá emitir más acciones con una caja neta de unos 9.200 M que no lo necesita. La recompra de 2026 es para incentivos, no para amortizar, y equivale al 0,2 % del capital [22].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Hejun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y 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el grupo en 2000 como fabricante de piezas y lo llevó a los electrodomésticos y, desde 2016, a los inversores. Con él las ventas pasaron de 4.168 M CNY en 2021 a 12.224 M en 2025 y el beneficio de 579 a 3.171 M [1, 9]. Participación directa del 22,26 % más el 35,20 % de Aisirui, que controla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Dong Ye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delegado (general manager)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fundador; en el grupo desde 2005 (ventas) y director general de Deye Environmental Appliances desde 2014; consejero delegado desde septiembre de 2022, etapa en la que el beneficio se ha duplicado [1,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Dongbin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ejecutivo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fundador; fue controller financiero y presidente de Deye Frequency Conversion, la filial de inversores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Tan Zui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subdirector general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grupo desde 2001 (contable, compras, finanzas); director financiero de la filial de inversores antes que del grupo [1, 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opciones: beneficio recurrente de las filiales de inversores y electrodomésticos ≥ 700 M CNY</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recurrente del grupo de 1.536 M CNY</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opciones: ≥ 1.200 M CNY</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recurrente del grupo de 1.853 M CNY</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opciones: ≥ 1.460 M CNY</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Beneficio recurrente del grupo de 2.805 M CNY</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de familia y estable: el fundador (73 años) preside y sus dos hijos dirigen, el consejero delegado desde 2022; el director financiero lleva 25 años en el grupo [9]. La credibilidad es buena: no da previsiones numéricas, pero cumplió con holgura los objetivos de beneficio de su plan de opciones de 2022-2024 (1.536, 1.853 y 2.805 M frente a 700, 1.200 y 1.460 M), y los avances de resultados de 2026 han quedado dentro de la horquilla [1, 10, 15]. La sucesión está resuelta dentro de la familia, lo que da continuidad pero deja todo el poder en un solo grupo [9].</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Hejun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y sostenibilidad (preside)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Dong Ye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Dongbin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Tan Zui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 Jingna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representante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Zhu Yihong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Zhu Chenggang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 Liangliang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 Chi Chiu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(efectivo al cotizar en Hong Kong)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(CAS 2025 y NIIF 2023-2025 sin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40,40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Ningbo Meishan Aisirui Investment (controlada por Zhang Hejun)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(sociedad del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ventas; solo la ampliación liberada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Zhang Hejun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(directa)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ventas; compra marginal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HKSCC (inversores de Stock Connect)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extranjero (nominee)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+29,5 M acciones en el 1S26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Hengli (vehículo de los empleados)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1,58 M acciones entre oct-2025 y ene-2026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la Seguridad Social 103</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Público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+3,97 M acciones en el 1S26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 Yazhu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Particular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relevantes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Hengli (vehículo de empleados; socio gestor Zhang Hejun)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1.580.428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sociedad (recompra propuesta por el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571.960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6,58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Remuneraciones moderadas para el tamaño: 8,20 M CNY el presidente, 6,58 M el consejero delegado, 6,28 M el otro hijo del fundador y 2,42 M el director financiero en 2025, antes de impuestos [1]. El variable anual depende del cumplimiento del presupuesto y de una evaluación de la comisión de remuneraciones, sin métricas de ROIC ni de rentabilidad para el accionista; no hay variable a largo plazo para los Zhang, que cobran como accionistas [1, 26]. El plan de opciones de 2022 (para empleados y directivos, no para los Zhang) se ligó al beneficio de las filiales [15]. No consta cláusula de devolución del variable.</w:t>
      </w:r>
    </w:p>
    <w:p>
      <w:pPr>
        <w:pStyle w:val="Heading2"/>
      </w:pPr>
      <w:r>
        <w:t xml:space="preserve">Operaciones vinculadas, estructura de control y defensas</w:t>
      </w:r>
    </w:p>
    <w:p>
      <w:pPr>
        <w:spacing w:after="100"/>
      </w:pPr>
      <w:r>
        <w:t xml:space="preserve">La familia Zhang controla el 57,46 % (35,20 % por Aisirui y 22,26 % directo) y decide la junta; el presidente es el fundador y los dos hijos son consejeros ejecutivos [6, 9]. Una acción, un voto; no hay blindajes estatutarios. Los independientes son tres de ocho (cuatro de nueve cuando entre el de Hong Kong) y presiden auditoría, remuneraciones y nombramientos [1, 9]. Tras la salida a Hong Kong la familia mantendría el control. Operaciones vinculadas: el folleto revela que un consejero y propietario del primer cliente (un distribuidor) fue consejero de la filial alemana de posventa entre 2023 y enero de 2026; el cliente supuso el 10 % de las ventas de enero-abril de 2026 [9]. El riesgo para el minoritario es de asignación (caja retenida, dilución en Hong Kong), no de expolio: el reparto del 86 % del beneficio lo mitiga.</w:t>
      </w:r>
    </w:p>
    <w:p>
      <w:pPr>
        <w:pStyle w:val="Heading2"/>
      </w:pPr>
      <w:r>
        <w:t xml:space="preserve">Señales de alerta</w:t>
      </w:r>
    </w:p>
    <w:p>
      <w:pPr>
        <w:pStyle w:val="ListParagraph"/>
        <w:numPr>
          <w:ilvl w:val="0"/>
          <w:numId w:val="2"/>
        </w:numPr>
        <w:spacing w:after="60"/>
      </w:pPr>
      <w:r>
        <w:t xml:space="preserve">Control familiar del 57,5 %: presidente, consejero delegado y otro consejero ejecutivo son padre e hijos [6, 9].</w:t>
      </w:r>
    </w:p>
    <w:p>
      <w:pPr>
        <w:pStyle w:val="ListParagraph"/>
        <w:numPr>
          <w:ilvl w:val="0"/>
          <w:numId w:val="2"/>
        </w:numPr>
        <w:spacing w:after="60"/>
      </w:pPr>
      <w:r>
        <w:t xml:space="preserve">Salida a Hong Kong pendiente: dilución de tamaño desconocido y posible descuento de la acción H [25].</w:t>
      </w:r>
    </w:p>
    <w:p>
      <w:pPr>
        <w:pStyle w:val="ListParagraph"/>
        <w:numPr>
          <w:ilvl w:val="0"/>
          <w:numId w:val="2"/>
        </w:numPr>
        <w:spacing w:after="60"/>
      </w:pPr>
      <w:r>
        <w:t xml:space="preserve">El vehículo de los empleados (Hengli, cuyo socio gestor es el presidente) vendió 1,58 M acciones entre oct-2025 y ene-2026 [24].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Deye no publica previsiones de ventas ni de beneficio; da avances trimestrales del beneficio cuando la ley china lo exige (crecimientos de más del 50 %). El último, del 14-oct-2026: beneficio de 9M26 de 4.220-4.320 M (+79,8-84,1 %) y recurrente de 3.950-4.060 M [10]. Antes: 1T26 con un beneficio de 1.188 M (+68,4 %) y 1S26 de 2.668-2.728 M (real 2.717 M) [7, 37]. Como objetivo implícito, Soochow espera ventas de unos 25.000 M en 2026 (24.000 M de energía y 1.000 M de electrodomésticos) y más de 11.000 M en baterías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32.803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135,48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91,00 – 187,86</w:t>
            </w:r>
          </w:p>
        </w:tc>
      </w:tr>
    </w:tbl>
    <w:p>
      <w:pPr>
        <w:spacing w:after="160" w:before="0"/>
      </w:pPr>
    </w:p>
    <w:p>
      <w:pPr>
        <w:pStyle w:val="Heading2"/>
      </w:pPr>
      <w:r>
        <w:t xml:space="preserve">Revisiones de estimaciones</w:t>
      </w:r>
    </w:p>
    <w:p>
      <w:pPr>
        <w:spacing w:after="100"/>
      </w:pPr>
      <w:r>
        <w:t xml:space="preserve">Recortes en el último mes, tras el avance del 3T: Soochow bajó el beneficio de 2026-2028e de 6.030/8.210/10.790 M a 5.887/7.857/9.854 M y Guosen de 6.460/7.580/8.530 M a 5.850/7.560/8.370 M, por las pérdidas de cambio y ventas no reconocidas [13, 14]. En doce meses la tendencia es al alza: los BPA de 2026e de abril (en acciones de antes de la ampliación de mayo, 5,9-6,6 CNY) equivalen a 4,2-4,7 CNY de hoy y en octubre están en 4,6-4,9 [31]. El consenso de MarketScreener (10 analistas) espera un BPA de 4,52 / 5,64 / 6,59 CNY en 2026-2028e [29]. Solo hay una fuente con estimaciones completas; la contrasto con las notas de Eastmoney.</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vale 71,35 CNY, un 33,6 % más que hace un año pero un 41,7 % menos que el máximo de mayo de 2026 [28]. Subió con el beneficio del 1T26 (+68 %) y la crisis energética hasta mayo, y desde entonces ha caído pese a que el beneficio crece un 80 %: a la acción le pesan las pérdidas de cambio, el temor a que el pico de demanda (Ucrania, Australia) no dure, la exclusión europea de inversores chinos y la oferta de acciones H pendiente [17, 25]. A cinco años rinde un 17,2 % anual frente al −1,3 % del CSI 300 [28]. La volatilidad es alta (52,5 % en un año) y la caída máxima de cinco años fue del −77,5 % entre sep-2022 y dic-2023 [28]. Beta mensual de cinco años de 1,16 frente al CSI 300 [28].</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-14,1 % / -16,7 % / -28,4 % / +33,6 %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-41,7 % / +39,6 %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del 1T26 un 68 % mayor y avance de abril por encima de lo esperado; demanda de almacenamiento por la crisis energética [7,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diarias del 5-7 % el 5, 23 de junio y 2 y 8 de julio: exclusión europea de inversores chinos de los fondos de la UE (efectiva desde mayo), pérdidas de cambio y avance del 1S26 (+75-79 %) visto como techo del crecimiento; el 28-jul (−5,7 %) se actualizó la solicitud de acciones H [17, 25, 28,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sector y avance del 3T26 con un trimestre plano frente al 2T (−6,2 % el 14-oct, día del corte del dividendo de 1,6 CNY, el 2,2 % del precio) [10,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3T26 programado para el 30-oct; el beneficio ya se adelantó (4.220-4.320 M en 9M26) [10,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Soochow y Guosen recortan el beneficio de 2026-2028e un 2-9 % y mantienen comprar (Soochow, objetivo 123 CNY) [13,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compra de la recompra de 100-200 M CNY propuesta por el presidente: 0,57 M acciones por 40 M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Solicitud actualizada para emitir acciones H en Hong Kong, sin tamaño ni precio; dilución y posible descuento de la H frente a la A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se anuncia el precio con un descuento superior al 25 % frente a la A, revisar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UE excluye de sus fondos los proyectos con inversores de países de alto riesgo (China) y estudia ampliarlo por la Ley de Ciberseguridad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2026-01-15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vehículo de empleados Hengli termina de vender 1,58 M acciones (0,17 % del capital)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La caída de 6 meses (−28,4 %) tiene causas que el informe recoge: pérdidas de cambio, temor al pico del ciclo y la exclusión europea. No hay colocaciones de la familia, ni recortes de previsiones de la empresa, ni litigios con fecha. La emisión de acciones H es el único hecho pendiente que puede mover el precio, pero no tiene fecha ni tamaño y, si llega, aporta caja a un precio de mercado; no justifica retrasar. Los resultados del 30-oct ya están adelantados en beneficio.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Deye cotiza hoy a 13,6 veces nuestro BPA de 2027e, en línea con la mediana adelantada de 2023-2025 (13,7 veces) y por debajo del PER de los comparables (14,1). Excluyo 2021 y 2022: la burbuja solar llevó el PER adelantado a 30,7 y 44,1 veces y la acción cayó después un 77,5 % [28]. Desde 2023 el mercado paga entre 12,5 y 17,2 veces el beneficio del año siguiente: el múltiplo de un fabricante cíclico de calidad, no el de una empresa de crecimiento. Nada estructural apunta a una vuelta a los múltiplos de 2021-22: el crecimiento es mayor, pero también el riesgo político en Europa.</w:t>
      </w:r>
    </w:p>
    <w:p>
      <w:pPr>
        <w:pStyle w:val="Heading1"/>
      </w:pPr>
      <w:r>
        <w:t xml:space="preserve">18. Comparables cotizados</w:t>
      </w:r>
    </w:p>
    <w:p>
      <w:pPr>
        <w:pStyle w:val="Confianza"/>
        <w:spacing w:after="100"/>
      </w:pPr>
      <w:r>
        <w:t xml:space="preserve">Confianza: Media</w:t>
      </w:r>
    </w:p>
    <w:p>
      <w:pPr>
        <w:spacing w:after="100"/>
      </w:pPr>
      <w:r>
        <w:t xml:space="preserve">Fabricantes cotizados de inversores (Sungrow, GoodWe, Ginlong, Kstar, Enphase), de baterías residenciales (Pylontech) y de almacenamiento y electrónica de potencia (CATL, Kehua), todos con BPA estimado y cifras de Yahoo del mismo día [31, 36]. Huawei y Growatt no cotizan. Fuera: SMA y SolarEdge, con pérdidas en 2025 (PER sin sentido), y Sineng, sin consenso. Ninguno es igual: Sungrow es diez veces mayor y vive de la red; GoodWe y Pylontech están en el valle de márgenes; Enphase cobra prima por EE. UU.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Deye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Sungrow Power Supply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GoodWe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Ginlong (Solis)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Kstar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Pylontech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1.235.568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Kehua Data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Enphase Energy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 / 15,1x / 18,5x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 / 14,1x / 19,2x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2,2x / 3,0x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Deye es el comparable con mejor margen (EBITDA del 30,5 % en los últimos doce meses frente a una mediana del 17 %) y mayor crecimiento, y no cotiza con prima: PER de los próximos doce meses de 13,2 veces frente a la mediana de 14,1 y EV/EBITDA de 15,4 veces los últimos doce meses. El mercado le aplica el múltiplo de un fabricante chino de equipos con riesgo de ciclo, igual que a Sungrow (9,6 veces) y CATL (10,7). La regresión múltiplo-crecimiento no sirve: faltan las previsiones de ventas de los chinos pequeños. Uso el PER con un peso del 20 % porque la mediana mezcla empresas en fases del ciclo distintas (Pylontech y Kehua a 22-25 veces con beneficios deprimidos).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queda casi cerrado (+92 %): ventas del 1S26 de 10.641 M y un 2S parecido, coherente con los 22.600-25.400 M que esperan MarketScreener y Soochow [6, 13, 29]. Después la proyección frena con fuerza: +25 % en 2027e (consenso +23 %, Soochow +47 %), +12 % en 2028e y del 8 % al 4 % hasta 2031e, por debajo del crecimiento del mercado (30 % anual según Frost &amp; Sullivan) porque supongo pérdida de cuota en Europa por la exclusión de los inversores chinos y precios a la baja [9, 17]. El crecimiento medio de 2027-2031e (11,0 %) queda por debajo del 31 % anual de 2021-2025.</w:t>
      </w:r>
    </w:p>
    <w:p>
      <w:pPr>
        <w:keepNext/>
        <w:spacing w:after="100"/>
      </w:pPr>
      <w:r>
        <w:rPr>
          <w:b/>
          <w:bCs/>
        </w:rPr>
        <w:t xml:space="preserve">Márgenes.</w:t>
      </w:r>
    </w:p>
    <w:p>
      <w:pPr>
        <w:spacing w:after="100"/>
      </w:pPr>
      <w:r>
        <w:t xml:space="preserve">El margen EBITDA fue del 28-30 % en 2022-2025 y del 31,2 % en el 1S26 [6, 9]. Lo bajo al 29,5 % en 2026e (pérdidas de cambio y más peso de las baterías, de menor margen) y después medio punto o un punto al año hasta el 25 % en 2031e, por la competencia de precios y porque la batería (margen bruto del 31,8 %) y el comercial crecerán más que el inversor residencial (51,1 %) [1]. El 25 % final sigue por encima de Sungrow (19,9 %) y Kstar (15,2 %): es la ventaja en costes del inversor híbrido, que defiendo solo en parte [36].</w:t>
      </w:r>
    </w:p>
    <w:p>
      <w:pPr>
        <w:keepNext/>
        <w:spacing w:after="100"/>
      </w:pPr>
      <w:r>
        <w:rPr>
          <w:b/>
          <w:bCs/>
        </w:rPr>
        <w:t xml:space="preserve">Inversión y circulante.</w:t>
      </w:r>
    </w:p>
    <w:p>
      <w:pPr>
        <w:spacing w:after="100"/>
      </w:pPr>
      <w:r>
        <w:t xml:space="preserve">Capex del 4,5 % de las ventas en 2026e y del 5,0 % en 2027e por la fábrica de 16 GWh de almacenamiento comercial (≥ 2.127 M en dos fases) y la de Malasia; baja al 2,8 % en 2031e, por encima de la amortización (2,5 %) [9, 21]. El circulante comercial pasa del −13 % de las ventas en 2026e al −10 % en 2029e: en 2025 fue del −13,6 % y en junio de 2026 del −18 %, pero en una caída los proveedores acortarán plazos [6]. Tipo impositivo del 13,5 % (12,8 % en 2025, empresa de alta tecnología y superdeducción de I+D) que sube al 15 % [9].</w:t>
      </w:r>
    </w:p>
    <w:p>
      <w:pPr>
        <w:keepNext/>
        <w:spacing w:after="100"/>
      </w:pPr>
      <w:r>
        <w:rPr>
          <w:b/>
          <w:bCs/>
        </w:rPr>
        <w:t xml:space="preserve">Coste del capital.</w:t>
      </w:r>
    </w:p>
    <w:p>
      <w:pPr>
        <w:spacing w:after="100"/>
      </w:pPr>
      <w:r>
        <w:t xml:space="preserve">Tasa libre del 1,648 % (bono chino a 10 años, ChinaBond, 16-oct-2026) en CNY, la divisa de los flujos [32]. Beta de 1,15: la mensual de cinco años frente al CSI 300 es de 1,16, la semanal de dos años de 1,16 y la ajustada de 1,11 [28]. Prima de mercado del 5,5 % y prima adicional del 1,0 % por riesgo de China (país, acceso a mercados y control familiar). Coste de la deuda del 2,5 % antes de impuestos y peso del 2 % (caja neta). WACC del 8,84 %. Con la prima implícita del mercado (4,2 %) el WACC baja y el valor sube; lo da la regla relativa.</w:t>
      </w:r>
    </w:p>
    <w:p>
      <w:pPr>
        <w:keepNext/>
        <w:spacing w:after="100"/>
      </w:pPr>
      <w:r>
        <w:rPr>
          <w:b/>
          <w:bCs/>
        </w:rPr>
        <w:t xml:space="preserve">Valor terminal.</w:t>
      </w:r>
    </w:p>
    <w:p>
      <w:pPr>
        <w:spacing w:after="100"/>
      </w:pPr>
      <w:r>
        <w:t xml:space="preserve">Crecimiento a perpetuidad del 1,0 % en CNY: con el bono a 10 años al 1,65 %, la regla (entre la inflación esperada y la tasa libre menos medio punto) deja el techo en el 1,15 % [32]. Gordon con un WACC del 8,84 % implica 9,9 veces el EBITDA terminal, en línea con Sungrow (9,8) y por encima de CATL (7,4), y por debajo de lo que paga hoy el mercado por Deye (15,4): no es exigente para un negocio con ROIC muy alto. El valor terminal pesa el 69 % del DCF.</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5.044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CN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91,62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 (reinvierte el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89,7 % (histórico: 212,6 %)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 frente al 24,5 %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2031e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(hoy: 10,2 %)</w:t>
            </w:r>
          </w:p>
        </w:tc>
      </w:tr>
    </w:tbl>
    <w:p>
      <w:pPr>
        <w:spacing w:after="160" w:before="0"/>
      </w:pPr>
    </w:p>
    <w:p>
      <w:pPr>
        <w:spacing w:after="100"/>
      </w:pPr>
      <w:r>
        <w:t xml:space="preserve">La proyección apenas necesita inversión neta de la amortización (reinversión acumulada de 1.101 M, el 3 % del NOPAT, con un capex bruto medio del 3,8 % de las ventas). En un negocio de activos ligeros, el crecimiento medio del 24,5 % tiene que salir de subir precios y de ganar volumen sin capital nuevo, y la prueba es el poder de precios y la cuota (8,0 % del mercado en 2031e, frente al 10,2 %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cerrado: unidades de inversores del 1S26 de 1,15 millones (+100 % en ventas de baterías e inversores) y avance de 9M26; precio a la baja por la competencia y efecto de cambio negativo [6,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campaña de Ucrania y Europa del Este, Australia y emergentes, más la primera fase de 7 GWh de almacenamiento comercial; Soochow espera más de 1,3 millones de inversores residenciales en 2026 [13,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15 % con el comercial (fábrica de 9 GWh de la segunda fase) y la planta de Malasia; precio −3 %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creciendo al 25-30 % anual; Deye crece por debajo por la exclusión europea y la competencia [9, 17].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crecimiento del mercado maduro con precio unitario a la baja [9].</w:t>
            </w:r>
          </w:p>
        </w:tc>
      </w:tr>
    </w:tbl>
    <w:p>
      <w:pPr>
        <w:spacing w:after="160" w:before="0"/>
      </w:pPr>
    </w:p>
    <w:p>
      <w:pPr>
        <w:spacing w:after="100"/>
      </w:pPr>
      <w:r>
        <w:t xml:space="preserve">Sí. El crecimiento proyectado (11,0 % anual en 2027-2031e) apenas necesita capital: la reinversión es del 3 % del NOPAT porque el circulante es negativo, y el crecimiento financiable al ROIC prudente del 21,5 % lo supera. La cuota final del 8,0 % del mercado de almacenamiento residencial y comercial en 2031e queda por debajo del 10,2 % de hoy: la proyección supone perder cuota, no ganarla [9]. El riesgo no es de capacidad sino de demanda y precio: un ciclo como el de 2023 o una exclusión europea más amplia. El foso estrecho (costes y compatibilidad inversor-batería) basta para un crecimiento por debajo del mercado.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(2027e-2031e)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(base: 11,0 %)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22,7 % (base: 25,0 %)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 (WACC: 8,8 %)</w:t>
            </w:r>
          </w:p>
        </w:tc>
      </w:tr>
    </w:tbl>
    <w:p>
      <w:pPr>
        <w:spacing w:after="160" w:before="0"/>
      </w:pPr>
    </w:p>
    <w:p>
      <w:pPr>
        <w:spacing w:after="100"/>
      </w:pPr>
      <w:r>
        <w:t xml:space="preserve">El DCF da 78,49 CNY por acción, un 10,0 % más que el precio, con un WACC del 8,84 % y un crecimiento terminal del 1 %; el valor terminal pesa el 69 %. El DCF inverso dice que el precio de 71,35 CNY descuenta un crecimiento del 8,6 % anual en 2027-2031e frente a nuestro 11,0 %, o un margen EBITDA terminal del 22,7 % frente a nuestro 25 %, y una rentabilidad implícita del 9,7 %, algo por encima del WACC. Frente a la historia es conservador: Deye creció un 31 % anual en 2021-2025 y su margen no bajó del 28 % ni en 2023. Pero el año de partida (2026e) es un pico: el beneficio crece un 80 % y el mercado lo trata como no repetible. El valor es sensible al margen: cada punto de margen EBITDA en toda la proyección mueve el valor en torno al 4 %. Con la prima implícita del mercado (4,2 %) el valor sube con fuerza y la regla relativa da comprar; la absoluta, mantener.</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2023: tras el pico de Ucrania y Australia los distribuidores se quedan con existencias, las ventas de 2027e caen un 10 % y el margen EBITDA baja al 22,5 % por la guerra de precios y la exclusión europea, sin recuperar del todo después. Ya ocurrió: −59 % de ventas trimestrales en dos trimestres de 2023 [3].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emergentes, Europa del Este y Australia se mantiene; Deye crece un 25 % en 2027e y frena después hasta el 4 %, con el margen bajando del 29,5 % al 25 %, por debajo del mercado.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almacenamiento comercial despega con la fábrica de 16 GWh y la UE no extiende la exclusión al mercado privado: crecimiento 6 puntos mayor cada año y margen 2 puntos más alto, cerca de lo que espera Soochow para 2027e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CNY) · precio actual 71,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75,13 CNY (+5,3 %).</w:t>
      </w:r>
    </w:p>
    <w:p>
      <w:pPr>
        <w:spacing w:after="100"/>
      </w:pPr>
      <w:r>
        <w:t xml:space="preserve">La asimetría es neutra: el alcista (107,06 CNY, +50,0 %) gana lo mismo que pierde el bajista (36,49 CNY, −48,9 %), con probabilidades de 25/50/25. El bajista no es cosmético: repite 2023, cuando las ventas trimestrales cayeron un 59 %, con un margen 5 puntos más bajo que no se recupera del todo [3]. El alcista supone que el comercial despega y que la UE no extiende la exclusión. Con un perfil así, el precio de hoy no compensa: el valor ponderado (76,72 CNY) apenas supera el precio.</w:t>
      </w:r>
    </w:p>
    <w:p>
      <w:pPr>
        <w:pStyle w:val="Heading1"/>
      </w:pPr>
      <w:r>
        <w:t xml:space="preserve">22. Suma de partes</w:t>
      </w:r>
    </w:p>
    <w:p>
      <w:pPr>
        <w:pStyle w:val="Confianza"/>
        <w:spacing w:after="100"/>
      </w:pPr>
      <w:r>
        <w:t xml:space="preserve">Confianza: Media</w:t>
      </w:r>
    </w:p>
    <w:p>
      <w:pPr>
        <w:spacing w:after="100"/>
      </w:pPr>
      <w:r>
        <w:t xml:space="preserve">No aplica: los electrodomésticos y los intercambiadores de calor ya solo suman el 17 % de las ventas de 2025 y menos del 6 % del 1S26, con margen bruto del 8-30 %, y la empresa no publica el resultado por segmento; el valor está en inversores y baterías, que comparten clientes, canal y electrónica [1, 6].</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CNY) · precio actual 71,3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76,72 CNY (+7,5 % sobre 71,35).</w:t>
      </w:r>
    </w:p>
    <w:p>
      <w:pPr>
        <w:spacing w:after="100"/>
      </w:pPr>
      <w:r>
        <w:t xml:space="preserve">Pesos: DCF 40 %, escenarios 40 % y comparables 20 %. El DCF y los escenarios recogen el ciclo y la caja; los comparables pesan poco porque mezclan empresas en fases distintas del ciclo (Pylontech y Kehua a 22-25 veces con beneficios deprimidos, Sungrow y CATL a 10-11). Sin transacciones con múltiplo publicado y sin suma de partes (los negocios heredados pesan menos del 6 % de las ventas del 1S26). La dispersión entre métodos es moderada: el PER de los comparables da 76,37 CNY y el EV/EBITDA de los últimos doce meses 70,16 CNY, en torno al DCF (78,49). El puente parte del balance de junio de 2026 y resta el dividendo a cuenta de 2.037 M pagado el 14-oct y la recompra de 40 M [12, 23].</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(13.6x) a mitad de camino hacia la mediana de 5 años (13.7x)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+39,3 %</w:t>
            </w:r>
          </w:p>
        </w:tc>
      </w:tr>
    </w:tbl>
    <w:p>
      <w:pPr>
        <w:spacing w:after="160" w:before="0"/>
      </w:pPr>
    </w:p>
    <w:p>
      <w:pPr>
        <w:spacing w:after="100"/>
      </w:pPr>
      <w:r>
        <w:rPr>
          <w:b/>
          <w:bCs/>
        </w:rPr>
        <w:t xml:space="preserve">Objetivo a 12 meses (ponderado):</w:t>
      </w:r>
      <w:r>
        <w:t xml:space="preserve"> 71,18 CNY · rentabilidad +2,7 % (base +10,0 %) · señal Mantener.</w:t>
      </w:r>
    </w:p>
    <w:p>
      <w:pPr>
        <w:spacing w:after="100"/>
      </w:pPr>
      <w:r>
        <w:t xml:space="preserve">Para comparar, con la regla v2 (historia al cierre, mismo precio): 11,5x / 13,6x / 17,6x, 10,6 %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(5,26) queda un 7 % por debajo del consenso (5,64) y el de 2028e (5,62), un 15 % por debajo (6,59) [29]. La diferencia es de ventas y margen: el consenso espera 27.700 M en 2027e y 32.800 M en 2028e con un margen EBITDA del 29-30 %; nosotros 29.300 M y 32.900 M con un margen que baja al 27,5 % y al 26,5 % por la mezcla de baterías, la competencia y la exclusión europea. El precio base (76,43) queda un 44 % por debajo del objetivo medio de los analistas (135,48), que además parece sin ajustar en parte a la ampliación liberada de 0,4 de mayo de 2026 (Soochow da 123 CNY con 20 veces el BPA de 2027e) [13, 30]. La distancia viene sobre todo del múltiplo: los analistas aplican 20 veces y la regla común, 13,6.</w:t>
      </w:r>
    </w:p>
    <w:p>
      <w:pPr>
        <w:keepNext/>
        <w:spacing w:after="100"/>
      </w:pPr>
      <w:r>
        <w:rPr>
          <w:b/>
          <w:bCs/>
        </w:rPr>
        <w:t xml:space="preserve">Del valor intrínseco al objetivo a 12 meses.</w:t>
      </w:r>
    </w:p>
    <w:p>
      <w:pPr>
        <w:spacing w:after="100"/>
      </w:pPr>
      <w:r>
        <w:t xml:space="preserve">El objetivo a 12 meses (ponderado 71,18 CNY; base 76,43) queda cerca del valor intrínseco (76,72): las dos medidas dicen que la acción está en precio. El base sube un 10 % por crecimiento del beneficio y dividendo, sin revalorización: el PER actual (13,6) ya está en su mediana adelantada de 2023-2025. El bajista pesa mucho porque replica la caída de 2023 con un PER de 10,9 veces. Para que la acción suba más haría falta que el mercado vuelva a pagar 17 veces (2024) o que el 2027e salga como espera el consenso; el catalizador con fecha más próximo es el informe del 3T26 (30-oct), pero el beneficio ya está adelantado.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margen y existencias del trimestre; el beneficio ya está adelantado (4.220-4.320 M en 9M26) [10, 35]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 a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de invierno en Ucrania y Europa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Soochow espera que la producción de octubre se mantenga y más de 1,3 millones de inversores residenciales en 2026 [13]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Hong Kong (acciones H)</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de tamaño desconocido y posible descuento; más visibilidad internacional [25]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Reforma de la Ley de Ciberseguridad de la UE (inversores)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extender al mercado privado la exclusión de inversores chinos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final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2026e de ≈ 3 CNY por acción según el consenso (1,6 ya pagados) [29]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hasta 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100-200 M CNY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Pequeña (0,2 % del capital) y para incentivos [23]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pico de demanda y ciclo de existencias en los distribuidores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−49 %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 más de 160 países y peso creciente del comercial e industrial; caja neta de ≈ 9.200 M [6,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ventas trimestrales frente al trimestre anterior y subida de existencias por encima de 4.000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Exclusión de inversores chinos en la UE más allá de los fondos públicos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(pérdida de la mitad de Europa)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es el 32,7 % de las ventas y el resto crece; planta en Malasia [9,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de reforma de la Ley de Ciberseguridad de la UE con restricciones al mercado privado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Guerra de precios entre fabricantes chinos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por cada 2 puntos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51 % en el inversor de almacenamiento y costes de fabricante de electrodomésticos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grupo por debajo del 34 %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Yuan fuerte y pérdidas de cambio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plazo y fabricación en Malasia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de cambio por encima de 300 M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y descuento de la salida a Hong Kong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emisión entra a precio de mercado y aporta caja; la familia mantiene el control [25].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Folleto definitivo con tamaño superior al 10 % del capital o descuento H/A superior al 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las celdas de litio y escasez de chips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chinos alternativos y compras adelantadas en el 1S26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las baterías por debajo del 28 %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distribuidores y mercados frágiles (Pakistán, Líbano, Ucrania, Irak)</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adelantado o a 40-90 días; el primer cliente es el 10 % de las ventas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Aumento de deterioros de cuentas a cobrar (66 M en 2024)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restricciones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Norteamérica es solo el 4,7 % de las ventas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Prohibición expresa de inversores chinos en la red de EE. UU.</w:t>
            </w:r>
          </w:p>
        </w:tc>
      </w:tr>
    </w:tbl>
    <w:p>
      <w:pPr>
        <w:spacing w:after="160" w:before="0"/>
      </w:pPr>
    </w:p>
    <w:p>
      <w:pPr>
        <w:pStyle w:val="Heading2"/>
      </w:pPr>
      <w:r>
        <w:t xml:space="preserve">Pre-mortem</w:t>
      </w:r>
    </w:p>
    <w:p>
      <w:pPr>
        <w:spacing w:after="100"/>
      </w:pPr>
      <w:r>
        <w:t xml:space="preserve">Octubre de 2029: Deye vale un 40 % menos. Lo que pasó: el pico de 2026 fue de existencias. Ucrania firmó un alto el fuego en 2027 y la demanda de emergencia desapareció; Australia recortó el programa de baterías a mitad de 2027 y los distribuidores europeos, que habían comprado para el invierno, dejaron de pedir durante dos trimestres, como en 2023. A la vez, la UE aprobó en 2028 la reforma de la Ley de Ciberseguridad y varios países exigieron inversores sin conexión a la nube de fabricantes chinos: Deye perdió la mitad de su negocio europeo frente a SMA, Fronius y los coreanos. Los rivales chinos, con fábricas nuevas vacías, bajaron precios un 20 % y el margen EBITDA cayó al 20 %. El beneficio de 2028 volvió a los 3.000 M de 2025 y el mercado, que ya pagaba solo 13 veces, bajó a 10. La emisión de acciones H a precio de saldo en 2027 hundió la confianza. Las señales que lo habrían anticipado: existencias al alza en el balance del 3T26 y 4T26, caída de las ventas trimestrales frente al trimestre anterior, el margen bruto por debajo del 34 % y la propuesta legislativa europea.</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 a −2 %</w:t>
      </w:r>
    </w:p>
    <w:p>
      <w:pPr>
        <w:spacing w:after="100"/>
      </w:pPr>
      <w:r>
        <w:t xml:space="preserve">Deye vende hardware de electrónica de potencia y baterías: la IA no sustituye el producto ni el canal de instaladores. Le favorece por dos vías indirectas: los centros de datos tensionan las redes y suben el precio de la electricidad, lo que mejora la rentabilidad del almacenamiento comercial, y su nube (德业云) ya usa algoritmos para comprar y vender electricidad según el precio dinámico [6]. Le perjudica que la IA abarate el diseño de inversores para competidores nuevos y que la ciberseguridad de los equipos conectados (el argumento de la UE) gane peso con ataques automatizados [17]. Ninguna de las dos mueve el valor más de un 2 % en 3-5 años. Señal: ventas de almacenamiento a centros de datos o, en contra, incidentes de seguridad en inversores conectados.</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con efecto en las cifras. Ciberseguridad y control remoto: es la base de la exclusión europea, que pone en juego parte del 32,7 % de las ventas [9, 17]. Seguridad de las baterías (incendios de litio en viviendas): Deye certifica sus productos según las normas europeas de acceso al mercado y una retirada costaría reputación y garantías [1]. Cadena de suministro: el folleto de Hong Kong identifica las celdas y el cobre como primeras materias y la escasez de chips del 1S26 [6, 9]. Lo positivo: sus productos sustituyen generadores diésel en mercados con apagones (Pakistán, Líbano, Sudáfrica).</w:t>
      </w:r>
    </w:p>
    <w:p>
      <w:pPr>
        <w:pStyle w:val="Heading2"/>
      </w:pPr>
      <w:r>
        <w:t xml:space="preserve">Controversias</w:t>
      </w:r>
    </w:p>
    <w:p>
      <w:pPr>
        <w:spacing w:after="100"/>
      </w:pPr>
      <w:r>
        <w:t xml:space="preserve">En noviembre de 2024 inversores Deye vendidos en EE. UU. por canales no autorizados dejaron de funcionar tras una comprobación de autorización; Deye negó haberlos desactivado a distancia, pero el caso alimenta la desconfianza europea [20]. En mayo de 2026 la UE excluyó de sus fondos los inversores de países de alto riesgo [17]. No constan sanciones, multas ni litigios contra Deye en los informes de 2023-2026 [1, 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del canal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semanas de existencias tienen hoy sus distribuidores en Europa, Pakistán y Australia, y cuánto de las ventas del 2T y 3T de 2026 es reposición para el invierno?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bajista replica la caída de 2023; de esto depende si 2027e crece un 25 % o cae.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Exclusión europea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europeas va a proyectos con fondos públicos y qué plan hay si la UE extiende la exclusión al mercado privado (fabricación en Malasia, nube europea)?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es el 32,7 %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a Hong Kong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tamaño tendrá la emisión de acciones H y para qué hace falta con una caja neta de ≈ 9.200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y posible descuento; uso del capital.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la batería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tienen las baterías en 2026 y cómo se fija el precio frente al de la celda?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baterías ya son el 46 % de las ventas y su margen cayó 9,5 puntos en 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las ventas en dólares y euros está cubierto y a qué tipo?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pérdidas de cambio explican el 3T26 plano.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Ucrania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 Ucrania en las ventas de 2026 y qué pasa con un alto el fuego?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emergencia puede desaparecer de golpe.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Cliente principal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relación comercial hay con el primer cliente, cuyo propietario fue consejero de la filial alemana?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(10 % de las ventas) y posible conflicto de interés [9].</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Eastmoney Guba (hilos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Frustración de pequeños inversores atrapados a 80-98 CNY: «el mejor crecimiento del sector y la acción más floja», «ya no es una acción de crecimiento sino de dividendo»; muchos hablan de vender al recuperar su precio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Eastmoney Guba (dividendo y avance del 3T)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de 1,6 CNY se recibe con quejas porque la acción bajó el doble el día del corte; otros compran «para cobrar el dividendo» y destacan que los fondos institucionales siguen dentro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Eastmoney Guba (artículos compartidos)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comparten notas de los bancos con objetivos un 70 % por encima, la entrada del fondo de la Seguridad Social y la ola de recompras; los comentarios dudan del ciclo del sector y de la competencia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que crece y acción que cae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cierto: el beneficio de 9M26 crece un 80-84 % y la acción cae un 28 % en seis meses. Los datos explican la desconfianza (pérdidas de cambio, temor al pico del ciclo y la exclusión europea), no un deterioro del negocio [10,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alto (de crecimiento a renta)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reparte el 86 % del beneficio; con 1,6 CNY a cuenta ya pagados y un dividendo de 2026e de unos 3 CNY, la rentabilidad es del 4 % [1, 12, 29].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Duda sobre el ciclo del almacenamiento y la guerra de precios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y recogido: el bajista replica la caída de 2023 (ventas trimestrales −59 %) con margen 5 puntos más bajo [3].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 pequeña y para incentivos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Cierto: 100-200 M CNY, el 0,2 % del capital, para incentivos y no para amortizar [22].</w:t>
            </w:r>
          </w:p>
        </w:tc>
      </w:tr>
    </w:tbl>
    <w:p>
      <w:pPr>
        <w:spacing w:after="160" w:before="0"/>
      </w:pPr>
    </w:p>
    <w:p>
      <w:pPr>
        <w:spacing w:after="100"/>
      </w:pPr>
      <w:r>
        <w:t xml:space="preserve">El particular chino está atrapado y cansado: muchos compraron a 80-98 CNY tras el máximo de mayo y hablan de vender al recuperar su precio, y la frase que se repite es que Deye ha pasado de acción de crecimiento a acción de dividendo [38, 39]. Es un sentimiento de capitulación parcial frente a los analistas, que siguen con 9 recomendaciones de compra de 10 [30]. No anticipa un riesgo que el informe no tenga: las dudas son el ciclo y la competencia, ya en el bajista. Como señal contraria, el pesimismo de los foros con el beneficio creciendo un 80 % encaja con un precio que descuenta poco crecimiento, pero no basta para comprar.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3 explicados. Fuentes: 40 (22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117 % y los ingresos un 43 %: si hubo una compra cerca del cierre, decláralo en financieros.cambios_perimetro y explícalo. Explicación: No hubo compras: el activo crece un 117 % en 2022 porque la empresa se endeudó (1.789 M de préstamos bancarios) y colocó caja en depósitos a plazo (1.685 M), y por el aumento de existencias y clientes con las ventas de inversores (+230 %)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8,0 % en 2031e frente al 10,2 %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-13,0 % frente a -13,6 % real: genera una variación de circulante de -1.393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6.241 M de flujo libre medio en sus tres primeros años, frente a 2.246 M de media real en los tres últimos: justifica el salto (circulante, inversión, márgenes) o ajusta los supuestos. Explicación: El flujo libre de 2026e se duplica porque el beneficio del 1S26 ya creció un 78,5 % y el flujo operativo del 1S26 fue de 4.195 M; el beneficio de 9M26 (4.220-4.320 M) ya supera al de todo 2025 [6, 10]. El circulante negativo (proveedores y efectos que financian existencias y clientes) se mantiene en la proyección pero se reduce del −13 % al −10 % de las ventas.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(5,62) supone un 30,8 % anual desde 2,51 (2025): explícalo en valoracion.objetivo_12m.comentario o la confianza es baja. Explicación: El BPA de 2028e (5,62) supone un 30,8 % anual desde 2025 porque 2026e ya está casi cerrado: el beneficio de 9M26 es de 4.220-4.320 M (+80-84 %), lo que da ≈ 4,48 CNY en 2026e; desde ahí el BPA crece un 12 % anual hasta 2028e [10].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(22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 8, 27,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CAS (solo cuenta abreviada sin amortizaciones trimestrales); 2) informe semestral (amortización solo semestral); 3) derivarlo con la amortización semestral prorrateada: descartado por mezclar diferencias de cambio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2025 (CNINFO): no cita calificaciones externas; 2) búsqueda de MSCI y Sustainalytics para 605117: sin ficha pública abierta; 3) prensa china (Wind ESG): sin dato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voto_remuneracion_pct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Actas de las juntas de 2025 y 2026 (CNINFO): dan el resultado por punto sin desglose de votos en contra en la remuneración; 2) dictamen del abogado de la junta: solo valida; 3) prensa: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desglose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el total antes de impuestos (6,58 M CNY); 2) política 2026: criterios sin cifras; 3) folleto de Hong Kong: remuneración agregada de consejeros sin reparto por persona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de Hong Kong y prensa sectorial (pv magazine, PV Tech): compras de fabricantes de inversores sin múltiplo publicado (Siemens-Kaco, SolarEdge-Kokam); 2) búsqueda de operaciones de almacenamiento 2020-2026 con EV/EBITDA: solo estimaciones de prensa sobre EBITDA futuro (Nextpower-Prevalon, T1-KORE), no comparables; 3) comunicados de compradores cotizados: sin múltiplos oficiales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SSE: no publica posiciones cortas por valor; 2) saldo de préstamo de valores (融券) no publicado de forma abierta para 605117; 3) Stock Analysis y Yahoo: sin dato para acciones 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revisadas (otras plataformas)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Xueqiu (雪球): la página exige JavaScript y no devuelve los mensajes; 2) Stocktwits: el símbolo 605117 no existe (404); 3) Reddit y Seeking Alpha: sin hilos sobre Deye en tres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GoodWe, Ginlong y Pylontech: sin capital invertido publicado; 2) Yahoo: capital invertido con caja incluida (no comparable con el del motor); 3) calculado con NOPAT ÷ capital invertido de Yahoo y marcado como estimación en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crecimiento_pct y ev_ebitda_ntm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(ficha de cada comparable): sin previsiones de ventas ni de EBITDA para las acciones A chinas; 2) Eastmoney: solo el BPA previsto de consenso (usado para el PER NTM); 3) MarketScreener: previsiones de pago para los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mapa de crecimiento frente a múltiplo no se dibuja; la comparación usa EV/EBITDA LTM y PER NTM</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2025年年度报告 (informe anual 2025, CAS: ventas por producto y región, trimestres, dividendos, auditor)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Ningbo Deye Technology Group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http://static.cninfo.com.cn/finalpage/2026-04-10/1225089135.PDF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2024年年度报告 (informe anual 2024, CAS: ventas por producto, trimestres 2024,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Ningbo Deye Technology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http://static.cninfo.com.cn/finalpage/2025-04-30/1223427135.PDF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2023年年度报告 (informe anual 2023, CAS: ventas por producto, trimestres 2023, reservas)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http://static.cninfo.com.cn/finalpage/2024-04-25/1219796690.PDF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2022年年度报告 (informe anual 2022, CAS: balance, cuenta y flujos consolidados de 2022 y 2021,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http://static.cninfo.com.cn/finalpage/2023-04-18/1216442355.PDF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2021年年度报告 (informe anual 2021, CAS: ventas por producto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http://static.cninfo.com.cn/finalpage/2022-04-21/1212999292.PDF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2026年半年度报告 (informe semestral 2026, CAS: balance a 30-jun-2026, cuenta y flujos del 1S26, ventas por producto, activos restringidos)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Group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http://static.cninfo.com.cn/finalpage/2026-08-27/1225509880.PDF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2026年第一季度报告 (informe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Group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http://static.cninfo.com.cn/finalpage/2026-04-30/1225254498.PDF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2025年半年度报告 (informe semestral 2025, CAS: amortizaciones y resultado del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http://static.cninfo.com.cn/finalpage/2025-08-26/1224571841.PDF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Application Proof (versión actualizada, 28-jul-2026), apéndice I: informe de los auditores (BDO Limited) con los estados NIIF de 2023, 2024, 2025 y de los cuatro meses a 30-abr-2026; capítulo «Financial Information» (ventas por región)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Corporation / HKEXnews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https://www1.hkexnews.hk/app/sehk/2026/108768/documents/sehk26072800883.pdf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2026年前三季度业绩预增公告 (avance de beneficio de los nueve primeros meses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Group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http://static.cninfo.com.cn/finalpage/2026-10-15/1225605030.PDF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2025年度利润分配及资本公积金转增股本方案 (dividendo final de 1,8 CNY y ampliación liberada 0,4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Group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http://static.cninfo.com.cn/finalpage/2026-04-10/1225089131.PDF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2026年半年度权益分派实施公告 (dividendo a cuenta de 1,6 CNY sobre 1.273,28 M de acciones, pagado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Group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http://static.cninfo.com.cn/finalpage/2026-09-30/1225587910.PDF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Soochow Securities (东吴证券): «2026年Q3业绩预告点评»</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Soochow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https://pdf.dfcfw.com/pdf/H3_AP202610151830499726_1.pdf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Guosen Securities (国信证券): «2026Q3业绩延续高增，户储及工商储业务拉动业绩增长»</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Guosen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https://pdf.dfcfw.com/pdf/H3_AP202610181830660953_1.pdf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2022年股票期权激励计划（草案）摘要 (objetivos de beneficio 2022-2024 del plan de opciones)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http://static.cninfo.com.cn/finalpage/2022-07-06/1213956293.PDF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Soochow Securities (东吴证券): «质造光储拓全场景，全球布局引领高增» (estudio de 47 páginas: instalaciones de almacenamiento residencial y comercial por región 2023-2030e)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Soochow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https://pdf.dfcfw.com/pdf/H3_AP202609101829216898_1.pdf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moves to ban high-risk inverters from China over cybersecurity threats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https://www.euronews.com/my-europe/2026/05/04/eu-moves-to-ban-high-risk-inverters-from-china-over-cybersecurity-threats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EU’s Chinese inverter ban could affect 14% of future solar demand, Wood Mackenzie says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PV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https://www.pv-tech.org/eus-chinese-inverter-ban-could-affect-14-of-future-solar-demand-wood-mackenzie-says/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cuentas anuales 2025 y últimos doce meses de Sungrow, GoodWe, Ginlong, Kstar, Pylontech, CATL, Enphase, SMA y SolarEdge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Photovoltaics: Deactivated Deye and Sol-Ark inverters in the USA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heise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https://heise.de/-10183716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关于全资子公司签署二期投资协议暨对外投资进展公告 (segunda fase de 9 GWh de la fábrica de 16 GWh de almacenamiento comercial, ≥ 1.232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Group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http://static.cninfo.com.cn/finalpage/2026-06-24/1225383163.PDF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关于以集中竞价方式回购股份的回购报告书 (recompra de 100-200 M CNY a ≤ 133 CNY para planes de incentivos, propuesta por el presidente)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Group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http://static.cninfo.com.cn/finalpage/2026-09-24/1225578250.PDF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关于以集中竞价交易方式首次回购公司股份的公告 (primera recompra: 0,57 M acciones por 40,4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Group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http://static.cninfo.com.cn/finalpage/2026-10-16/1225605974.PDF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股东集中竞价减持计划时间届满暨减持结果公告 (venta del vehículo de empleados Hengli: 1,58 M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Group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http://static.cninfo.com.cn/finalpage/2026-01-16/1224936389.PDF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关于向香港联交所递交H股发行并上市申请的进展公告 (solicitud actualizada de acciones H, 28-jul-2026)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Group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http://static.cninfo.com.cn/finalpage/2026-07-29/1225445397.PDF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关于2026年度董事及高级管理人员薪酬方案的公告 (política de remuneración de consejeros y directivos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Group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http://static.cninfo.com.cn/finalpage/2026-04-10/1225089115.PDF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关于收到实际控制人、董事长提议回购公司股份的提示性公告</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Group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http://static.cninfo.com.cn/finalpage/2026-09-09/1225552985.PDF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605117.SS, 510300.SS (ETF del CSI 300) y 159915.SZ (ETF de ChiNext): precio, rango, rentabilidades, beta, volatilidad y cierres de ejercicio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https://finance.yahoo.com/quote/605117.SS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estimaciones de consenso 2026-2028 de Ningbo Deye (ventas, EBITDA, EBIT, beneficio, BPA,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https://www.marketscreener.com/quote/stock/NINGBO-DEYE-TECHNOLOGY-GR-141869275/finances/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10 analistas, objetivo medio 135,48 CNY (máx. 187,86, mín. 91,00)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https://www.marketscreener.com/quote/stock/NINGBO-DEYE-TECHNOLOGY-GR-141869275/consensus/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centro de informes de analistas: 20 informes sobre 605117 de abr-oct 2026 con BPA 2026-2028e y recomendación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(东方财富)</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https://data.eastmoney.com/report/stock.jshtml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rendimientos de la deuda pública china (中债国债收益率曲线), 16-oct-2026: 10 años 1,648 %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ChinaBond (中央国债登记结算)</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https://yield.chinabond.com.cn/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16-oct-2026 (CNY 7,5240; USD 1,1253)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prima implícita del S&amp;P 500,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CNINFO: calendario de publicación (预约披露) del informe del 3T26 de 605117: 30-oct-2026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http://www.cninfo.com.cn/new/information/getPrbookInfo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capitalización, ventas, EBITDA, EBIT, beneficio, deuda, caja y flujo libre (anual 2025 y últimos doce meses) de los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2026年半年度业绩预增公告 (beneficio del 1S26 de 2.668-2.728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Ningbo Deye Technology Group (CNINFO)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http://static.cninfo.com.cn/finalpage/2026-07-09/1225414720.PDF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 (股吧) de 605117: hilos de particulares, páginas 1-6 (8-19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https://guba.eastmoney.com/list,605117.html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 de 605117: debates sobre el dividendo a cuenta de 1,6 CNY y el avance del 3T (11-15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https://guba.eastmoney.com/list,605117_4.html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 artículos de prensa y análisis compartidos en el foro (recompras, fondos, sector de almacenamiento)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Eastmoney Guba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https://guba.eastmoney.com/list,605117_2.html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86,2 %</w:t>
      </w:r>
      <w:r>
        <w:t xml:space="preserve"> · Secciones con menos del 60 % de campos cubiertos: </w:t>
      </w:r>
      <w:r>
        <w:rPr>
          <w:b/>
          <w:bCs/>
        </w:rPr>
        <w:t xml:space="preserve">transacciones</w:t>
      </w:r>
      <w:r>
        <w:t xml:space="preserve"> · Generado el 19 oct 2026.</w:t>
      </w:r>
    </w:p>
    <w:p>
      <w:pPr>
        <w:pStyle w:val="Nota"/>
        <w:spacing w:after="100"/>
      </w:pPr>
      <w:r>
        <w:t xml:space="preserve">Línea cotizada: solo acciones A de la bolsa de Shanghái (605117.SS), en CNY. No hay acciones H ni GDR: la solicitud para cotizar en Hong Kong (27-ene-2026, actualizada el 28-jul-2026) sigue pendiente y no tiene tamaño ni precio [25]. Desde un broker europeo como IBKR solo se compra por Shanghai-Hong Kong Stock Connect (los inversores de Stock Connect tienen el 7,98 % a través de HKSCC) [6]. Cuentas: sin XBRL público en China; 2023-2025 del informe de los auditores NIIF (BDO Limited) del folleto de Hong Kong, que es la base del DCF; 2021-2022 de los informes anuales en normas chinas (CAS), con el mismo perímetro; 1S26 y trimestres en CAS. Las diferencias entre NIIF y CAS en beneficio y patrimonio son nulas en 2023-2025 [1, 9]. BPA y dividendos de todos los años expresados por acción de hoy (ampliaciones liberadas de 0,4 en 2022, 0,8 en 2023 y 0,4 en 2024, 2025 y 2026; factor acumulado 4,94 desde 2022). Diferencias de cambio y variaciones de valor razonable fuera del EBIT (en el resultado financiero). Comparables chinos con BPA de los informes de analistas de Eastmoney; precios objetivo de MarketScreener posiblemente sin ajustar en parte a la ampliación liberada de mayo de 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Ningbo Deye Technology Group Co., Ltd. (宁波德业科技股份有限公司) (605117.SS)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71,35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(50,79 – 126,90)</c:v>
                </c:pt>
                <c:pt idx="1">
                  <c:v>Precio objetivo de los analistas (91,00 – 187,86)</c:v>
                </c:pt>
                <c:pt idx="2">
                  <c:v>Comparables: PER NTM (60,39 – 103,99)</c:v>
                </c:pt>
                <c:pt idx="3">
                  <c:v>DCF (WACC y g ± 0,5) (71,45 – 87,56)</c:v>
                </c:pt>
                <c:pt idx="4">
                  <c:v>Escenarios (bajista – alcista) (36,49 – 107,06)</c:v>
                </c:pt>
                <c:pt idx="5">
                  <c:v>DCF con la prima implícita del mercado (4,2 %)</c:v>
                </c:pt>
                <c:pt idx="6">
                  <c:v>Precio actual (71,35)</c:v>
                </c:pt>
              </c:strCache>
            </c:strRef>
          </c:cat>
          <c:val>
            <c:numRef>
              <c:f>Hoja1!$B$2:$B$8</c:f>
              <c:numCache>
                <c:formatCode>#,##0</c:formatCode>
                <c:ptCount val="7"/>
                <c:pt idx="0">
                  <c:v>50.79</c:v>
                </c:pt>
                <c:pt idx="1">
                  <c:v>91</c:v>
                </c:pt>
                <c:pt idx="2">
                  <c:v>60.39</c:v>
                </c:pt>
                <c:pt idx="3">
                  <c:v>71.45</c:v>
                </c:pt>
                <c:pt idx="4">
                  <c:v>36.49</c:v>
                </c:pt>
                <c:pt idx="5">
                  <c:v>88.53</c:v>
                </c:pt>
                <c:pt idx="6">
                  <c:v>70.99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(50,79 – 126,90)</c:v>
                </c:pt>
                <c:pt idx="1">
                  <c:v>Precio objetivo de los analistas (91,00 – 187,86)</c:v>
                </c:pt>
                <c:pt idx="2">
                  <c:v>Comparables: PER NTM (60,39 – 103,99)</c:v>
                </c:pt>
                <c:pt idx="3">
                  <c:v>DCF (WACC y g ± 0,5) (71,45 – 87,56)</c:v>
                </c:pt>
                <c:pt idx="4">
                  <c:v>Escenarios (bajista – alcista) (36,49 – 107,06)</c:v>
                </c:pt>
                <c:pt idx="5">
                  <c:v>DCF con la prima implícita del mercado (4,2 %)</c:v>
                </c:pt>
                <c:pt idx="6">
                  <c:v>Precio actual (71,35)</c:v>
                </c:pt>
              </c:strCache>
            </c:strRef>
          </c:cat>
          <c:val>
            <c:numRef>
              <c:f>Hoja1!$C$2:$C$8</c:f>
              <c:numCache>
                <c:formatCode>#,##0</c:formatCode>
                <c:ptCount val="7"/>
                <c:pt idx="0">
                  <c:v>76.11000000000001</c:v>
                </c:pt>
                <c:pt idx="1">
                  <c:v>96.86000000000001</c:v>
                </c:pt>
                <c:pt idx="2">
                  <c:v>43.599999999999994</c:v>
                </c:pt>
                <c:pt idx="3">
                  <c:v>16.11</c:v>
                </c:pt>
                <c:pt idx="4">
                  <c:v>70.57</c:v>
                </c:pt>
                <c:pt idx="5">
                  <c:v>13.909999999999997</c:v>
                </c:pt>
                <c:pt idx="6">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(CNY, millones)</a:t>
            </a:r>
          </a:p>
        </c:rich>
      </c:tx>
      <c:overlay val="0"/>
    </c:title>
    <c:autoTitleDeleted val="0"/>
    <c:plotArea>
      <c:layout/>
      <c:barChart>
        <c:barDir val="col"/>
        <c:grouping val="stacked"/>
        <c:varyColors val="0"/>
        <c:ser>
          <c:idx val="0"/>
          <c:order val="0"/>
          <c:tx>
            <c:strRef>
              <c:f>Hoja1!$B$1</c:f>
              <c:strCache>
                <c:ptCount val="1"/>
                <c:pt idx="0">
                  <c:v>Inversores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1197.5</c:v>
                </c:pt>
                <c:pt idx="1">
                  <c:v>3956.8</c:v>
                </c:pt>
                <c:pt idx="2">
                  <c:v>4429.5</c:v>
                </c:pt>
                <c:pt idx="3">
                  <c:v>5556.4</c:v>
                </c:pt>
                <c:pt idx="4">
                  <c:v>6348.1</c:v>
                </c:pt>
              </c:numCache>
            </c:numRef>
          </c:val>
        </c:ser>
        <c:ser>
          <c:idx val="1"/>
          <c:order val="1"/>
          <c:tx>
            <c:strRef>
              <c:f>Hoja1!$C$1</c:f>
              <c:strCache>
                <c:ptCount val="1"/>
                <c:pt idx="0">
                  <c:v>Baterías de almacenamiento</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884.3</c:v>
                </c:pt>
                <c:pt idx="3">
                  <c:v>2451.3</c:v>
                </c:pt>
                <c:pt idx="4">
                  <c:v>3832.4</c:v>
                </c:pt>
              </c:numCache>
            </c:numRef>
          </c:val>
        </c:ser>
        <c:ser>
          <c:idx val="2"/>
          <c:order val="2"/>
          <c:tx>
            <c:strRef>
              <c:f>Hoja1!$D$1</c:f>
              <c:strCache>
                <c:ptCount val="1"/>
                <c:pt idx="0">
                  <c:v>Intercambiadores de calor</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2327.6</c:v>
                </c:pt>
                <c:pt idx="1">
                  <c:v>1237</c:v>
                </c:pt>
                <c:pt idx="2">
                  <c:v>1344.5</c:v>
                </c:pt>
                <c:pt idx="3">
                  <c:v>1954.9</c:v>
                </c:pt>
                <c:pt idx="4">
                  <c:v>937.7</c:v>
                </c:pt>
              </c:numCache>
            </c:numRef>
          </c:val>
        </c:ser>
        <c:ser>
          <c:idx val="3"/>
          <c:order val="3"/>
          <c:tx>
            <c:strRef>
              <c:f>Hoja1!$E$1</c:f>
              <c:strCache>
                <c:ptCount val="1"/>
                <c:pt idx="0">
                  <c:v>Deshumidificadores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562.3</c:v>
                </c:pt>
                <c:pt idx="1">
                  <c:v>579.3</c:v>
                </c:pt>
                <c:pt idx="2">
                  <c:v>703.9</c:v>
                </c:pt>
                <c:pt idx="3">
                  <c:v>969.2</c:v>
                </c:pt>
                <c:pt idx="4">
                  <c:v>805.3</c:v>
                </c:pt>
              </c:numCache>
            </c:numRef>
          </c:val>
        </c:ser>
        <c:ser>
          <c:idx val="4"/>
          <c:order val="4"/>
          <c:tx>
            <c:strRef>
              <c:f>Hoja1!$F$1</c:f>
              <c:strCache>
                <c:ptCount val="1"/>
                <c:pt idx="0">
                  <c:v>Otros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80.5</c:v>
                </c:pt>
                <c:pt idx="1">
                  <c:v>182.4</c:v>
                </c:pt>
                <c:pt idx="2">
                  <c:v>117.5</c:v>
                </c:pt>
                <c:pt idx="3">
                  <c:v>274.7</c:v>
                </c:pt>
                <c:pt idx="4">
                  <c:v>300.2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Inversores</c:v>
                </c:pt>
                <c:pt idx="1">
                  <c:v>Baterías de almacenamiento</c:v>
                </c:pt>
                <c:pt idx="2">
                  <c:v>Intercambiadores de calor</c:v>
                </c:pt>
                <c:pt idx="3">
                  <c:v>Deshumidificadores</c:v>
                </c:pt>
                <c:pt idx="4">
                  <c:v>Otros</c:v>
                </c:pt>
              </c:strCache>
            </c:strRef>
          </c:cat>
          <c:val>
            <c:numRef>
              <c:f>Hoja1!$B$2:$B$6</c:f>
              <c:numCache>
                <c:formatCode>General</c:formatCode>
                <c:ptCount val="5"/>
                <c:pt idx="0">
                  <c:v>51.9</c:v>
                </c:pt>
                <c:pt idx="1">
                  <c:v>31.4</c:v>
                </c:pt>
                <c:pt idx="2">
                  <c:v>7.7</c:v>
                </c:pt>
                <c:pt idx="3">
                  <c:v>6.6</c:v>
                </c:pt>
                <c:pt idx="4">
                  <c:v>2.5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Europa</c:v>
                </c:pt>
                <c:pt idx="1">
                  <c:v>Asia (sin China continental)</c:v>
                </c:pt>
                <c:pt idx="2">
                  <c:v>China continental</c:v>
                </c:pt>
                <c:pt idx="3">
                  <c:v>África</c:v>
                </c:pt>
                <c:pt idx="4">
                  <c:v>Norteamérica</c:v>
                </c:pt>
                <c:pt idx="5">
                  <c:v>Sudamérica</c:v>
                </c:pt>
                <c:pt idx="6">
                  <c:v>Oceanía</c:v>
                </c:pt>
              </c:strCache>
            </c:strRef>
          </c:cat>
          <c:val>
            <c:numRef>
              <c:f>Hoja1!$B$2:$B$8</c:f>
              <c:numCache>
                <c:formatCode>0"%"</c:formatCode>
                <c:ptCount val="7"/>
                <c:pt idx="0">
                  <c:v>32.7</c:v>
                </c:pt>
                <c:pt idx="1">
                  <c:v>28.3</c:v>
                </c:pt>
                <c:pt idx="2">
                  <c:v>20.3</c:v>
                </c:pt>
                <c:pt idx="3">
                  <c:v>9.3</c:v>
                </c:pt>
                <c:pt idx="4">
                  <c:v>4.7</c:v>
                </c:pt>
                <c:pt idx="5">
                  <c:v>2.4</c:v>
                </c:pt>
                <c:pt idx="6">
                  <c:v>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CNY (residencial + comercial e industrial, Frost &amp; Sullivan))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2021</c:v>
                </c:pt>
                <c:pt idx="1">
                  <c:v>2022</c:v>
                </c:pt>
                <c:pt idx="2">
                  <c:v>2023</c:v>
                </c:pt>
                <c:pt idx="3">
                  <c:v>2024</c:v>
                </c:pt>
                <c:pt idx="4">
                  <c:v>2025</c:v>
                </c:pt>
                <c:pt idx="5">
                  <c:v>2026e</c:v>
                </c:pt>
                <c:pt idx="6">
                  <c:v>2027e</c:v>
                </c:pt>
                <c:pt idx="7">
                  <c:v>2028e</c:v>
                </c:pt>
                <c:pt idx="8">
                  <c:v>2031e</c:v>
                </c:pt>
              </c:strCache>
            </c:strRef>
          </c:cat>
          <c:val>
            <c:numRef>
              <c:f>Hoja1!$B$2:$B$10</c:f>
              <c:numCache>
                <c:formatCode>#,##0</c:formatCode>
                <c:ptCount val="9"/>
                <c:pt idx="0">
                  <c:v>13</c:v>
                </c:pt>
                <c:pt idx="1">
                  <c:v>32.5</c:v>
                </c:pt>
                <c:pt idx="2">
                  <c:v>50.5</c:v>
                </c:pt>
                <c:pt idx="3">
                  <c:v>70.7</c:v>
                </c:pt>
                <c:pt idx="4">
                  <c:v>99.5</c:v>
                </c:pt>
                <c:pt idx="5">
                  <c:v>128.8</c:v>
                </c:pt>
                <c:pt idx="6">
                  <c:v>164.8</c:v>
                </c:pt>
                <c:pt idx="7">
                  <c:v>213.3</c:v>
                </c:pt>
                <c:pt idx="8">
                  <c:v>491.3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Deye</c:v>
                </c:pt>
                <c:pt idx="1">
                  <c:v>Sungrow Power Supply</c:v>
                </c:pt>
                <c:pt idx="2">
                  <c:v>Huawei Digital Power</c:v>
                </c:pt>
                <c:pt idx="3">
                  <c:v>GoodWe</c:v>
                </c:pt>
                <c:pt idx="4">
                  <c:v>Ginlong (Solis)</c:v>
                </c:pt>
                <c:pt idx="5">
                  <c:v>Kstar</c:v>
                </c:pt>
                <c:pt idx="6">
                  <c:v>Pylontech</c:v>
                </c:pt>
                <c:pt idx="7">
                  <c:v>Enphase Energy</c:v>
                </c:pt>
                <c:pt idx="8">
                  <c:v>SMA Solar</c:v>
                </c:pt>
              </c:strCache>
            </c:strRef>
          </c:cat>
          <c:val>
            <c:numRef>
              <c:f>Hoja1!$B$2:$B$10</c:f>
              <c:numCache>
                <c:formatCode>0.0"%"</c:formatCode>
                <c:ptCount val="9"/>
                <c:pt idx="0">
                  <c:v>27.7</c:v>
                </c:pt>
                <c:pt idx="1">
                  <c:v>18.6</c:v>
                </c:pt>
                <c:pt idx="3">
                  <c:v>1.6</c:v>
                </c:pt>
                <c:pt idx="4">
                  <c:v>14.8</c:v>
                </c:pt>
                <c:pt idx="5">
                  <c:v>13.8</c:v>
                </c:pt>
                <c:pt idx="6">
                  <c:v>1.4</c:v>
                </c:pt>
                <c:pt idx="7">
                  <c:v>14.2</c:v>
                </c:pt>
                <c:pt idx="8">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2</c:v>
                </c:pt>
                <c:pt idx="3">
                  <c:v>4</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(CNY,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Hoja1!$A$2:$A$12</c:f>
              <c:strCache>
                <c:ptCount val="11"/>
                <c:pt idx="0">
                  <c:v>2021</c:v>
                </c:pt>
                <c:pt idx="1">
                  <c:v>2022</c:v>
                </c:pt>
                <c:pt idx="2">
                  <c:v>2023</c:v>
                </c:pt>
                <c:pt idx="3">
                  <c:v>2024</c:v>
                </c:pt>
                <c:pt idx="4">
                  <c:v>2025</c:v>
                </c:pt>
                <c:pt idx="5">
                  <c:v>2026e</c:v>
                </c:pt>
                <c:pt idx="6">
                  <c:v>2027e</c:v>
                </c:pt>
                <c:pt idx="7">
                  <c:v>2028e</c:v>
                </c:pt>
                <c:pt idx="8">
                  <c:v>2029e</c:v>
                </c:pt>
                <c:pt idx="9">
                  <c:v>2030e</c:v>
                </c:pt>
                <c:pt idx="10">
                  <c:v>2031e</c:v>
                </c:pt>
              </c:strCache>
            </c:strRef>
          </c:cat>
          <c:val>
            <c:numRef>
              <c:f>Hoja1!$B$2:$B$12</c:f>
              <c:numCache>
                <c:formatCode>#,##0</c:formatCode>
                <c:ptCount val="11"/>
                <c:pt idx="0">
                  <c:v>4167.9</c:v>
                </c:pt>
                <c:pt idx="1">
                  <c:v>5955.5</c:v>
                </c:pt>
                <c:pt idx="2">
                  <c:v>7479.7</c:v>
                </c:pt>
                <c:pt idx="3">
                  <c:v>11206.5</c:v>
                </c:pt>
                <c:pt idx="4">
                  <c:v>12223.7</c:v>
                </c:pt>
                <c:pt idx="5">
                  <c:v>23470</c:v>
                </c:pt>
                <c:pt idx="6">
                  <c:v>29337</c:v>
                </c:pt>
                <c:pt idx="7">
                  <c:v>32857</c:v>
                </c:pt>
                <c:pt idx="8">
                  <c:v>35486</c:v>
                </c:pt>
                <c:pt idx="9">
                  <c:v>37615</c:v>
                </c:pt>
                <c:pt idx="10">
                  <c:v>39120</c:v>
                </c:pt>
              </c:numCache>
            </c:numRef>
          </c:val>
        </c:ser>
        <c:ser>
          <c:idx val="1"/>
          <c:order val="1"/>
          <c:tx>
            <c:strRef>
              <c:f>Hoja1!$C$1</c:f>
              <c:strCache>
                <c:ptCount val="1"/>
                <c:pt idx="0">
                  <c:v>EBITDA</c:v>
                </c:pt>
              </c:strCache>
            </c:strRef>
          </c:tx>
          <c:spPr>
            <a:solidFill>
              <a:srgbClr val="EB6834"/>
            </a:solidFill>
            <a:ln w="9525">
              <a:noFill/>
            </a:ln>
          </c:spPr>
          <c:invertIfNegative val="0"/>
          <c:cat>
            <c:strRef>
              <c:f>Hoja1!$A$2:$A$12</c:f>
              <c:strCache>
                <c:ptCount val="11"/>
                <c:pt idx="0">
                  <c:v>2021</c:v>
                </c:pt>
                <c:pt idx="1">
                  <c:v>2022</c:v>
                </c:pt>
                <c:pt idx="2">
                  <c:v>2023</c:v>
                </c:pt>
                <c:pt idx="3">
                  <c:v>2024</c:v>
                </c:pt>
                <c:pt idx="4">
                  <c:v>2025</c:v>
                </c:pt>
                <c:pt idx="5">
                  <c:v>2026e</c:v>
                </c:pt>
                <c:pt idx="6">
                  <c:v>2027e</c:v>
                </c:pt>
                <c:pt idx="7">
                  <c:v>2028e</c:v>
                </c:pt>
                <c:pt idx="8">
                  <c:v>2029e</c:v>
                </c:pt>
                <c:pt idx="9">
                  <c:v>2030e</c:v>
                </c:pt>
                <c:pt idx="10">
                  <c:v>2031e</c:v>
                </c:pt>
              </c:strCache>
            </c:strRef>
          </c:cat>
          <c:val>
            <c:numRef>
              <c:f>Hoja1!$C$2:$C$12</c:f>
              <c:numCache>
                <c:formatCode>#,##0</c:formatCode>
                <c:ptCount val="11"/>
                <c:pt idx="0">
                  <c:v>678.9</c:v>
                </c:pt>
                <c:pt idx="1">
                  <c:v>1715.7</c:v>
                </c:pt>
                <c:pt idx="2">
                  <c:v>2125.8</c:v>
                </c:pt>
                <c:pt idx="3">
                  <c:v>3304.5</c:v>
                </c:pt>
                <c:pt idx="4">
                  <c:v>3621.5</c:v>
                </c:pt>
                <c:pt idx="5">
                  <c:v>6924</c:v>
                </c:pt>
                <c:pt idx="6">
                  <c:v>8068</c:v>
                </c:pt>
                <c:pt idx="7">
                  <c:v>8707</c:v>
                </c:pt>
                <c:pt idx="8">
                  <c:v>9226</c:v>
                </c:pt>
                <c:pt idx="9">
                  <c:v>9592</c:v>
                </c:pt>
                <c:pt idx="10">
                  <c:v>9780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22.9</c:v>
                </c:pt>
                <c:pt idx="1">
                  <c:v>38</c:v>
                </c:pt>
                <c:pt idx="2">
                  <c:v>39.2</c:v>
                </c:pt>
                <c:pt idx="3">
                  <c:v>38.6</c:v>
                </c:pt>
                <c:pt idx="4">
                  <c:v>38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16.3</c:v>
                </c:pt>
                <c:pt idx="1">
                  <c:v>28.8</c:v>
                </c:pt>
                <c:pt idx="2">
                  <c:v>28.4</c:v>
                </c:pt>
                <c:pt idx="3">
                  <c:v>29.5</c:v>
                </c:pt>
                <c:pt idx="4">
                  <c:v>29.6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c:v>
                </c:pt>
                <c:pt idx="1">
                  <c:v>27.6</c:v>
                </c:pt>
                <c:pt idx="2">
                  <c:v>26.7</c:v>
                </c:pt>
                <c:pt idx="3">
                  <c:v>27.9</c:v>
                </c:pt>
                <c:pt idx="4">
                  <c:v>27.7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13.9</c:v>
                </c:pt>
                <c:pt idx="1">
                  <c:v>25.5</c:v>
                </c:pt>
                <c:pt idx="2">
                  <c:v>23.9</c:v>
                </c:pt>
                <c:pt idx="3">
                  <c:v>26.4</c:v>
                </c:pt>
                <c:pt idx="4">
                  <c:v>25.9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128.2</c:v>
                </c:pt>
                <c:pt idx="1">
                  <c:v>176.5</c:v>
                </c:pt>
                <c:pt idx="2">
                  <c:v>36.2</c:v>
                </c:pt>
                <c:pt idx="3">
                  <c:v>3.7</c:v>
                </c:pt>
                <c:pt idx="4">
                  <c:v>1.3</c:v>
                </c:pt>
                <c:pt idx="5">
                  <c:v>5.9</c:v>
                </c:pt>
                <c:pt idx="6">
                  <c:v>73.8</c:v>
                </c:pt>
                <c:pt idx="7">
                  <c:v>108.2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26</c:v>
                </c:pt>
                <c:pt idx="1">
                  <c:v>40</c:v>
                </c:pt>
                <c:pt idx="2">
                  <c:v>28</c:v>
                </c:pt>
                <c:pt idx="3">
                  <c:v>56</c:v>
                </c:pt>
                <c:pt idx="4">
                  <c:v>52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52</c:v>
                </c:pt>
                <c:pt idx="1">
                  <c:v>86</c:v>
                </c:pt>
                <c:pt idx="2">
                  <c:v>60</c:v>
                </c:pt>
                <c:pt idx="3">
                  <c:v>72</c:v>
                </c:pt>
                <c:pt idx="4">
                  <c:v>86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119</c:v>
                </c:pt>
                <c:pt idx="1">
                  <c:v>207</c:v>
                </c:pt>
                <c:pt idx="2">
                  <c:v>121</c:v>
                </c:pt>
                <c:pt idx="3">
                  <c:v>186</c:v>
                </c:pt>
                <c:pt idx="4">
                  <c:v>227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(CNY,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190.40000000000003</c:v>
                </c:pt>
                <c:pt idx="1">
                  <c:v>1360</c:v>
                </c:pt>
                <c:pt idx="2">
                  <c:v>1257.1</c:v>
                </c:pt>
                <c:pt idx="3">
                  <c:v>2853.3999999999996</c:v>
                </c:pt>
                <c:pt idx="4">
                  <c:v>2628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578.6</c:v>
                </c:pt>
                <c:pt idx="1">
                  <c:v>1517.4</c:v>
                </c:pt>
                <c:pt idx="2">
                  <c:v>1791</c:v>
                </c:pt>
                <c:pt idx="3">
                  <c:v>2960.3</c:v>
                </c:pt>
                <c:pt idx="4">
                  <c:v>3170.8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114.6</c:v>
                </c:pt>
                <c:pt idx="1">
                  <c:v>224</c:v>
                </c:pt>
                <c:pt idx="2">
                  <c:v>150.5</c:v>
                </c:pt>
                <c:pt idx="3">
                  <c:v>180</c:v>
                </c:pt>
                <c:pt idx="4">
                  <c:v>183.5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8.8</c:v>
                </c:pt>
                <c:pt idx="1">
                  <c:v>8.8</c:v>
                </c:pt>
                <c:pt idx="2">
                  <c:v>8.8</c:v>
                </c:pt>
                <c:pt idx="3">
                  <c:v>8.8</c:v>
                </c:pt>
                <c:pt idx="4">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21.9</c:v>
                </c:pt>
                <c:pt idx="1">
                  <c:v>45.3</c:v>
                </c:pt>
                <c:pt idx="2">
                  <c:v>38.5</c:v>
                </c:pt>
                <c:pt idx="3">
                  <c:v>40.3</c:v>
                </c:pt>
                <c:pt idx="4">
                  <c:v>32.1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-3.18</c:v>
                </c:pt>
                <c:pt idx="1">
                  <c:v>-1.92</c:v>
                </c:pt>
                <c:pt idx="2">
                  <c:v>-1.77</c:v>
                </c:pt>
                <c:pt idx="3">
                  <c:v>-2.39</c:v>
                </c:pt>
                <c:pt idx="4">
                  <c:v>-2.39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(CNY,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c:v>
                </c:pt>
                <c:pt idx="2">
                  <c:v>2028+</c:v>
                </c:pt>
              </c:strCache>
            </c:strRef>
          </c:cat>
          <c:val>
            <c:numRef>
              <c:f>Hoja1!$B$2:$B$4</c:f>
              <c:numCache>
                <c:formatCode>#,##0</c:formatCode>
                <c:ptCount val="3"/>
                <c:pt idx="0">
                  <c:v>1888</c:v>
                </c:pt>
                <c:pt idx="1">
                  <c:v>11</c:v>
                </c:pt>
                <c:pt idx="2">
                  <c:v>87.6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(CNY,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137.2</c:v>
                </c:pt>
                <c:pt idx="3">
                  <c:v>10.6</c:v>
                </c:pt>
                <c:pt idx="4">
                  <c:v>88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131.6</c:v>
                </c:pt>
                <c:pt idx="1">
                  <c:v>202.8</c:v>
                </c:pt>
                <c:pt idx="2">
                  <c:v>538.2</c:v>
                </c:pt>
                <c:pt idx="3">
                  <c:v>1677.5</c:v>
                </c:pt>
                <c:pt idx="4">
                  <c:v>2683.4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200</c:v>
                </c:pt>
                <c:pt idx="3">
                  <c:v>0</c:v>
                </c:pt>
                <c:pt idx="4">
                  <c:v>100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4</c:v>
                </c:pt>
                <c:pt idx="1">
                  <c:v>1</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Ningbo Meishan Aisirui Investment (controlada por Zhang Hejun)</c:v>
                </c:pt>
                <c:pt idx="1">
                  <c:v>Zhang Hejun</c:v>
                </c:pt>
                <c:pt idx="2">
                  <c:v>HKSCC (inversores de Stock Connect)</c:v>
                </c:pt>
                <c:pt idx="3">
                  <c:v>Hengli (vehículo de los empleados)</c:v>
                </c:pt>
                <c:pt idx="4">
                  <c:v>Fondo de la Seguridad Social 103</c:v>
                </c:pt>
                <c:pt idx="5">
                  <c:v>Lu Yazhu</c:v>
                </c:pt>
              </c:strCache>
            </c:strRef>
          </c:cat>
          <c:val>
            <c:numRef>
              <c:f>Hoja1!$B$2:$B$7</c:f>
              <c:numCache>
                <c:formatCode>0.0"%"</c:formatCode>
                <c:ptCount val="6"/>
                <c:pt idx="0">
                  <c:v>35.2</c:v>
                </c:pt>
                <c:pt idx="1">
                  <c:v>22.26</c:v>
                </c:pt>
                <c:pt idx="2">
                  <c:v>7.98</c:v>
                </c:pt>
                <c:pt idx="3">
                  <c:v>1.6</c:v>
                </c:pt>
                <c:pt idx="4">
                  <c:v>0.86</c:v>
                </c:pt>
                <c:pt idx="5">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70.5</c:v>
                </c:pt>
                <c:pt idx="1">
                  <c:v>-53.6</c:v>
                </c:pt>
                <c:pt idx="2">
                  <c:v>46.6</c:v>
                </c:pt>
                <c:pt idx="3">
                  <c:v>48.9</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-20.1</c:v>
                </c:pt>
                <c:pt idx="1">
                  <c:v>-9.8</c:v>
                </c:pt>
                <c:pt idx="2">
                  <c:v>17.4</c:v>
                </c:pt>
                <c:pt idx="3">
                  <c:v>20.8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60.5</c:v>
                </c:pt>
                <c:pt idx="1">
                  <c:v>44.1</c:v>
                </c:pt>
                <c:pt idx="2">
                  <c:v>15.2</c:v>
                </c:pt>
                <c:pt idx="3">
                  <c:v>13.5</c:v>
                </c:pt>
                <c:pt idx="4">
                  <c:v>19.1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15.2</c:v>
                </c:pt>
                <c:pt idx="1">
                  <c:v>15.2</c:v>
                </c:pt>
                <c:pt idx="2">
                  <c:v>15.2</c:v>
                </c:pt>
                <c:pt idx="3">
                  <c:v>15.2</c:v>
                </c:pt>
                <c:pt idx="4">
                  <c:v>15.2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Deye</c:v>
                </c:pt>
                <c:pt idx="1">
                  <c:v>Sungrow Power Supply</c:v>
                </c:pt>
                <c:pt idx="2">
                  <c:v>GoodWe</c:v>
                </c:pt>
                <c:pt idx="3">
                  <c:v>Ginlong (Solis)</c:v>
                </c:pt>
                <c:pt idx="4">
                  <c:v>Kstar</c:v>
                </c:pt>
                <c:pt idx="5">
                  <c:v>Pylontech</c:v>
                </c:pt>
                <c:pt idx="6">
                  <c:v>CATL</c:v>
                </c:pt>
                <c:pt idx="7">
                  <c:v>Kehua Data</c:v>
                </c:pt>
                <c:pt idx="8">
                  <c:v>Enphase Energy</c:v>
                </c:pt>
              </c:strCache>
            </c:strRef>
          </c:cat>
          <c:val>
            <c:numRef>
              <c:f>Hoja1!$B$2:$B$10</c:f>
              <c:numCache>
                <c:formatCode>0.0"x"</c:formatCode>
                <c:ptCount val="9"/>
                <c:pt idx="0">
                  <c:v>10.3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(CNY,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2026e</c:v>
                </c:pt>
                <c:pt idx="1">
                  <c:v>2027e</c:v>
                </c:pt>
                <c:pt idx="2">
                  <c:v>2028e</c:v>
                </c:pt>
                <c:pt idx="3">
                  <c:v>2029e</c:v>
                </c:pt>
                <c:pt idx="4">
                  <c:v>2030e</c:v>
                </c:pt>
                <c:pt idx="5">
                  <c:v>2031e</c:v>
                </c:pt>
              </c:strCache>
            </c:strRef>
          </c:cat>
          <c:val>
            <c:numRef>
              <c:f>Hoja1!$B$2:$B$7</c:f>
              <c:numCache>
                <c:formatCode>#,##0</c:formatCode>
                <c:ptCount val="6"/>
                <c:pt idx="0">
                  <c:v>6370</c:v>
                </c:pt>
                <c:pt idx="1">
                  <c:v>6002</c:v>
                </c:pt>
                <c:pt idx="2">
                  <c:v>6351</c:v>
                </c:pt>
                <c:pt idx="3">
                  <c:v>6689</c:v>
                </c:pt>
                <c:pt idx="4">
                  <c:v>7367</c:v>
                </c:pt>
                <c:pt idx="5">
                  <c:v>7515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(CNY,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28158</c:v>
                </c:pt>
                <c:pt idx="1">
                  <c:v>62366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(CNY) · precio actual 71,35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36.49</c:v>
                </c:pt>
                <c:pt idx="1">
                  <c:v>78.49</c:v>
                </c:pt>
                <c:pt idx="2">
                  <c:v>107.06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(CNY) · precio actual 71,35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(50,79 – 126,90)</c:v>
                </c:pt>
                <c:pt idx="1">
                  <c:v>Precio objetivo de los analistas (91,00 – 187,86)</c:v>
                </c:pt>
                <c:pt idx="2">
                  <c:v>Comparables: PER NTM (60,39 – 103,99)</c:v>
                </c:pt>
                <c:pt idx="3">
                  <c:v>DCF (WACC y g ± 0,5) (71,45 – 87,56)</c:v>
                </c:pt>
                <c:pt idx="4">
                  <c:v>Escenarios (bajista – alcista) (36,49 – 107,06)</c:v>
                </c:pt>
                <c:pt idx="5">
                  <c:v>DCF con la prima implícita del mercado (4,2 %)</c:v>
                </c:pt>
                <c:pt idx="6">
                  <c:v>Precio actual (71,35)</c:v>
                </c:pt>
              </c:strCache>
            </c:strRef>
          </c:cat>
          <c:val>
            <c:numRef>
              <c:f>Hoja1!$B$2:$B$8</c:f>
              <c:numCache>
                <c:formatCode>#,##0</c:formatCode>
                <c:ptCount val="7"/>
                <c:pt idx="0">
                  <c:v>50.79</c:v>
                </c:pt>
                <c:pt idx="1">
                  <c:v>91</c:v>
                </c:pt>
                <c:pt idx="2">
                  <c:v>60.39</c:v>
                </c:pt>
                <c:pt idx="3">
                  <c:v>71.45</c:v>
                </c:pt>
                <c:pt idx="4">
                  <c:v>36.49</c:v>
                </c:pt>
                <c:pt idx="5">
                  <c:v>88.53</c:v>
                </c:pt>
                <c:pt idx="6">
                  <c:v>70.99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(50,79 – 126,90)</c:v>
                </c:pt>
                <c:pt idx="1">
                  <c:v>Precio objetivo de los analistas (91,00 – 187,86)</c:v>
                </c:pt>
                <c:pt idx="2">
                  <c:v>Comparables: PER NTM (60,39 – 103,99)</c:v>
                </c:pt>
                <c:pt idx="3">
                  <c:v>DCF (WACC y g ± 0,5) (71,45 – 87,56)</c:v>
                </c:pt>
                <c:pt idx="4">
                  <c:v>Escenarios (bajista – alcista) (36,49 – 107,06)</c:v>
                </c:pt>
                <c:pt idx="5">
                  <c:v>DCF con la prima implícita del mercado (4,2 %)</c:v>
                </c:pt>
                <c:pt idx="6">
                  <c:v>Precio actual (71,35)</c:v>
                </c:pt>
              </c:strCache>
            </c:strRef>
          </c:cat>
          <c:val>
            <c:numRef>
              <c:f>Hoja1!$C$2:$C$8</c:f>
              <c:numCache>
                <c:formatCode>#,##0</c:formatCode>
                <c:ptCount val="7"/>
                <c:pt idx="0">
                  <c:v>76.11000000000001</c:v>
                </c:pt>
                <c:pt idx="1">
                  <c:v>96.86000000000001</c:v>
                </c:pt>
                <c:pt idx="2">
                  <c:v>43.599999999999994</c:v>
                </c:pt>
                <c:pt idx="3">
                  <c:v>16.11</c:v>
                </c:pt>
                <c:pt idx="4">
                  <c:v>70.57</c:v>
                </c:pt>
                <c:pt idx="5">
                  <c:v>13.909999999999997</c:v>
                </c:pt>
                <c:pt idx="6">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