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31,06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10,4x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 EBITDA</w:t>
            </w:r>
          </w:p>
          <w:p>
            <w:pPr>
              <w:spacing w:after="0"/>
            </w:pPr>
            <w:r>
              <w:rPr>
                <w:rFonts w:ascii="Calibri" w:cs="Calibri" w:eastAsia="Calibri" w:hAnsi="Calibri"/>
                <w:b/>
                <w:bCs/>
                <w:color w:val="1F2A3C"/>
                <w:sz w:val="26"/>
                <w:szCs w:val="26"/>
              </w:rPr>
              <w:t xml:space="preserve">1,1x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5.609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31,06 EUR</w:t>
      </w:r>
      <w:r>
        <w:t xml:space="preserve"> (-1,1 % sobre 31,40; rentabilidad total esperada +1,0 %)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31,06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 / -41,1 %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 27,50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Entre 27,50 y 35,32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35,32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11,4x / 10,4x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de 11</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de 11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88,2 %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Voto a favor en la junta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38,30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39,71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34,83.</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28,50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24,52 – 35,54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4.463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29,86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24,99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26,60</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30,42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33,46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36,51</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7,7 % (base: 4,9 %)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18,1 %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27,06 EUR (-13,8 %).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40,72 (+29,7 %); con ±1x en los múltiplos, 36,48 – 44,95.</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44,95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31,06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Calculada 5024, publicada 5024: revisa acciones y precio.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99,3 %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Hoja1!$B$2:$B$10</c:f>
              <c:numCache>
                <c:formatCode>#,##0.00</c:formatCode>
                <c:ptCount val="9"/>
                <c:pt idx="0">
                  <c:v>24.1</c:v>
                </c:pt>
                <c:pt idx="1">
                  <c:v>27</c:v>
                </c:pt>
                <c:pt idx="2">
                  <c:v>29.34</c:v>
                </c:pt>
                <c:pt idx="3">
                  <c:v>29.92</c:v>
                </c:pt>
                <c:pt idx="4">
                  <c:v>24.52</c:v>
                </c:pt>
                <c:pt idx="5">
                  <c:v>24.16</c:v>
                </c:pt>
                <c:pt idx="6">
                  <c:v>18.51</c:v>
                </c:pt>
                <c:pt idx="7">
                  <c:v>36.48</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8.819999999999997</c:v>
                </c:pt>
                <c:pt idx="6">
                  <c:v>16.94</c:v>
                </c:pt>
                <c:pt idx="7">
                  <c:v>8.470000000000006</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13</c:v>
                </c:pt>
                <c:pt idx="1">
                  <c:v>13</c:v>
                </c:pt>
                <c:pt idx="2">
                  <c:v>13</c:v>
                </c:pt>
                <c:pt idx="3">
                  <c:v>13</c:v>
                </c:pt>
                <c:pt idx="4">
                  <c:v>13</c:v>
                </c:pt>
                <c:pt idx="5">
                  <c:v>13</c:v>
                </c:pt>
                <c:pt idx="6">
                  <c:v>13</c:v>
                </c:pt>
                <c:pt idx="7">
                  <c:v>13</c:v>
                </c:pt>
                <c:pt idx="8">
                  <c:v>13</c:v>
                </c:pt>
                <c:pt idx="9">
                  <c:v>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10.4</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10.4</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18.51</c:v>
                </c:pt>
                <c:pt idx="1">
                  <c:v>27.89</c:v>
                </c:pt>
                <c:pt idx="2">
                  <c:v>35.45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Hoja1!$B$2:$B$10</c:f>
              <c:numCache>
                <c:formatCode>#,##0.00</c:formatCode>
                <c:ptCount val="9"/>
                <c:pt idx="0">
                  <c:v>24.1</c:v>
                </c:pt>
                <c:pt idx="1">
                  <c:v>27</c:v>
                </c:pt>
                <c:pt idx="2">
                  <c:v>29.34</c:v>
                </c:pt>
                <c:pt idx="3">
                  <c:v>29.92</c:v>
                </c:pt>
                <c:pt idx="4">
                  <c:v>24.52</c:v>
                </c:pt>
                <c:pt idx="5">
                  <c:v>24.16</c:v>
                </c:pt>
                <c:pt idx="6">
                  <c:v>18.51</c:v>
                </c:pt>
                <c:pt idx="7">
                  <c:v>36.48</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8.819999999999997</c:v>
                </c:pt>
                <c:pt idx="6">
                  <c:v>16.94</c:v>
                </c:pt>
                <c:pt idx="7">
                  <c:v>8.470000000000006</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2026-10-06T15:53:10.848Z</dcterms:created>
  <dcterms:modified xsi:type="dcterms:W3CDTF">2026-10-06T15:53:10.852Z</dcterms:modified>
</cp:coreProperties>
</file>

<file path=docProps/custom.xml><?xml version="1.0" encoding="utf-8"?>
<Properties xmlns="http://schemas.openxmlformats.org/officeDocument/2006/custom-properties" xmlns:vt="http://schemas.openxmlformats.org/officeDocument/2006/docPropsVTypes"/>
</file>