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Viscofan, S.A.</w:t>
      </w:r>
    </w:p>
    <w:p>
      <w:pPr>
        <w:spacing w:after="60"/>
        <w:rPr>
          <w:color w:val="52514E"/>
          <w:sz w:val="22"/>
          <w:szCs w:val="22"/>
        </w:rPr>
      </w:pPr>
      <w:r>
        <w:rPr>
          <w:color w:val="52514E"/>
          <w:sz w:val="22"/>
          <w:szCs w:val="22"/>
        </w:rPr>
        <w:t xml:space="preserve">VIS · Bolsa de Madrid (Mercado Continuo) · ISIN ES0184262212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Conclusión</w:t>
            </w:r>
          </w:p>
          <w:p>
            <w:pPr>
              <w:spacing w:after="0"/>
            </w:pPr>
            <w:r>
              <w:rPr>
                <w:rFonts w:ascii="Calibri" w:cs="Calibri" w:eastAsia="Calibri" w:hAnsi="Calibri"/>
                <w:b/>
                <w:bCs/>
                <w:color w:val="1F2A3C"/>
                <w:sz w:val="26"/>
                <w:szCs w:val="26"/>
              </w:rPr>
              <w:t xml:space="preserve">Neutral</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55,98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Potencial</w:t>
            </w:r>
          </w:p>
          <w:p>
            <w:pPr>
              <w:spacing w:after="0"/>
            </w:pPr>
            <w:r>
              <w:rPr>
                <w:rFonts w:ascii="Calibri" w:cs="Calibri" w:eastAsia="Calibri" w:hAnsi="Calibri"/>
                <w:b/>
                <w:bCs/>
                <w:color w:val="1F2A3C"/>
                <w:sz w:val="26"/>
                <w:szCs w:val="26"/>
              </w:rPr>
              <w:t xml:space="preserve">+5,8 %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2.412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PER próx. 12 m</w:t>
            </w:r>
          </w:p>
          <w:p>
            <w:pPr>
              <w:spacing w:after="0"/>
            </w:pPr>
            <w:r>
              <w:rPr>
                <w:rFonts w:ascii="Calibri" w:cs="Calibri" w:eastAsia="Calibri" w:hAnsi="Calibri"/>
                <w:b/>
                <w:bCs/>
                <w:color w:val="1F2A3C"/>
                <w:sz w:val="26"/>
                <w:szCs w:val="26"/>
              </w:rPr>
              <w:t xml:space="preserve">14,2x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Viscofan,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 / ES0184262212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alimentarios (envolturas para la industria cárnica)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Tajonar (Navarra)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www.viscofan.com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48,35 – 62,30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EUR/día (101.200 acciones, media de 20 sesiones a 6-oct-2026); 3,8 M EUR/sesión de media en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Conclusión:</w:t>
      </w:r>
      <w:r>
        <w:t xml:space="preserve"> Neutral · </w:t>
      </w:r>
      <w:r>
        <w:rPr>
          <w:b/>
          <w:bCs/>
        </w:rPr>
        <w:t xml:space="preserve">Horizonte:</w:t>
      </w:r>
      <w:r>
        <w:t xml:space="preserve"> 12-18 meses · </w:t>
      </w:r>
      <w:r>
        <w:rPr>
          <w:b/>
          <w:bCs/>
        </w:rPr>
        <w:t xml:space="preserve">Valor objetivo:</w:t>
      </w:r>
      <w:r>
        <w:t xml:space="preserve"> 55,98 EUR (+5,8 % sobre 52,90)</w:t>
      </w:r>
    </w:p>
    <w:p>
      <w:pPr>
        <w:spacing w:after="100"/>
      </w:pPr>
      <w:r>
        <w:t xml:space="preserve">Viscofan es el primer fabricante mundial de envolturas para embutidos, con el 31 % del mercado de celulósica, fibrosa y plástico y el 17 % de las proteicas [4]. Es un negocio de calidad: margen EBITDA del 22-26 % durante seis años, ROIC del 16,4 % (el doble que los comparables) y deuda de 1,1x EBITDA (motor). Su competidor más directo, Viskase, pierde dinero y cierra plantas [22].</w:t>
      </w:r>
    </w:p>
    <w:p>
      <w:pPr>
        <w:spacing w:after="100"/>
      </w:pPr>
      <w:r>
        <w:t xml:space="preserve">Al precio de 52,90 € el mercado no paga esa calidad: cotiza a 8,5x EV/EBITDA y 14,2x PER de los próximos 12 meses, en línea con ingredientistas de menor rentabilidad y un 14-19 % por debajo de su media histórica (motor). El DCF inverso dice que el precio descuenta un margen terminal del 22,9 % o un crecimiento de solo el 1,7 % anual, frente al 6,5 % de 2020-2025 (motor y cálculo propio).</w:t>
      </w:r>
    </w:p>
    <w:p>
      <w:pPr>
        <w:spacing w:after="100"/>
      </w:pPr>
      <w:r>
        <w:t xml:space="preserve">Aun así, nuestro valor objetivo es de 55,98 € (+5,8 %) y los escenarios son simétricos (+22,8 % / −24,3 %) (motor). El mercado acierta en desconfiar del margen: la dirección falló el EBITDA en 2023 y 2025 y ahora avisa del rango bajo para 2026 [5][16][2]. Para invertir hay que creer que las subidas de precio del 2S26 devuelven el margen al 23-24 % en 2027 y que Danville no deja factura. Preferimos esperar a ver el margen del 9M26 o un precio cercano a 48 €, donde el alcista dobla al bajista.</w:t>
      </w:r>
    </w:p>
    <w:p>
      <w:pPr>
        <w:pStyle w:val="Heading2"/>
      </w:pPr>
      <w:r>
        <w:t xml:space="preserve">Dónde discrepamos del mercado</w:t>
      </w:r>
    </w:p>
    <w:p>
      <w:pPr>
        <w:spacing w:after="100"/>
      </w:pPr>
      <w:r>
        <w:rPr>
          <w:b/>
          <w:bCs/>
        </w:rPr>
        <w:t xml:space="preserve">Lo que descuenta el precio.</w:t>
      </w:r>
    </w:p>
    <w:p>
      <w:pPr>
        <w:spacing w:after="100"/>
      </w:pPr>
      <w:r>
        <w:t xml:space="preserve">Que el margen EBITDA se queda en torno al 22-23 % (el consenso de 2026 está por debajo de la guía de la empresa) y que Beat'30 no acelera el crecimiento; a eso suma un descuento por el riesgo de Danville y por la salida de APG [28][45][1].</w:t>
      </w:r>
    </w:p>
    <w:p>
      <w:pPr>
        <w:spacing w:after="100"/>
      </w:pPr>
      <w:r>
        <w:rPr>
          <w:b/>
          <w:bCs/>
        </w:rPr>
        <w:t xml:space="preserve">Lo que creemos nosotros.</w:t>
      </w:r>
    </w:p>
    <w:p>
      <w:pPr>
        <w:spacing w:after="100"/>
      </w:pPr>
      <w:r>
        <w:t xml:space="preserve">Coincidimos con el consenso en las cifras de 2026-2028 (nuestro EBITDA difiere menos de un 1,1 %) (motor). Discrepamos en el múltiplo: con un ROIC del 16,4 % y un competidor en retirada, Viscofan merece cotizar a 9-10x EV/EBITDA, no a 8,5x. Pero con el bono al 4,08 % no vemos un potencial suficiente para recomendarla [35].</w:t>
      </w:r>
    </w:p>
    <w:p>
      <w:pPr>
        <w:spacing w:after="100"/>
      </w:pPr>
      <w:r>
        <w:rPr>
          <w:b/>
          <w:bCs/>
        </w:rPr>
        <w:t xml:space="preserve">Por qué podemos tener razón.</w:t>
      </w:r>
    </w:p>
    <w:p>
      <w:pPr>
        <w:spacing w:after="100"/>
      </w:pPr>
      <w:r>
        <w:t xml:space="preserve">Hay datos que apoyan el margen: 15-22 M de ahorros identificados en tres plantas [4], la retirada de capacidad de Viskase [22] y el precedente de 2024, cuando el margen volvió al 23,7 % tras la inflación de 2022 [3]. Sin una visión distinta en las cifras, nuestra conclusión es neutral.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rentabilidad</w:t>
      </w:r>
      <w:r>
        <w:t xml:space="preserve">: ROIC del 16,4 % frente al 7,5 % mediano de los comparables (motor).</w:t>
      </w:r>
    </w:p>
    <w:p>
      <w:pPr>
        <w:pStyle w:val="ListParagraph"/>
        <w:numPr>
          <w:ilvl w:val="0"/>
          <w:numId w:val="2"/>
        </w:numPr>
        <w:spacing w:after="60"/>
      </w:pPr>
      <w:r>
        <w:rPr>
          <w:b/>
        </w:rPr>
        <w:t xml:space="preserve">Competidor en retirada</w:t>
      </w:r>
      <w:r>
        <w:t xml:space="preserve">: Viskase vendió un 10 % menos en 2025 y consolida sus plantas de Norteamérica [22].</w:t>
      </w:r>
    </w:p>
    <w:p>
      <w:pPr>
        <w:pStyle w:val="ListParagraph"/>
        <w:numPr>
          <w:ilvl w:val="0"/>
          <w:numId w:val="2"/>
        </w:numPr>
        <w:spacing w:after="60"/>
      </w:pPr>
      <w:r>
        <w:rPr>
          <w:b/>
        </w:rPr>
        <w:t xml:space="preserve">Valoración en mínimos</w:t>
      </w:r>
      <w:r>
        <w:t xml:space="preserve">: 8,5x EV/EBITDA NTM, un 14 % por debajo de su media de 2021-2025 (motor).</w:t>
      </w:r>
    </w:p>
    <w:p>
      <w:pPr>
        <w:pStyle w:val="ListParagraph"/>
        <w:numPr>
          <w:ilvl w:val="0"/>
          <w:numId w:val="2"/>
        </w:numPr>
        <w:spacing w:after="60"/>
      </w:pPr>
      <w:r>
        <w:rPr>
          <w:b/>
        </w:rPr>
        <w:t xml:space="preserve">Remuneración</w:t>
      </w:r>
      <w:r>
        <w:t xml:space="preserve">: 3,29 € por acción pagados con cargo a 2025, una rentabilidad del 6,2 % (motor) [21].</w:t>
      </w:r>
    </w:p>
    <w:p>
      <w:pPr>
        <w:pStyle w:val="ListParagraph"/>
        <w:numPr>
          <w:ilvl w:val="0"/>
          <w:numId w:val="2"/>
        </w:numPr>
        <w:spacing w:after="60"/>
      </w:pPr>
      <w:r>
        <w:rPr>
          <w:b/>
        </w:rPr>
        <w:t xml:space="preserve">Demanda estructural</w:t>
      </w:r>
      <w:r>
        <w:t xml:space="preserve">: la tripa natural es aún el 61 % de las envolturas proteicas que el colágeno sustituye [4].</w:t>
      </w:r>
    </w:p>
    <w:p>
      <w:pPr>
        <w:pStyle w:val="Heading2"/>
      </w:pPr>
      <w:r>
        <w:t xml:space="preserve">En contra</w:t>
      </w:r>
    </w:p>
    <w:p>
      <w:pPr>
        <w:pStyle w:val="ListParagraph"/>
        <w:numPr>
          <w:ilvl w:val="0"/>
          <w:numId w:val="2"/>
        </w:numPr>
        <w:spacing w:after="60"/>
      </w:pPr>
      <w:r>
        <w:rPr>
          <w:b/>
        </w:rPr>
        <w:t xml:space="preserve">Margen bajo presión</w:t>
      </w:r>
      <w:r>
        <w:t xml:space="preserve">: margen EBITDA del 21,9 % en el 2T26, 2,6 pp menos que un año antes [5].</w:t>
      </w:r>
    </w:p>
    <w:p>
      <w:pPr>
        <w:pStyle w:val="ListParagraph"/>
        <w:numPr>
          <w:ilvl w:val="0"/>
          <w:numId w:val="2"/>
        </w:numPr>
        <w:spacing w:after="60"/>
      </w:pPr>
      <w:r>
        <w:rPr>
          <w:b/>
        </w:rPr>
        <w:t xml:space="preserve">Guía poco fiable</w:t>
      </w:r>
      <w:r>
        <w:t xml:space="preserve">: falló el EBITDA en 2023 y 2025 y Beyond25 quedó 2,8 pp por debajo del margen prometido [16][2].</w:t>
      </w:r>
    </w:p>
    <w:p>
      <w:pPr>
        <w:pStyle w:val="ListParagraph"/>
        <w:numPr>
          <w:ilvl w:val="0"/>
          <w:numId w:val="2"/>
        </w:numPr>
        <w:spacing w:after="60"/>
      </w:pPr>
      <w:r>
        <w:rPr>
          <w:b/>
        </w:rPr>
        <w:t xml:space="preserve">Riesgo en EE. UU.</w:t>
      </w:r>
      <w:r>
        <w:t xml:space="preserve">: el informe sobre Danville costó un 13 % en una sesión y sigue abierto [45].</w:t>
      </w:r>
    </w:p>
    <w:p>
      <w:pPr>
        <w:pStyle w:val="ListParagraph"/>
        <w:numPr>
          <w:ilvl w:val="0"/>
          <w:numId w:val="2"/>
        </w:numPr>
        <w:spacing w:after="60"/>
      </w:pPr>
      <w:r>
        <w:rPr>
          <w:b/>
        </w:rPr>
        <w:t xml:space="preserve">Circulante pesado</w:t>
      </w:r>
      <w:r>
        <w:t xml:space="preserve">: el 48,1 % de las ventas; conversión de beneficio en caja libre del 65 % en 2020-2025 (motor).</w:t>
      </w:r>
    </w:p>
    <w:p>
      <w:pPr>
        <w:pStyle w:val="ListParagraph"/>
        <w:numPr>
          <w:ilvl w:val="0"/>
          <w:numId w:val="2"/>
        </w:numPr>
        <w:spacing w:after="60"/>
      </w:pPr>
      <w:r>
        <w:rPr>
          <w:b/>
        </w:rPr>
        <w:t xml:space="preserve">Escenarios simétricos</w:t>
      </w:r>
      <w:r>
        <w:t xml:space="preserve">: alcista +22,8 % frente a bajista −24,3 % (motor).</w:t>
      </w:r>
    </w:p>
    <w:p>
      <w:pPr>
        <w:pStyle w:val="Heading2"/>
      </w:pPr>
      <w:r>
        <w:t xml:space="preserve">Qué tiene que pasar para que la tesis funcione</w:t>
      </w:r>
    </w:p>
    <w:p>
      <w:pPr>
        <w:spacing w:after="100"/>
      </w:pPr>
      <w:r>
        <w:t xml:space="preserve">La tesis depende del margen. Si las subidas de precio del 2S26 funcionan, el margen EBITDA trimestral debería volver al 23 % o más en el 4T26-1T27 y el consenso de 2027 (328,1 M de EBITDA) se sostendría [28]. La señal de que no se cumple: un margen bruto por debajo del 66 % en el 3T26 o un EBITDA anual de 2026 inferior a 300 M, por debajo incluso del consenso [5].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21 % en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los precios cubren los costes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 pieles y gas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 precio sin divisa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bancaria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del dividendo extraordinario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comunicadas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(AKO,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la cotización [46].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9</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Viscofan nació en 1975 en Navarra para fabricar envolturas de celulosa y salió a bolsa en diciembre de 1986 [21]. Su modelo actual se construyó con compras que le dieron las cuatro tecnologías: Naturin (colágeno, Alemania) en 1990, Gamex (Chequia) en 1995 y Teepak (EE. UU. y México) en 2006, que la convirtió en el primer fabricante mundial de celulósica [21]. Después llegaron plantas propias de colágeno en China (2013) y Uruguay (2014) y compras pequeñas de nicho entre 2016 y 2019, la mayor Nitta Casings en EE. UU. y Canadá [15][21]. Desde 2009 la preside José Domingo de Ampuero, que dejó las funciones ejecutivas en 2024; desde entonces el primer ejecutivo es José Antonio Canales, en la casa desde 1996 [1][18]. En 2024-2025 dio el salto a colágeno bovino y golosinas para mascotas en Brasil, y en febrero de 2026 lanzó el plan Beat'30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Fundación en Navarra como Viscofan, Industria Navarra de Envolturas Celulósicas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a bolsa en el mercado continuo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Naturin (Alemania): entrada en envolturas de colágeno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planta de cogeneración en Cáseda, origen del negocio de energía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Teepak (EE. UU. y México): liderazgo mundial en celulósica y planta de Danville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Plantas de extrusión de colágeno en China y Uruguay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Nitta Casings (EE. UU. y Canadá): colágeno en Norteamérica y gel de colágeno médico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 presidencia ejecutiva; José Antonio Canales, consejero delegado. Compra del 60 % de Brasfibra y Master Couros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51 % de Pet Mania; informe bajista de Hunterbrook sobre Danville (14-oct) y caída del 13 % en la sesión [1][45].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Beat'30: 1.800 M de ingresos y 25 % de margen EBITDA en 2030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Viscofan fabrica las envolturas que dan forma a salchichas, embutidos y jamón cocido: celulosa y fibrosa (se retiran antes del consumo), colágeno comestible, plástico y, en menor medida, envolturas vegetales [1]. El negocio tradicional de envolturas aportó 1.033,7 M (83 %) de los 1.252,0 M de ingresos de 2025; los nuevos negocios (bolsas y films, ingredientes, salud y golosinas para mascotas) 159,7 M (13 %) y la venta de electricidad de la cogeneración de Cáseda 58,6 M (5 %) [2]. Vende a unos 1.700 clientes de más de 100 países, sobre todo industria cárnica, desde 22 plantas en 21 países [4]. Desde 2026 reporta cuatro divisiones: Food, Packaging and Ingredients (591,7 M en el 1S26), Health (3,8 M), Pet treats (8,3 M) y Energía (26,0 M) [5].</w:t>
      </w:r>
    </w:p>
    <w:p>
      <w:pPr>
        <w:pStyle w:val="Heading2"/>
      </w:pPr>
      <w:r>
        <w:t xml:space="preserve">Cómo gana dinero</w:t>
      </w:r>
    </w:p>
    <w:p>
      <w:pPr>
        <w:spacing w:after="100"/>
      </w:pPr>
      <w:r>
        <w:t xml:space="preserve">Es un fabricante de proceso continuo e intensivo en capital y energía: los consumos (pieles bovinas, pasta de celulosa, químicos) suponen el 33 % de las ventas, el personal el 23 % y los otros gastos de explotación, con energía y transporte, el 23 % [3]. Casi todo el ingreso es recurrente porque la envoltura se consume con cada salchicha, pero no hay contratos plurianuales: el margen depende de volumen (utilización de plantas), precio y coste de pieles y gas. El apalancamiento operativo es alto: en 2025 el crecimiento comparable de ingresos del 6,1 % llevó a un EBITDA comparable un 6,2 % mayor [2]. La divisa pesa por dos vías: ventas en dólares y costes en pesos mexicanos, reales y coronas; en el 1S26 restó 10,1 pp al crecimiento del EBITDA [7]. No hay estacionalidad relevante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 tradicional (envolturas)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 tradicional (envolturas)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atomizada: ningún cliente o grupo supera el 10 % de las ventas ni de las cuentas a cobrar, y el 90 % del riesgo de impago se asegura [5]. Los clientes son mataderos e industrias cárnicas, desde multinacionales hasta medianas regionales; cambiar de envoltura exige pruebas en sus líneas embutidoras, lo que da cierta fidelidad. El poder de precios es real pero lento: en 2022, con inflación de energía y pieles, el margen EBITDA bajó de 25,5 % a 22,2 % y tardó dos años en volver al 23,7 % [3][16]; en 2025 el mix de precios quedó ligeramente por debajo de 2024 [2]; y en el 2T26, con el gas disparado por el conflicto de Oriente Medio, la empresa anunció nuevas subidas que espera notar en la segunda mitad [5]. Es decir, repercute la inflación de costes con dos o tres trimestres de retraso.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(ingresos − consumos)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 (2025); 68,0 %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las pieles de colágeno en Europa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del bono anual; volvió a subir a 436,9 M en jun-26 [2][19][6].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Brasil y más turnos por volumen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100 M; media Beat'30: 120 M/año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(EBITDA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205,9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medio Beat'30: 250 M/año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bancaria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(dic-25); 283,3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por recompras y dividendo extraordinario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Índice de gravedad de accidentes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 (2021)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del variable de directivos [4][19].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 pagados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1,00 € extraordinario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envolturas para productos cárnicos: proteicas (colágeno, tripa natural, vegetal y coextrusión) y de contacto alimentario (celulosa, fibrosa y plástico), en todo el mundo. Usamos como cifra principal la de Viscofan, unos 5.100 M EUR en 2025 (3.300 M proteicas, de las que el 61 % es tripa natural, y 1.800 M de contacto alimentario) [4], porque separa familias y cuotas. La contrastamos con GM Insights, que estimaba 6.200 M USD en 2022 con un perímetro más amplio de tripa natural [26], y con Meticulous Research, que solo mide el colágeno (2.310 M USD en 2031) [27]. El negocio de bolsas y films compite en un mercado de envases cárnicos de 24.000 M en el que Viscofan tiene el 0,1 % [4]. Los cinco primeros fabricantes (Viscofan, Viskase, Devro, Kalle y Shenguan) suman unos 2.100 M de ingresos, ≈ 42 % del total incluida la tripa natural (estimación propia con [22][23][24][25]).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EUR en 2025 (Viscofan [4]); 6.200 M USD en 2022 (GM Insights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M Insights; 2024e-2030e interpolados por nosotros al TCAC del 3,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de la tripa natural por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es el 61 % de las envolturas proteicas; Viscofan espera que estas crezcan un 7 % anual en 2025-2030 [4] y Meticulous un 6,4 % el colágeno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de carne procesada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Sudamérica creció un 14,7 % comparable y Asia-Pacífico un 7,3 % en el 1S26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y escasez de mano de obra en cárnicas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envolturas artificiales permiten embutidoras de alta velocidad; Viscofan lo sitúa entre los motores del plan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Racionalización de capacidad de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Viskase vendió un 10 % menos en 2025 (−37 M USD por volumen) y concentra sus plantas norteamericanas en una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pieles, gas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consumos subieron un 16,8 % en el 2T26 y el margen bruto cayó 3,5 pp [5]; los derechos de CO2 costaron 15,9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venta y de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Restaron 3,0 pp a los ingresos y 4,6 pp al EBITDA de 2025, y 10,1 pp al EBITDA del 1S26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tiene el 31 % de las envolturas de contacto y el número dos el 17 % [4]; Viskase, previsiblemente ese número dos, pierde volumen y necesitó 45 M USD de su accionista para atender su deuda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atomizados (ninguno &gt; 10 %) [5], pero los grandes cárnicos negocian anualmente y el mix de precios cayó ligeramente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Pieles bovinas, celulosa y gas son materias con pocas alternativas: los consumos subieron un 16,8 % en el 2T26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propia de extrusión, homologación alimentaria y escala: solo el capex de crecimiento previsto en contacto alimentario es de 75 M [4]; el mayor fabricante chino, Shenguan, pierde dinero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(61 % de las proteicas) [4] y la coextrusión compiten con el colágeno; Viscofan ofrece ambas alternativas.</w:t>
            </w:r>
          </w:p>
        </w:tc>
      </w:tr>
    </w:tbl>
    <w:p>
      <w:pPr>
        <w:spacing w:after="160" w:before="0"/>
      </w:pPr>
    </w:p>
    <w:p>
      <w:pPr>
        <w:pStyle w:val="Heading2"/>
      </w:pPr>
      <w:r>
        <w:t xml:space="preserve">Ciclo</w:t>
      </w:r>
    </w:p>
    <w:p>
      <w:pPr>
        <w:spacing w:after="100"/>
      </w:pPr>
      <w:r>
        <w:t xml:space="preserve">La demanda en volumen es poco cíclica: crece en torno al 4 % anual (media histórica) [41] y Viscofan aumentó ingresos un 7,4 % y EBITDA un 16,7 % en 2020, en plena pandemia [16]. Lo cíclico son los costes: en 2022 la inflación de energía y pieles recortó el margen EBITDA de 25,5 % a 22,2 % [16]. Hoy los volúmenes crecen y los costes vuelven a subir (gas, pieles, transporte tras el conflicto de Oriente Medio) [5], una situación parecida a 2022.</w:t>
      </w:r>
    </w:p>
    <w:p>
      <w:pPr>
        <w:pStyle w:val="Heading2"/>
      </w:pPr>
      <w:r>
        <w:t xml:space="preserve">Regulación</w:t>
      </w:r>
    </w:p>
    <w:p>
      <w:pPr>
        <w:spacing w:after="100"/>
      </w:pPr>
      <w:r>
        <w:t xml:space="preserve">Tres normas mueven cifras. La UE excluyó en septiembre de 2026 las pieles bovinas del reglamento de deforestación (EUDR), lo que aligera la compra de pieles para colágeno; la madera, base de la pasta de celulosa, sigue dentro y los grandes operadores deben cumplir desde el 30-dic-2026 [51]. El régimen europeo de derechos de emisión costó 15,9 M en 2025 por 242.857 toneladas [1]. Y la retribución de la cogeneración en España ha reducido los ingresos de energía un 15,4 % en el 1S26 [5]. En comercio, el arancel del 50 % de EE. UU. a Brasil (ago-2025) hundió las ventas de Pet Mania [2].</w:t>
      </w:r>
    </w:p>
    <w:p>
      <w:pPr>
        <w:pStyle w:val="Heading2"/>
      </w:pPr>
      <w:r>
        <w:t xml:space="preserve">Tendencias y disrupción</w:t>
      </w:r>
    </w:p>
    <w:p>
      <w:pPr>
        <w:spacing w:after="100"/>
      </w:pPr>
      <w:r>
        <w:t xml:space="preserve">Tres tendencias favorecen a Viscofan: el paso de tripa natural a colágeno, la automatización de las cárnicas y la retirada de capacidad de competidores débiles (Viskase) [4][22]. La coextrusión (envoltura aplicada como gel) y las envolturas vegetales son amenazas de sustitución, pero Viscofan las fabrica. El riesgo competitivo nuevo viene de China en colágeno, aunque Shenguan, el mayor, cerró 2025 con pérdidas y margen bruto del 10 % [24]. En nuevos negocios (bolsas, péptidos, golosinas para mascotas) Viscofan es un actor pequeño frente a grandes envasadores e ingredientistas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envolturas: 31 % de las de contacto alimentario y 17 % de las proteicas (≈ 22 % del total, estimación propia ponderando por tamaño)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Viskase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VKSC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Celulósica, fibrosa y plástico; filial (93 %) de Icahn Enterprises. Ventas 2025 −10 %, margen bruto 10 %; cierra plantas en Norteamérica [22]. Probable número dos en contacto alimentario (17 % según el gráfico de Viscofan, que no lo nombra) [4]. Ingresos convertidos a 1,13 USD/EUR.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Devro (SARIA)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290 M GBP de ingresos en 2022 [47]; margen operativo subyacente del 16,6 % en 2021, último publicado [23]. Excluida de bolsa en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Kalle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Fibrosa, plástico y textil; privada; unos 300 M EUR de ingresos y 290 M EUR de deuda refinanciada con Hayfin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Shenguan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en China; 1.023 M CNY de ingresos y pérdida operativa de 56 M CNY en 2025 [24]. Convertido a 8,1 CNY/EUR.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aplica: el valor de la envoltura para un cliente no depende de cuántos la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Cambiar de envoltura exige pruebas en la línea embutidora; la cartera es estable, pero el mix de precios bajó en 2025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propia de extrusión (Cáseda logró más de 10 M de ahorros en celulósica) [15]; las patentes no son la barrera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 22-26 % en 2020-2025 frente a márgenes operativos negativos de Viskase y Shenguan en 2025 [3][22][24]; ROIC del 13,9-16,4 % (motor).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5.100 M con 22 plantas propias en 21 países; el número dos en contacto alimentario tiene la mitad de cuota (17 % frente a 31 %) [4].</w:t>
            </w:r>
          </w:p>
        </w:tc>
      </w:tr>
    </w:tbl>
    <w:p>
      <w:pPr>
        <w:spacing w:after="160" w:before="0"/>
      </w:pPr>
    </w:p>
    <w:p>
      <w:pPr>
        <w:pStyle w:val="Heading2"/>
      </w:pPr>
      <w:r>
        <w:t xml:space="preserve">Amenazas</w:t>
      </w:r>
    </w:p>
    <w:p>
      <w:pPr>
        <w:spacing w:after="100"/>
      </w:pPr>
      <w:r>
        <w:t xml:space="preserve">La principal amenaza no es un entrante sino el coste: si pieles, gas y transporte siguen subiendo más deprisa que los precios, el margen puede volver al 22 % de 2022-2023 (probabilidad media) [5][16]. Segunda, un comprador con caja que recapitalice a Viskase o Kalle y reactive la competencia en precio en EE. UU. (baja) [22][25]. Tercera, la coextrusión y las envolturas vegetales como sustitutos del colágeno (baja a cinco años). Cuarta, la reputación en EE. UU. tras el informe de Hunterbrook sobre Danville, que no ha generado reclamaciones pero sí costes de asesoría [1][45].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4,3 %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a un TCAC del 6,5 % en 2020-2025, pero el EBITDA solo al 4,3 % y el BPA al 6,0 % (motor). Casi todo el crecimiento es orgánico: las compras de Brasil aportaron 0,9 pp en 2025 [2]. El salto de 2022 (+23,9 %) se explica por precios y por la energía, que pasó de 44 M a 93 M de ingresos [17][16]. El margen EBITDA cayó de 25,7 % en 2020 a 21,9 % en 2023 (−380 pb) por pieles y gas, recuperó el 23,7 % en 2024 y bajó al 23,2 % en 2025 por divisa; en términos comparables fue estable en 23,7 % [2]. En el LTM a junio de 2026 el margen es del 22,1 % (motor), con el 2T26 en 21,9 % por la subida del gas [5]. El margen neto (12,8 %) se sostiene mejor porque la tasa fiscal de 2025 fue del 10,1 % [2].</w:t>
      </w:r>
    </w:p>
    <w:p>
      <w:pPr>
        <w:pStyle w:val="Heading2"/>
      </w:pPr>
      <w:r>
        <w:t xml:space="preserve">Ajustes y partidas no recurrentes</w:t>
      </w:r>
    </w:p>
    <w:p>
      <w:pPr>
        <w:spacing w:after="100"/>
      </w:pPr>
      <w:r>
        <w:t xml:space="preserve">Usamos cifras reportadas; la empresa no presenta beneficio ajustado. Partidas no recurrentes relevantes: en 2025, 18,0 M de activación de bases imponibles negativas en EE. UU. que bajaron la tasa fiscal al 10,1 % (sin ella habría sido del 20,3 %, estimación propia) [2]; 5,0 M más en el 1S25 [7]. Las diferencias de cambio, dentro del resultado financiero, oscilan mucho: +13,0 M en 2024 y −20,1 M en 2025 [2]. En 2024 el presidente cobró 1,3 M de indemnización al dejar las funciones ejecutivas [1]. Las cifras de 2024 están reexpresadas por la asignación definitiva del precio de Brasfibra y Master Couros [1]. Ninguna de estas partidas toca el EBITDA, que no tiene ajustes.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(30-jul-2026) el mensaje cambió respecto a febrero: el crecimiento de volúmenes sigue en todas las regiones, pero «el entorno de costes cambió significativamente» en el 2T por el conflicto de Oriente Medio (gas, plásticos, auxiliares y transporte), y la dirección mantuvo la guía 2026 aunque avisó de que el EBITDA quedará más probablemente en el rango bajo (+5 %) [5][7]. En febrero el tono era de «máximos históricos» y crecimiento acelerado con Beat'30, con la divisa como único viento en contra (1,18 USD/EUR) [2][4]. En abril, con el 1T26, el foco fue la divisa: EBITDA −7,9 % reportado y +9,3 % comparable, 7 % por encima de lo que esperaba Renta 4 [8][38]. Las preguntas recurrentes de los analistas, según la prensa y los informes públicos, giran en torno al margen (si el 2T26 es el suelo), la capacidad de subir precios, la divisa y el impacto de Viskase en EE. UU. [39][41]. La dirección no cuantificó las subidas de precio ni su calendario, ni el coste de la revisión de Danville [5][1]. En el 4T25 el EBITDA quedó un 11 % por debajo del consenso de Visible Alpha y el beneficio lo superó un 13 % gracias a los créditos fiscales de EE. UU. [40]. Las cifras trimestrales proceden de las notas de resultados de cada periodo [8][9][10][11]. No hay transcripción pública de las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15,6 M en 2021 a 218,3 M en 2025 y a 294 M en junio de 2026 (motor), pero no por inversiones fallidas sino por la remuneración extraordinaria: 208 M de recompras y 473 M de dividendos en 2020-2025 frente a 557 M de flujo libre (motor). Con DN/EBITDA de 1,1x (puente de jun-26) el apalancamiento sigue bajo. El punto débil es el circulante: existencias + clientes − proveedores suman el 48,1 % de las ventas, frente al 40,0 % de 2021 (motor); en el 1S26 volvió a absorber 41,3 M [7]. Las existencias son altas por la naturaleza del producto (muchas referencias, 22 plantas) y su reducción es objetivo retributivo [19]. La liquidez descansa en líneas de crédito que se renuevan cada año: 271,5 M de la deuda bancaria vence o se renueva en 12 meses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557</w:t>
      </w:r>
      <w:r>
        <w:t xml:space="preserve">, conversión </w:t>
      </w:r>
      <w:r>
        <w:rPr>
          <w:b/>
          <w:bCs/>
        </w:rPr>
        <w:t xml:space="preserve">65 %</w:t>
      </w:r>
      <w:r>
        <w:t xml:space="preserve"> del beneficio neto; adquisiciones 16, dividendos 473, recompras 208.</w:t>
      </w:r>
    </w:p>
    <w:p>
      <w:pPr>
        <w:spacing w:after="100"/>
      </w:pPr>
      <w:r>
        <w:t xml:space="preserve">La conversión de beneficio en caja libre es irregular: 65 % acumulado en 2020-2025, con un año negativo (2022: −3,9 M) por el aumento de existencias y un capex de 115,6 M, y años del 96-100 % (2020, 2024) (motor). La causa es el circulante, que absorbió 106,1 M en 2022, 90,6 M en 2023 y 49,9 M en 2025 [16][3]. El capex osciló entre el 6,1 % y el 9,9 % de las ventas y entre 0,8x y 1,5x las amortizaciones (motor). La empresa no separa mantenimiento de crecimiento en el histórico; para 2026-2030 sí: 300 M de capex recurrente y 300 M de crecimiento, es decir unos 60 M anuales de mantenimiento, el 4,5-5 % de las ventas (estimación propia sobre [4]). Las recompras de 2024-2025 (90,7 M y 94,0 M) son en su mayor parte la contrapartida del dividendo flexible: la empresa compra en mercado las acciones que entrega a quien elige cobrar en acciones, para no diluir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tres indicadores del motor son tranquilizadores: Altman Z de 5,35 (zona segura), Beneish M de −2,45 (sin señal de manipulación) y flujo operativo 1,29 veces el beneficio acumulado. El Piotroski de 5 sobre 9 refleja un 2025 flojo (baja el margen bruto y la liquidez corriente, sube la deuda), no un problema contable. Lo que sí hay que vigilar: la tasa fiscal de 2025 (10,1 %) depende de activar 18,0 M de créditos fiscales en EE. UU., que solo se recuperan si Danville sigue ganando dinero [2]; las diferencias de cambio (−20,1 M en 2025) quedan bajo el EBITDA y hacen que el EBITDA «comparable» de la empresa sea más favorable que el beneficio [2]; y el BPA diluido de 2025 (3,52 €) es mayor que el básico (3,50 €), lo que contradice la definición de dilución y apunta a un error en la nota 20 [1]. Se capitalizan trabajos para el inmovilizado (2,3 M) y el plan de incentivos se paga en acciones (4,7 M de pasivo) [3][1]. El informe de auditoría de 2025 está escaneado y no se puede leer como texto; el IAGC confirma que el de 2024 no tenía salvedades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fiscal del 10,1 % en 2025 por activación de bases imponibles en EE. UU. (18,0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sin ella ≈ 142 M (−11 %), estimación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en el 48 % de las ventas y existencias de 436,9 M a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absorbe caja con cada subida de costes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diluido mayor que el básico en 2025 (3,52 € frente a 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medio diluido (45,48 M) inferior al básico (45,66 M) en la nota 20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Diferencias de cambio volátiles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+13,0 M en 2024 y −20,1 M en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de 2024 por la asignación del precio de las compras de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 de inmovilizado e intangibles de unos 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Anexo financiero del 1S26 con el «EBITDA recurrente» de 2026 copiado del 1S25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fila muestra 145.161 miles en ambos semestres frente a un EBITDA de 134.488 miles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8,0 %.</w:t>
      </w:r>
    </w:p>
    <w:p>
      <w:pPr>
        <w:spacing w:after="100"/>
      </w:pPr>
      <w:r>
        <w:t xml:space="preserve">Viscofan crea valor: su ROIC se movió entre el 13,9 % y el 16,4 % en 2020-2025 frente a un WACC del 7,99 % (motor), y el ROIC incremental de todo el periodo es del 17,6 %, lo que dice que el crecimiento reciente no ha diluido la rentabilidad. El ROIC lo mueve el margen y no la rotación: la rotación del activo es estable en torno a 0,86-0,95x, mientras el margen neto osciló entre el 11,5 % y el 13,7 % (motor). El mínimo de 2023-2024 coincide con la inflación de pieles y energía y con un capital invertido inflado por las existencias. Frente a los comparables cotizados el ROIC de Viscofan duplica la mediana (16,4 % frente a 7,5 %) [33], y sus competidores directos Viskase y Shenguan tuvieron pérdidas operativas en 2025 [22][24].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57,7 M (jun-26) + líneas de crédito no dispuestas 155,3 M (límite 340,5 M a dic-25); deuda bancaria 339,4 M a jun-26, de la que 271,5 M vence o se renueva en 12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bonos ni rating; la deuda bancaria es a tipo variable y parte es sostenible, con diferencial ligado a emisiones, agua y residuos [1]. Algunos préstamos tienen ratios financieros; a junio de 2026 se cumplían todos [5]. Otros pasivos asimilables a deuda, que llevamos al puente: 22,8 M de otros pasivos financieros (préstamos subvencionados del CDTI, proveedores de inmovilizado y el 25 % pendiente de la compra de Brasfibra, 3,4 M) [1][5]. Pensiones de prestación definida, sobre todo en Alemania: obligación neta de 12,8 M en dic-25 [1]. Provisiones por litigios laborales en Brasil y reclamaciones en Brasil por 7,0 M, además de demandas menores en EE. UU. [1]. Confirming con límite de 11,3 M [1]. No hay factoring sin recurso declarado.</w:t>
      </w:r>
    </w:p>
    <w:p>
      <w:pPr>
        <w:pStyle w:val="Heading1"/>
      </w:pPr>
      <w:r>
        <w:t xml:space="preserve">12. Asignación de capital</w:t>
      </w:r>
    </w:p>
    <w:p>
      <w:pPr>
        <w:pStyle w:val="Confianza"/>
        <w:spacing w:after="100"/>
      </w:pPr>
      <w:r>
        <w:t xml:space="preserve">Confianza: Media</w:t>
      </w:r>
    </w:p>
    <w:p>
      <w:pPr>
        <w:spacing w:after="100"/>
      </w:pPr>
      <w:r>
        <w:t xml:space="preserve">La prioridad declarada en Beat'30 es crecer con 600 M de capex en 2026-2030 (300 M de crecimiento) y aumentar la remuneración total al accionista cada año, con compras pequeñas («bolt-on») [4]. En Beyond25 el dividendo ordinario creció con un pay-out medio del 65 % y se pagó 1,00 € extraordinario por acción en 2023, 2024 y 2025 [4]. El dividendo es flexible (efectivo o acciones) y la empresa amortiza las acciones necesarias para no diluir; además recompró 500.000 acciones (1,075 % del capital) entre nov-25 y feb-26 para amortizar [5]. Para 2026 promete una remuneración total superior a la de 2025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(51 %, Brasil; golosinas para mascotas)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 el arancel de EE. UU. a Brasil llevó su EBITDA a −0,9 M en 2025 y una pérdida neta de 1,3 M [1][2]; ventas recuperándose en 2026 (+87,8 % en Pet treats)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Brasfibra y Master Couros (60 %, Brasil; colágeno bovino y pieles)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con pago aplazado (25 % pendiente a dic-25)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y aún sin datos de rentabilidad propios; integración vertical en pieles; asignación de precio reexpresada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Nitta Casings (EE. UU. y Canadá; colágeno y gel médico)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la producción de Canadá se trasladó a México; base del negocio Health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 (EE. UU./Europa), Supralon (Alemania), Transform Pack (Canadá), Globus (Australia/NZ)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nicho; sin deterioros: el fondo de comercio total es de solo 13,6 M [1][15].</w:t>
            </w:r>
          </w:p>
        </w:tc>
      </w:tr>
    </w:tbl>
    <w:p>
      <w:pPr>
        <w:spacing w:after="160" w:before="0"/>
      </w:pPr>
    </w:p>
    <w:p>
      <w:pPr>
        <w:spacing w:after="100"/>
      </w:pPr>
      <w:r>
        <w:t xml:space="preserve">Viscofan es un buen asignador de capital en lo que controla: el ROIC incremental de 2020-2025 es del 17,6 % y no ha registrado deterioros de fondo de comercio (motor) [1]. Ha devuelto al accionista 681 M en seis años (473 M en dividendos y 208 M en recompras) frente a 557 M de flujo libre, sin dilución: las acciones diluidas bajaron de 46,50 M a 45,48 M (motor). Las compras de nuevos negocios han sido pequeñas y de resultado aún incierto (Pet Mania perdió dinero en su primer año) [1]. La duda es el futuro: Beat'30 dobla el capex de crecimiento a 300 M y lo dirige en parte a negocios donde Viscofan no tiene ventaja probada (bolsas, golosinas para mascotas, salud)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Antonio Canales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Viscofan desde 1996 (director general de Brasil y del grupo desde 2006). Como director general cerró los planes MORE TO BE y Beyond25: los ingresos pasaron de 969 M (2021) a 1.252 M (2025) y la remuneración por acción de 1,84 € a 3,25 € [4][18].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Carmen Peña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del grupo; MarketScreener fecha su nombramiento en 2018-2019 [52]. Bajo su gestión la deuda bancaria neta se mantuvo por debajo de 1x EBITDA con recompras extraordinarias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Domingo de Ampuero y Osma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ejecutivo de 2009 a 2023; antes vicepresidente de BBVA e Iberdrola. Cobró 1,3 M de indemnización al pasar a no ejecutivo en 2024 [1][21].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Jesús Calavia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operaciones; en 2025 Danville tuvo los mejores datos de productividad de su historia reciente y casi todas las plantas mejoraron ratios [2]. Fecha de nombramiento no publicada.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 Larrea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consejero delegado de Norteamérica, donde la región creció un 8,7 % comparable en 2025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Ponz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Pet treats y adjunto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dirigió Nuevos Negocios, que crecieron de 117 M (2021) a 160 M (2025)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+3/+4 %, EBITDA +3/+5 %, resultado neto +4/+6 %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+6,3 %, EBITDA +5,2 %, resultado neto +8,6 %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+8/+10 %, EBITDA +4/+6 %, resultado neto +5/+8 %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+23,9 %, EBITDA +8,3 %, resultado neto +4,8 %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+9/+12 %, EBITDA +6/+9 %, resultado neto +10/+15 %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+2,1 %, EBITDA +0,5 %, resultado neto +1,1 %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+3/+5 %, EBITDA +8/+12 %, resultado neto +10/+15 %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−1,8 %, EBITDA +6,3 %, resultado neto +11,4 %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+5/+8 %, EBITDA +8/+12 %, resultado neto +6/+10 % [12]; rebajada por divisa en oct-25 a EBITDA 290-302 M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+4,0 %, EBITDA +1,6 % (290,0 M), resultado neto +1,8 %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 (Beyond25)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1.300 M y margen EBITDA del 26 % en 2025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1.252 M y margen del 23,2 %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conoce el negocio: el consejero delegado lleva 30 años en la casa y el relevo de la presidencia ejecutiva en 2024 fue ordenado [1]. La credibilidad de la guía es mediocre: de cinco años, solo cumplió plenamente 2021; en 2023 y 2025 falló el EBITDA por costes y divisa, y el plan Beyond25 se quedó 2,8 pp por debajo del margen prometido [16][2][17]. El patrón es claro: aciertan en volumen y fallan en margen, porque no controlan pieles, gas ni divisas. En 2026 ya anticipan el rango bajo del EBITDA [5]. El IAGC no describe un plan formal de sucesión del consejero delegado; la reorganización de enero de 2026 (Larrea, Ponz, González) crea candidatos internos [1][18].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Domingo de Ampuero y Osma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Agatha Echevarría Canales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Antonio Canales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Nombramientos, Retribuciones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Cristina Henríquez de Luna Basagoiti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Laura González Molero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Verónica Pascual Boé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Juan Ignacio Vidarte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Domecq Bohórquez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Fernández Alonso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Presidente y consejero delegado separados,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Ningún independiente con más de 12 años en el consejo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a favor de la remuneración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99,6 %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Una acción, un voto, sin blindajes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Financiera Alba (grupo March)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 (1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 desde 2023; ≈ 14,4 % sobre el capital tras la amortización de 2026 [18][52]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Domecq Bohórquez (Angustias y Sol)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 en 2025 (5,033 % en 2024) [1][18]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 9,997 % (2024) a menos del 3 % en 2025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Setanta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 3,955 % (2024) a menos del 3 % en 2025, tras el informe sobre Danville [1][45]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396.357 acciones a jun-26 (1,09 % a dic-25)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IAGC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Voto a favor en la junta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bl>
    <w:p>
      <w:pPr>
        <w:spacing w:after="160" w:before="0"/>
      </w:pPr>
    </w:p>
    <w:p>
      <w:pPr>
        <w:spacing w:after="100"/>
      </w:pPr>
      <w:r>
        <w:t xml:space="preserve">El consejero delegado devengó 1,235 M en 2025: 0,80 M de sueldo, 0,08 M como consejero, 0,29 M de variable anual y 0,06 M en especie [1]. El variable anual pondera un 50 % objetivos corporativos (ventas, EBITDA y beneficio, 20 % cada uno; precio de la acción y existencias/ventas, 10 % cada uno; seguridad y formación, 20 %) y un 30 % objetivos propios [19]. El plan a largo plazo 2025-2027 pondera un 75 % la rentabilidad total del accionista (umbral 4,5 % anual, objetivo 7 % desde 60,61 €) y un 25 % CO2 y accidentes; para el consejero delegado, hasta 27.718 acciones y 0,72 M en efectivo al objetivo [1][19]. Hay cláusula de recuperación a 24 meses y una indemnización de dos años de fijo [19][1]. El ratio frente al coste medio por empleado (51.100 €) es de unas 24 veces (estimación propia con [1][3]). En la junta de 2025 el informe de remuneraciones solo obtuvo el 73,5 % a favor; en 2026, el 99,6 % [19][20].</w:t>
      </w:r>
    </w:p>
    <w:p>
      <w:pPr>
        <w:pStyle w:val="Heading2"/>
      </w:pPr>
      <w:r>
        <w:t xml:space="preserve">Operaciones vinculadas, estructura de control y defensas</w:t>
      </w:r>
    </w:p>
    <w:p>
      <w:pPr>
        <w:spacing w:after="100"/>
      </w:pPr>
      <w:r>
        <w:t xml:space="preserve">No hay accionista de control ni pactos parasociales comunicados; la mayor participación es la de Corporación Financiera Alba (14,25 %), con un consejero dominical [18]. Una acción, un voto: sin voto doble por lealtad, sin clases de acciones, sin límites de voto ni medidas de neutralización frente a opas [18]. La única operación con partes vinculadas es una póliza de crédito de 10 M con Banca March, del grupo de Alba, en condiciones de mercado y con abstención de los consejeros vinculados [1]. El consejo tiene un 50 % de independientes y un coordinador independiente, pero lo presiden y vicepresiden dos «otros externos»: el expresidente ejecutivo (en el consejo desde 2009) y una consejera desde 1998 [18][20]. Con un 79 % de flotante y un tamaño de 2.400 M, Viscofan es opable.</w:t>
      </w:r>
    </w:p>
    <w:p>
      <w:pPr>
        <w:pStyle w:val="Heading2"/>
      </w:pPr>
      <w:r>
        <w:t xml:space="preserve">Señales de alerta</w:t>
      </w:r>
    </w:p>
    <w:p>
      <w:pPr>
        <w:pStyle w:val="ListParagraph"/>
        <w:numPr>
          <w:ilvl w:val="0"/>
          <w:numId w:val="2"/>
        </w:numPr>
        <w:spacing w:after="60"/>
      </w:pPr>
      <w:r>
        <w:t xml:space="preserve">Informe bajista de Hunterbrook (14-oct-2025) sobre emisiones, vertidos y salud laboral en Danville (EE. UU.); la empresa lo niega, encargó una revisión a Baker &amp; McKenzie y reconoce avisos de la EPA y de la agencia de Illinois desde 2020 [1][45].</w:t>
      </w:r>
    </w:p>
    <w:p>
      <w:pPr>
        <w:pStyle w:val="ListParagraph"/>
        <w:numPr>
          <w:ilvl w:val="0"/>
          <w:numId w:val="2"/>
        </w:numPr>
        <w:spacing w:after="60"/>
      </w:pPr>
      <w:r>
        <w:t xml:space="preserve">Voto consultivo de remuneraciones del 73,5 % en la junta de 2025, el más bajo de los últimos años; recuperado al 99,6 % en 2026 [19][20].</w:t>
      </w:r>
    </w:p>
    <w:p>
      <w:pPr>
        <w:pStyle w:val="ListParagraph"/>
        <w:numPr>
          <w:ilvl w:val="0"/>
          <w:numId w:val="2"/>
        </w:numPr>
        <w:spacing w:after="60"/>
      </w:pPr>
      <w:r>
        <w:t xml:space="preserve">Salida de APG (≈ 10 % del capital) y Setanta (≈ 4 %) en 2025, y posición corta de AKO Capital del 1,14 % comunicada en junio de 2026 [1][46].</w:t>
      </w:r>
    </w:p>
    <w:p>
      <w:pPr>
        <w:pStyle w:val="ListParagraph"/>
        <w:numPr>
          <w:ilvl w:val="0"/>
          <w:numId w:val="2"/>
        </w:numPr>
        <w:spacing w:after="60"/>
      </w:pPr>
      <w:r>
        <w:t xml:space="preserve">Presidente y vicepresidenta «otros externos» con 17 y 28 años en el consejo; la reelección de la vicepresidenta obtuvo un 13,0 % de votos en contra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primer año de Beat'30, la empresa espera ingresos de 1.310-1.340 M (+5/+7 %), EBITDA de 305-314 M (+5/+8 %), resultado neto de 165-170 M (+3/+6 %), capex de 100 M y una remuneración total superior a la de 2025, con 1,18 USD/EUR [2][4]. El 29-jul-2026 la mantuvo, pero dijo que el EBITDA quedará «más probablemente» en el rango bajo por el coste del gas y las materias primas [5]. Para 2030: 1.800 M de ingresos (TCAC del 8 %), margen EBITDA del 25-26 % (≈ 450 M), 120 M de capex medio anual y un flujo operativo (EBITDA − capex) medio de 250 M, con 1,15 USD/EUR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58,70 – 75,00</w:t>
            </w:r>
          </w:p>
        </w:tc>
      </w:tr>
    </w:tbl>
    <w:p>
      <w:pPr>
        <w:spacing w:after="160" w:before="0"/>
      </w:pPr>
    </w:p>
    <w:p>
      <w:pPr>
        <w:pStyle w:val="Heading2"/>
      </w:pPr>
      <w:r>
        <w:t xml:space="preserve">Revisiones de estimaciones</w:t>
      </w:r>
    </w:p>
    <w:p>
      <w:pPr>
        <w:spacing w:after="100"/>
      </w:pPr>
      <w:r>
        <w:t xml:space="preserve">En 12 meses el consenso de BPA de 2026 ha bajado un 10 %: de 3,82 € en octubre de 2025 a 3,44 € hoy, mientras el de ingresos subió de 1.300 M a 1.324 M [44][28]. El recorte viene de la divisa y del coste del gas tras el conflicto de Oriente Medio, no del volumen. El EBITDA de consenso para 2026 (300,5 M) queda por debajo del rango de la empresa (305-314 M), lo que indica que el mercado no cree el rango ni en su parte baja [28][2]. El beneficio de consenso (158,8 M) está un 4 % por debajo del mínimo de la guía (165 M) [28]. El precio objetivo medio apenas se ha movido (69,69 € en oct-25, 69,82 € según Reuters en marzo y 69,29 € hoy) [44][42][30]. No encontramos el dato de revisión a 3 meses.</w:t>
      </w:r>
    </w:p>
    <w:p>
      <w:pPr>
        <w:pStyle w:val="Heading1"/>
      </w:pPr>
      <w:r>
        <w:t xml:space="preserve">16. Comportamiento en bolsa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La acción lleva tres años sin dirección: 53,60 € a cierre de 2023, 61,00 € en 2024, 53,40 € en 2025 y 52,90 € hoy [12][1][28]. En 2025 cayó un 12,5 % mientras el IBEX Medium Cap subía un 16,1 % y el IBEX 35 un 49,3 % [1]. Tres hechos lo explican: el informe de Hunterbrook sobre Danville (−13 % en la sesión del 14-oct-2025 y 270 M de capitalización perdidos en dos semanas) [45]; la salida de dos institucionales, APG (≈ 10 %) y Setanta (≈ 4 %), que pesaron sobre la cotización [1]; y la erosión del EBITDA por la divisa [2]. Viscofan pesa un 8,62 % en el IBEX Medium Cap, su índice de referencia [37]. La beta a cinco años es de solo 0,15 [32]: la acción se mueve por factores propios, no por el mercado. Hay una posición corta comunicada del 1,14 % (AKO Capital) [46]. Con dividendos (≈ 6 % de rentabilidad), la rentabilidad total de los últimos 12 meses es de −1,9 % (estimación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Media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de los próximos 12 meses: historia y medi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Viscofan cotiza a 8,5x EV/EBITDA y 14,2x PER de los próximos 12 meses, un 14 % y un 19 % por debajo de su media de 2021-2025 (9,9x y 17,4x, motor), y en el mínimo de la serie. La OCU sitúa el PER medio histórico en 18,8x [43]. El descuento tiene causas reales: la rentabilidad del bono español a 10 años ha subido a 4,08 % [35] (más tipo de descuento para un valor de dividendo), el crecimiento del EBITDA de 2020-2025 se quedó en el 4,3 % anual (motor) y ahora se añaden el riesgo reputacional de EE. UU. y la venta de institucionales [45][1]. No vemos un cambio estructural en el negocio que justifique un descuento permanente: el ROIC sigue en el 16,4 %.</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Devro salió de bolsa en 2023, Viskase cotiza en el mercado no organizado con un 93 % de Icahn y Shenguan es pequeña y tiene pérdidas [22][24]. Usamos ocho empresas de ingredientes alimentarios (Kerry, Symrise, Tate &amp; Lyle, Ingredion, Corbion, AAK) y de envases para alimentación (Huhtamäki, Amcor), con clientes, ciclo de costes y exposición a divisa parecidos [33]. Descartamos Darling (biocombustibles distorsionan su EBITDA) y Sealed Air (comprada por CD&amp;R en 2026)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Viscofan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Tate &amp; Lyle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Ingredion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Corbion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Huhtamaki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 / 8,3x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 / 8,9x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 / 13,3x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1,4x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Regresión EV/EBITDA NTM sobre crecimiento</w:t>
      </w:r>
      <w:r>
        <w:t xml:space="preserve"> (8 comparables): múltiplo = 6,8 + 0,48 × crecimiento; R² = 0,24. Para el crecimiento de la empresa, el múltiplo ajustado es 11,4x y el valor por acción, 73,09.</w:t>
      </w:r>
    </w:p>
    <w:p>
      <w:pPr>
        <w:spacing w:after="100"/>
      </w:pPr>
      <w:r>
        <w:t xml:space="preserve">Viscofan cotiza a 8,5x EV/EBITDA NTM, en línea con la mediana del grupo (8,3x), y a 14,2x PER NTM frente a 13,3x (motor). Aplicar la mediana da 51,23 € (EV/EBITDA) y 49,41 € (PER), un 3-7 % por debajo del precio. Pero el grupo tiene peores fundamentales: margen EBITDA mediano del 16,7 % frente al 22,1 % de Viscofan, ROIC del 7,5 % frente al 16,4 % y deuda de 2,0x EBITDA frente a 1,1x (motor). Por calidad, Viscofan merecería una prima de 1-2 veces EBITDA, que es lo que pagan Kerry y Symrise (11,9-12,4x) con menos ROIC [33]. La regresión crecimiento-múltiplo del motor (11,4x, 73,09 €) no es fiable: el R² es 0,24 y el crecimiento de Viscofan que usa (9,6 %) compara 15 meses de previsión con el LTM, mientras el de los comparables compara con 2025. Usaríamos 9-10x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(EE. UU., envases para carne y protección)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CD&amp;R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del 41 % sobre el precio sin afectar; múltiplo sobre EBITDA LTM de Stock Analysis (estimación propia) [48][33].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 Kelco (EE. UU., texturizantes e hidrocoloides)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10x incluyendo 50 M USD de sinergias; 13,7x sobre el EBITDA ajustado de 2023 (131 M USD), cálculo con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(Reino Unido, envolturas de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directo en colágeno; 11,3x EBITDA a jun-22; prima del 71,9 % sobre 192 peniques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Gelnex (Brasil, gelatina y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Gelatina y colágeno con 46.000 t de capacidad; múltiplo no publicado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Brasfibra y Master Couros (Brasil, colágeno bovino;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14,4 M por el 60 %; valor implícito del 100 % ≈ 24 M (estimación propia)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(Brasil, golosinas para mascotas;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M por el 51 % incluida una ampliación de capital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(10,7x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57,92 – 69,25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10-14 veces EBITDA (mediana de 11,3x, motor), con primas del 41-72 % cuando el objetivo cotizaba [47][48]. La más comparable es la de Devro (11,3x), el número dos en colágeno, comprada por un industrial alemán [47]. Aplicada al EBITDA LTM de Viscofan da 61,90 € por acción (+17 %), un valor de control. Viscofan es objetivo posible: sin accionista de control (Alba tiene el 14 %), 79 % de flotante y una cotización en mínimos de múltiplo [18]; el capital privado (CD&amp;R con Sealed Air) ha mostrado apetito por envases alimentarios [48]. Pero no hay señales de proceso, y Alba suele ser inversor estable. Por eso ponderamos las transacciones solo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Proyectamos un 5,0 % en 2026 (guía 5-7 %, consenso 5,8 %; la divisa resta y en el 1S26 el reportado fue +1,8 %) [2][28][5], un 6 % en 2027-2028 (consenso 5,9 %) [28], y una convergencia al 3 % en 2032. El crecimiento medio (4,9 %) queda por debajo del TCAC de 2020-2025 (6,5 %, motor) y del 7,5 % que implica el objetivo de 1.800 M en 2030 [4]: no damos crédito a todo Beat'30. El mercado de envolturas crece un 3,4-4 % en valor y volumen [26][41]; el resto debe venir de cuota y nuevos negocios.</w:t>
      </w:r>
    </w:p>
    <w:p>
      <w:pPr>
        <w:spacing w:after="100"/>
      </w:pPr>
      <w:r>
        <w:rPr>
          <w:b/>
          <w:bCs/>
        </w:rPr>
        <w:t xml:space="preserve">Márgenes.</w:t>
      </w:r>
    </w:p>
    <w:p>
      <w:pPr>
        <w:spacing w:after="100"/>
      </w:pPr>
      <w:r>
        <w:t xml:space="preserve">Margen EBITDA del 22,8 % en 2026 (consenso 22,7 %, rango bajo de la guía) [28][5], subiendo a 23,4 % en 2027 y al 24 % desde 2029. Es la media de 2020-2025 (23,4 %, entre el 21,9 % y el 25,7 %, motor) y está 1-2 pp por debajo del 25-26 % de Beat'30 [4]. Los ahorros identificados (15-22 M en Chequia, Nueva Jersey y Danville) apoyan la mejora [4].</w:t>
      </w:r>
    </w:p>
    <w:p>
      <w:pPr>
        <w:spacing w:after="100"/>
      </w:pPr>
      <w:r>
        <w:rPr>
          <w:b/>
          <w:bCs/>
        </w:rPr>
        <w:t xml:space="preserve">Inversión y circulante.</w:t>
      </w:r>
    </w:p>
    <w:p>
      <w:pPr>
        <w:spacing w:after="100"/>
      </w:pPr>
      <w:r>
        <w:t xml:space="preserve">Capex del 7,8 % de las ventas en 2026 (100 M de guía) y del 8,5 % en 2027-2028, en línea con los 120 M anuales medios de Beat'30 [4]; baja al 7,0 % en 2032, igual que la amortización, en estado estacionario. El histórico fue del 6,1-9,9 % (motor). El circulante parte del 47 % (48,1 % real en 2025, motor) y converge al 45 %, porque la empresa tiene objetivos retributivos de existencias [19]. Tipo impositivo normalizado del 23 % (23,8 % en 2024; el 10,1 % de 2025 no es recurrente) [2].</w:t>
      </w:r>
    </w:p>
    <w:p>
      <w:pPr>
        <w:spacing w:after="100"/>
      </w:pPr>
      <w:r>
        <w:rPr>
          <w:b/>
          <w:bCs/>
        </w:rPr>
        <w:t xml:space="preserve">Coste del capital.</w:t>
      </w:r>
    </w:p>
    <w:p>
      <w:pPr>
        <w:spacing w:after="100"/>
      </w:pPr>
      <w:r>
        <w:t xml:space="preserve">Tasa libre del 4,08 % (bono español a 10 años, 6-oct-2026; 83 pb más que hace un año) [35][53]. La beta de regresión (0,15) no sirve [32]: usamos la media de las betas desapalancadas de alimentación (0,47) y envases (0,75) de Damodaran [36], 0,61, reapalancada al 13 % de deuda sobre valor (0,66). Prima de mercado del 5,5 % y prima adicional del 1 % por la producción y venta en emergentes (Brasil, México, China; Sudamérica y Asia-Pacífico suman el 28 % de las ventas por origen) [2]. Coste de la deuda del 4,2 % (gastos financieros sobre deuda bancaria media) [1]. WACC: 7,99 % (motor).</w:t>
      </w:r>
    </w:p>
    <w:p>
      <w:pPr>
        <w:spacing w:after="100"/>
      </w:pPr>
      <w:r>
        <w:rPr>
          <w:b/>
          <w:bCs/>
        </w:rPr>
        <w:t xml:space="preserve">Valor terminal.</w:t>
      </w:r>
    </w:p>
    <w:p>
      <w:pPr>
        <w:spacing w:after="100"/>
      </w:pPr>
      <w:r>
        <w:t xml:space="preserve">Crecimiento a perpetuidad del 2,0 %, por debajo del crecimiento nominal de la economía mundial y del 3,4 % del mercado [26]. El múltiplo de salida implícito en Gordon es de 8,4x EBITDA (motor), por debajo de la media histórica de Viscofan (9,9x) y de las transacciones (11,3x): es una hipótesis conservadora. El método del múltiplo a 9,5x daría un valor terminal un 14 % mayor (motor).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base da 57,91 € por acción, un 9,5 % sobre el precio, con un WACC del 7,99 % y un 73 % del valor en el valor terminal (motor). El rango con WACC y g ± 0,5 pp va de 49,46 € a 69,72 €. Lo importante es el DCF inverso: al precio de 52,90 € el mercado descuenta, con el resto de supuestos iguales, un margen EBITDA terminal del 22,9 % en lugar del 24 %, o una rentabilidad exigida del 8,5 % (motor). En crecimiento, el motor no encuentra solución (devuelve «n.d.»); con el mismo modelo y un intervalo de búsqueda más estrecho, el precio equivale a un crecimiento medio de ingresos del 1,7 % anual en 2026-2032 frente al 4,9 % de nuestro caso base (cálculo propio). Es una hipótesis conservadora frente a la historia: Viscofan creció un 6,5 % anual en 2020-2025 y ningún ejercicio cerró con un margen inferior al 21,9 % (aunque el 1T26 se quedó en el 20,8 %). El mercado descuenta, en la práctica, que el margen se quede en el nivel del 1S26 (21,4 %) o que Beat'30 no aporte crecimiento. Nuestra proyección coincide con el consenso (EBITDA 2026-2028 entre un 0,2 % y un 1,1 % por debajo, motor).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 2022-2023: pieles, gas y divisa comprimen el margen 2 pp durante años (el margen bajó 3,6 pp en 2021-2023) y la capacidad de Viskase o de un comprador suyo vuelve a competir en precio en EE. UU. Beat'30 se retrasa y el crecimiento queda en el 2,9 %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Volúmenes en la media histórica más cuota en EE. UU., subidas de precio que recuperan el margen al 24 % en 2029, y capex de Beat'30 ejecutado a tiempo; crecimiento medio del 4,9 %.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Beat'30 se cumple casi entero: ingresos de unos 1.760 M en 2030, margen del 25 % por los ahorros de Chequia, Nueva Jersey y Danville, y la sustitución de tripa natural acelera.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55,20 EUR (+4,3 %).</w:t>
      </w:r>
    </w:p>
    <w:p>
      <w:pPr>
        <w:spacing w:after="100"/>
      </w:pPr>
      <w:r>
        <w:t xml:space="preserve">La asimetría es neutra: el alcista vale 64,95 € (+22,8 %) y el bajista 40,04 € (−24,3 %), y el valor ponderado (55,20 €) queda solo un 4,3 % sobre el precio (motor). El bajista no es cosmético: es lo que ocurrió en 2022-2023, cuando el margen cayó al 21,9 % y la acción perdió un 11 % en 2023 [16][12]. Con estos números no compensa tomar el riesgo a 52,90 €: haría falta un precio cercano a 48 € para que la ganancia esperada del alcista doblara la pérdida del bajista (estimación propia).</w:t>
      </w:r>
    </w:p>
    <w:p>
      <w:pPr>
        <w:pStyle w:val="Heading1"/>
      </w:pPr>
      <w:r>
        <w:t xml:space="preserve">22. Suma de partes</w:t>
      </w:r>
    </w:p>
    <w:p>
      <w:pPr>
        <w:pStyle w:val="Confianza"/>
        <w:spacing w:after="100"/>
      </w:pPr>
      <w:r>
        <w:t xml:space="preserve">Confianza: Alta</w:t>
      </w:r>
    </w:p>
    <w:p>
      <w:pPr>
        <w:spacing w:after="100"/>
      </w:pPr>
      <w:r>
        <w:t xml:space="preserve">No aplica: la empresa reporta un único segmento y no publica resultados por división [1]. Energía (4,7 % de las ventas) y los nuevos negocios (13 %) no tienen comparables puros ni márgenes publicados; una suma de partes exigiría inventar márgenes.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55,98 EUR (+5,8 % sobre 52,90).</w:t>
      </w:r>
    </w:p>
    <w:p>
      <w:pPr>
        <w:spacing w:after="100"/>
      </w:pPr>
      <w:r>
        <w:t xml:space="preserve">Damos un 40 % al DCF porque Viscofan es un negocio estable, con caja predecible y una guía a cinco años; un 30 % a los escenarios para recoger el riesgo de margen; un 20 % a los comparables, que son imperfectos (ingredientes y envases con peor ROIC); y un 10 % a las transacciones, porque no hay accionista de control ni proceso de venta. La síntesis da un valor objetivo de 55,98 € (+5,8 %, motor). La dispersión entre métodos es moderada: de 49,41 € (PER de comparables) a 61,90 € (transacciones). Los precios objetivo de los analistas (58,70-75,00 €, media 69,29 €) [30] quedan por encima de todos nuestros métodos salvo la parte alta del DCF; la diferencia es sobre todo la tasa libre de riesgo (4,08 %) [35]: con un WACC del 7,0 % el DCF daría 71,44 € (motor).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enero-septiembre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prueba de las subidas de precio del 2S; el consenso espera un EBITDA anual de 300,5 M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de 2026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2025 fue de 1,483 €; la empresa promete más remuneración total [4][21].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Aplicación del reglamento europeo de deforestación a grandes operadores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Pieles fuera del alcance; la pasta de celulosa (madera) dentro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año de Beat'30: ¿se cumple el rango bajo (305 M de EBITDA)?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Puesta en marcha de capacidad de colágeno (Nueva Jersey) y de celulósica (Zacapu, México)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M de ahorros por la nueva tecnología de Nueva Jersey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1S-2026 /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 reestructuración de Viskase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cuota o competencia en precio en EE. UU. según el resultado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planta de celulósica en České Budějovice (Chequia)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7-10 M de ahorros anuales esperados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periodo de medición del plan de incentivos 2025-2027 (TSR desde 60,61 €)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recuperar el precio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de pieles, gas y transporte no repercutida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 / 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−15 % (margen −2 pp en toda la proyección: 49,06 €)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precio con 2-3 trimestres de retraso; coberturas de gas a un año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trimestral por debajo del 66 % (66,9 % en 2T26)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(dólar débil, peso y real fuertes)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las regiones de venta; sin coberturas estructurales de balance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USD/EUR por encima de 1,18 (supuesto de la guía)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Danville: sanciones, demandas o costes ambientales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Baker &amp; McKenzie; sin reclamaciones judiciales a dic-25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avisos de la EPA o demandas colectivas en Illinois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Beat'30 (600 M de capex en negocios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(crecimiento −1 pp y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modular; 50 % recurrente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por debajo del 13 % o retrasos en Chequia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Vuelta de la competencia en precio (Viskase recapitalizado o vendido)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y escala; 31 % de cuota en contacto alimentario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precio medio en Norteamérica o compra de Viskase [22].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en EE. UU. sobre México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Plantas en EE. UU. (Danville, Nueva Jersey)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aranceles a México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vendedora y bajista sobre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el valor, sí en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para amortizar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Posiciones cortas por encima del 2 % (1,14 % en jun-26) [46].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ingresos de energía por cambios regulatorios en la cogeneración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Caldera de biomasa y autoconsumo en Cáseda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energía por debajo de 50 M anuales [5].</w:t>
            </w:r>
          </w:p>
        </w:tc>
      </w:tr>
    </w:tbl>
    <w:p>
      <w:pPr>
        <w:spacing w:after="160" w:before="0"/>
      </w:pPr>
    </w:p>
    <w:p>
      <w:pPr>
        <w:pStyle w:val="Heading2"/>
      </w:pPr>
      <w:r>
        <w:t xml:space="preserve">Pre-mortem</w:t>
      </w:r>
    </w:p>
    <w:p>
      <w:pPr>
        <w:spacing w:after="100"/>
      </w:pPr>
      <w:r>
        <w:t xml:space="preserve">Octubre de 2029: la acción cotiza a 32 € y ha perdido un 40 %. Qué pasó: el conflicto de Oriente Medio se alargó y el gas europeo se mantuvo caro durante 2027-2028; las pieles bovinas siguieron subiendo por la reducción de cabaña en EE. UU. y Brasil. Viscofan subió precios, pero tarde y menos de lo necesario, y el margen EBITDA se quedó en el 21 % en lugar de volver al 24 %. A la vez, Icahn vendió Viskase a un fondo que, con la planta norteamericana ya consolidada, salió a recuperar volumen con precio en EE. UU., el mercado más rentable de Viscofan. La EPA sancionó la planta de Danville y obligó a invertir en tratamiento de gases. Beat'30 consumió 600 M de capex con retornos por debajo del 10 % y la deuda subió a 2x EBITDA, por lo que el dividendo extraordinario desapareció y la acción perdió su principal atractivo; el PER bajó a 11x. El indicador que lo habría anticipado: el margen bruto trimestral por debajo del 66 % durante dos trimestres seguidos, y la ausencia de recuperación del margen en el 2S26 pese a las subidas anunciadas.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del índice desde oct-2023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2023-10</w:t>
            </w:r>
          </w:p>
        </w:tc>
      </w:tr>
    </w:tbl>
    <w:p>
      <w:pPr>
        <w:spacing w:after="160" w:before="0"/>
      </w:pPr>
    </w:p>
    <w:p>
      <w:pPr>
        <w:pStyle w:val="Heading2"/>
      </w:pPr>
      <w:r>
        <w:t xml:space="preserve">Asuntos materiales</w:t>
      </w:r>
    </w:p>
    <w:p>
      <w:pPr>
        <w:spacing w:after="100"/>
      </w:pPr>
      <w:r>
        <w:t xml:space="preserve">Tres asuntos afectan a las cifras. Clima y energía: el proceso es intensivo en gas; los derechos de CO2 costaron 15,9 M en 2025 (242.857 t), un 5 % del EBITDA, y el plan Net Zero busca reducir entre un 45 % y un 50 % las emisiones de alcance 1 y 2 en 2030 frente a 2018, con biomasa en Cáseda y un PPA solar [1][4]. Contaminación: la química de la celulosa (sulfuro de carbono) exige tratamiento de gases y aguas; en 2025 se invirtieron 22,4 M en medio ambiente y seguridad [2], y es el origen de la controversia de Danville. Seguridad laboral: el índice de gravedad bajó de 0,25 en 2021 a 0,09 en 2025 y forma parte del variable [4][19]. La cogeneración no está alineada con la taxonomía europea [1].</w:t>
      </w:r>
    </w:p>
    <w:p>
      <w:pPr>
        <w:pStyle w:val="Heading2"/>
      </w:pPr>
      <w:r>
        <w:t xml:space="preserve">Controversias</w:t>
      </w:r>
    </w:p>
    <w:p>
      <w:pPr>
        <w:spacing w:after="100"/>
      </w:pPr>
      <w:r>
        <w:t xml:space="preserve">El 14-oct-2025 Hunterbrook Media, vinculada a un fondo que opera en corto, acusó a la planta de Danville (Illinois) de emisiones y vertidos fuera de permiso y de daños a la salud de trabajadores; la acción cayó un 13 % en la sesión [45]. Viscofan lo niega, no ha recibido reclamaciones judiciales por salud o medio ambiente y reconoce avisos de la EPA y de la agencia de Illinois desde 2020, resueltos o pendientes «sin impactos materiales» [1]. No hay sanciones ambientales relevantes en 2024-2025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 media de precios se ha aplicado en el 2S26 y qué parte del aumento de costes del 2T26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punto de margen vale unos 4,4 € por acción en el DCF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Danville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concluyó la revisión de Baker &amp; McKenzie y qué inversiones o sanciones prevé en la planta?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reputacional y de capex en el mercado más rentable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cuota ha ganado en celulósica tras la reestructuración de Viskase y qué pasaría si cambia de dueño?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del crecimiento de Norteamérica (+8,7 % comparable en 2025) depende de ello [2][22].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Beat'30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ROIC exige a los 300 M de capex de crecimiento y qué parte va a negocios fuera de envolturas?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ROIC actual (16,4 %) es la principal razón para pagar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objetivo de existencias sobre ventas para 2027 y por qué subieron a 436,9 M en junio?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es lo que separa EBITDA de caja: conversión del 65 % en 2020-2025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tipo efectivo normalizado espera tras activar los créditos fiscales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diferencia entre el 10 % y el 23 % vale un 13 % del beneficio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mantendrá el euro extraordinario en 2026 con la deuda en 283 M y 100 M de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 6 %) es el soporte de la cotización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EBITDA a 10 céntimos de USD/EUR y por qué no cubre el balance?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10,1 pp al EBITDA del 1S26 [7].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12 de 12 controles correctos. Fuentes: 53 (25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48,1 %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100.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100.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2412, publicada 2412: revisa acciones y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fuente se cita al menos una vez</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(EBIT o EBITDA) por división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 la memoria 2025 y nota 6 del informe semestral 1S26: la empresa se declara monosegmento (NIIF 8) y solo da beneficio antes de impuestos por localización de activos; 2) presentaciones de resultados 2025 y 1S26: solo ingresos por división; 3) prensa y análisis públicos (Renta 4, Merca2, OCU): no publican margen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geografía de destino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2025, nota 18: ingresos por localización de los activos; 2) notas de resultados: ingresos por origen de la venta; 3) EINF 2025: sin desglose por destino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consenso previo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trimestrales: no publican BPA del trimestre ni consenso; 2) anexos xlsx: solo resultado neto; 3) prensa (Merca2, Simply Wall St, Estrategias de Inversión): consenso solo para 3T25, 4T25,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Viscofan (presentaciones y agenda): sin transcripción ni grabación descargable; 2) Quartr: solo resumen sin preguntas; 3) prensa económica (Merca2, Renta 4): sin detalle de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consulta por formulario dinámico no accesible en navegación simple; 2) web de Viscofan (otra información relevante): se carga por JavaScript; 3) prensa: solo operaciones de 2024 (compras del consejero delegado y ventas de S. Domecq), fuera de la ventana de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total del índice y de un índice sectorial por periodo; volatilidad a 1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Factsheet de BME del IBEX Medium Cap: rentabilidades con dividendo solo para ventanas cerradas a dic-2025; 2) informe anual 2025: variaciones de precio sin dividendos; 3) Stock Analysis e Investing: sin volatilidad histórica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o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EINF 2025: solo menciona la pertenencia al IBEX ESG; 2) web de Sustainalytics: la nota no se muestra sin registro; 3) búsqueda en prensa: un resultado de buscador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 enero-septiembre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 inversores de la web: aún no publicada; 2) calendario de la CNMV: sin comunicación;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y múltiplo de las adquisiciones de 2016-2019 (Vector, Supralon, Transform Pack, Globus, Nitta Casings)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cita las compras sin importes; 2) memoria 2025: fondo de comercio total de solo 13,6 M, sin desglose histórico; 3) búsqueda de prensa: sin importes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Gelnex, Brasfibra y Pet Mania; EV/ventas de CP Kelco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(Darling, Viscofan, Tate &amp; Lyle): no publican EBITDA del objetivo salvo CP Kelco; 2) prensa especializada (Food Business MEA): sin múltiplo; 3) memoria de Viscofan: solo precio y activos netos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Kalle y ViskoTeepak; cifras de Devro posteriores a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 corporativas: Kalle solo da ingresos aproximados; ViskoTeepak nada; 2) Devro dejó de cotizar en 2023 (SARIA) y no publica cuentas consolidadas accesibles; 3) prensa: solo la financiación de Kalle con Hayfin (290 M EUR, mayo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Viscofan: solo el tamaño de 2025 por familia; 2) GM Insights: 2022 y 2032e; 3) Meticulous Research: solo colágeno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sobre el ejercicio en curso; 2) informes anuales: cotización y capitalización, sin múltiplos; 3) OCU: solo PER medio histórico (18,8x)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consolidado 2025 (cuentas anuales, memoria e informe de gestión con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https://public.viscofan.com/investor-relations/financialinformation/es/Informe%20consolidado%20Grupo%20Viscofan%202025_Definitivo%20con%20informes.pdf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enero-diciembre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https://public.viscofan.com/investor-relations/financialinformation/es/Nota%20de%20resultados.%20Enero-Diciembre%202025_ES.pdf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2025 (cuenta, balance y flujos,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https://public.viscofan.com/investor-relations/financialinformation/es/Anexos%20financieros%202025_ES.xlsx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plan estratégico Beat'30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https://public.viscofan.com/investor-relations/financialinformation/es/Presentaci%C3%B3n%20Resultados%202025%20y%20BEAT30_ES.pdf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enero-junio 2026 (informe de gestión intermedio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https://public.viscofan.com/investor-relations/financialinformation/es/Informe%20financiero%20Enero-Junio%202026_ES.pdf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enero-junio 2026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https://public.viscofan.com/investor-relations/financialinformation/es/Anexos%20financieros%20Enero-Junio%202026_ES.xlsx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https://public.viscofan.com/investor-relations/financialinformation/es/Presentaci%C3%B3n%202T26_ES.pdf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2026 (periodo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https://public.viscofan.com/investor-relations/financialinformation/es/Nota%20de%20resultados%201T26_ES.pdf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2025 (periodo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2025 (periodo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https://public.viscofan.com/investor-relations/financialinformation/es/Nota%20de%20Resultados%20Enero-Marzo%202025_DEF.pdf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2024 (periodo cerrado el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https://public.viscofan.com/investor-relations/financialinformation/es/Nota%20de%20resultados%203T24_ES_DEF.pdf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completa 2024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https://public.viscofan.com/investor-relations/financialinformation/es/MEMORIA%20ANUAL%20COMPLETA_Grupo%20Viscofan.pdf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https://public.viscofan.com/investor-relations/financialinformation/es/Informe%20anual%20integrado%20Grupo%20Viscofan%202023_con%20opiniones.pdf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consolidado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https://public.viscofan.com/investor-relations/financialinformation/es/Informe%20consolidado%20Grupo%20Viscofan-2022_con%20opiniones.pdf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https://public.viscofan.com/investor-relations/financialinformation/es/Informe%20Anual%20Viscofan%202021.pdf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2023 y 2021 y estados financieros 2020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https://public.viscofan.com/investor-relations/financialinformation/es/Anexos%20financieros%20Resultados%202023_ES.xlsx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y presentación del plan Beyond25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https://public.viscofan.com/investor-relations/financialinformation/es/Nota%20de%20resultados%202022_ES.pdf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https://public.viscofan.com/corporate-governance/Informes/IGC_A-31065501_2025%20v6.pdf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https://public.viscofan.com/corporate-governance/Informes/IRC_A-31065501_2025%20DEFINITIVA.pdf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2026 (OIR)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https://public.viscofan.com/investor-relations/financialinformation/es/OIR%20Acuerdos%20adoptados%20JGA%202026%2024.04.26.pdf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 corporativa: consejo de administración, historia, capital social, dividendos y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https://www.viscofan.com/es/gobierno-corporativo/consejo-de-administracion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10-K 2025 (segmento Food Packaging: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https://www.sec.gov/Archives/edgar/data/813762/000110465926019821/tmb-20251231x10k.htm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plc 2021 year end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https://www.devro.com/media/1526/2021-year-end-results-announcement-final-01032022.pdf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resultados 2025 (pérdida de 69,8 M CNY; ingresos 1.023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https://www.itiger.com/news/1156134072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Kalle Gruppe: entrevista corporativa (ingresos anuales de unos 300 M EUR) y financiación Hayfin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Wirtschaftsforum / Kalle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https://www.kallegroup.com/fileadmin/kalle/kalle-group/news%20and%20press/documents/Kalle_Gruppe_InterviewWirtschaftsforum.pdf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Sausage Casings Market Size report (2022: 6.200 M USD; TCAC 3,4 % 2023-2032)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https://www.gminsights.com/industry-analysis/sausage-casings-market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Collagen Casings Market to be worth 2,31 bn USD by 2031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https://prnewswire.co.uk/news-releases/collagen-casings-market-to-be-worth-2-31-billion-by-2031---exclusive-report-by-meticulous-research-302187063.html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datos financieros y estimaciones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tabla de valoración histórica (PER, EV/EBITDA, capitalización y valor empresa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recomendaciones y precios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https://mx.investing.com/equities/viscofan-sa-consensus-estimates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Viscofan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https://www.bolsamania.com/accion/viscofan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(BME:VIS) statistics: acciones, beta, volumen, variación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https://stockanalysis.com/quote/bme/VIS/statistics/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(Stock Analysis) y estimaciones 2026-2028 (MarketScreener) de Kerry, Symrise, AAK, Tate &amp; Lyle, Ingredion, Corbion, Huhtamäki y Amcor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https://stockanalysis.com/quote/ise/KRZ/statistics/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español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IBEX Medium Cap (componentes y rentabilidades)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https://www.bolsasymercados.es/dam/descargas/indices/factsheet-ibex-35-medium-cap-es.pdf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1T26: sólido crecimiento orgánico con esperado impacto de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https://www.r4.com/articulos-y-analisis/valores/viscofan-1t26-solido-crecimiento-organico-con-esperado-impacto-de-divisas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busca tocar suelo en sus márgenes mientras mantiene el crecimiento de las ventas (previa 2T26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https://www.merca2.es/2026/07/28/viscofan-margenes-ventas-2425156/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resultados trimestrales están bien en ventas, pero mal en EBIT (4T25 frente a Berenberg y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https://www.merca2.es/2026/03/09/viscofan-resultados-ventas-ebit-2358173/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volúmenes trimestrales crecerán en torno a su media histórica del 4 % (previa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https://www.merca2.es/2026/04/21/viscofan-volumenes-media-2370748/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valor del Mercado Continuo con potencial de más del 20 % (Renta 4 y consenso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https://www.estrategiasdeinversion.com/actualidad/noticias/bolsa-espana/un-valor-del-mercado-continuo-con-potencial-de-n-897991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coyuntura de aumento de costes (análisis tras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https://www.ocu.org/inversiones/invertir/acciones/articulos/viscofan-resultados-riesgo-costes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third quarter results: consenso 2026 antes y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https://simplywall.st/stocks/es/food-beverage-tobacco/bme-vis/viscofan-shares/news/viscofan-sa-bmevis-third-quarter-results-just-came-out-heres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negro en Viscofan: 270 millones evaporados por el golpe reputacional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https://www.vozpopuli.com/economia/empresas/octubre-negro-en-viscofan-270-millones-evaporados-por-el-golpe-reputacional-en-eeuu.html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AKO Capital y Citadel refuerzan sus posiciones bajistas en Técnicas Reunidas, Viscofan y Cellnex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https://www.democrata.es/economia/ako-capital-y-citadel-refuerzan-sus-posiciones-bajistas-en-tecnicas-reunidas-viscofan-y-cellnex/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agrees £692m increased takeover bid from Saria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Financial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https://scottishfinancialreview.com/2023/02/16/devro-agrees-692m-increased-takeover-bid-from-saria/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to be acquired by CD&amp;R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https://www.sec.gov/Archives/edgar/data/1012100/000119312525283978/d944036dex991.htm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Combination of Tate &amp; Lyle and CP Kelco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https://tateandlyle.com/sites/default/files/2024-06/rns-combination-tate-lyle-and-cp-kelco-20-june-2024.pdf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 acquires collagen and peptide producer Gelnex for US$1.2bn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MEA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https://www.foodbusinessmea.com/darling-ingredients-acquires-global-collagen-and-peptide-producer-gelnex-for-us1-2bn/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EUDR product scope changes are official: what the July 2026 delegated regulation means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https://www.coolset.com/academy/eudr-product-scope-changes-are-official-what-the-july-2026-delegated-regulation-means-for-compliance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directivos, consejo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95,2 %</w:t>
      </w:r>
      <w:r>
        <w:t xml:space="preserve"> · Secciones con menos del 60 % de campos cubiertos: </w:t>
      </w:r>
      <w:r>
        <w:rPr>
          <w:b/>
          <w:bCs/>
        </w:rPr>
        <w:t xml:space="preserve">ninguna</w:t>
      </w:r>
      <w:r>
        <w:t xml:space="preserve"> · Generado el 6 oct 2026.</w:t>
      </w:r>
    </w:p>
    <w:p>
      <w:pPr>
        <w:pStyle w:val="Nota"/>
        <w:spacing w:after="100"/>
      </w:pPr>
      <w:r>
        <w:t xml:space="preserve">Línea cotizada única (Bolsa de Madrid, VIS). Precio de cierre del 5-oct-2026 (52,90 €) [28][31]; el 6-oct cotizaba a 53,20 € intradía. Acciones: 46,0 M emitidas menos 396.357 en autocartera a 30-jun-2026 = 45,60 M [5]. Viscofan presenta la cuenta por naturaleza: «coste de ventas» es el gasto por consumo (aprovisionamientos ± variación de existencias) y no hay gastos comerciales y de administración por función, por lo que el margen bruto y los días de inventario y de pago del motor se calculan sobre consumos y no son comparables con empresas que reportan por función. Los pagos de arrendamientos de 2020-2023 se aproximan con la partida «otros cobros y pagos de financiación» del estado de flujos. La empresa reporta un único segmento (NIIF 8): las divisiones solo tienen ingresos y las geografías se dan por origen de la venta, no por destino. Comparables y transacciones en otras divisas convertidos al tipo del BCE del 6-oct-2026 (comparables) o al de la fecha de la operación (transacciones) [34]. Las cifras de 2024 son las reexpresadas en las cuentas de 2025 por la asignación definitiva del precio de Brasfibra y Master Couros [1]. Los múltiplos históricos «NTM» son una estimación propia: valor empresa y precio de cierre de cada año de MarketScreener [29] divididos por el EBITDA y el BPA reales del año siguiente (2025: consenso 2026). Las rentabilidades anuales de la acción y del índice son de precio, sin dividendos. Las transcripciones de las conferencias con analistas no son públicas: la sección de resultados recientes se apoya en las presentaciones y en la prensa.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Viscofan, S.A. (VIS)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"/>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Hoja1!$B$2:$B$9</c:f>
              <c:numCache>
                <c:formatCode>#,##0.00</c:formatCode>
                <c:ptCount val="8"/>
                <c:pt idx="0">
                  <c:v>48.35</c:v>
                </c:pt>
                <c:pt idx="1">
                  <c:v>58.7</c:v>
                </c:pt>
                <c:pt idx="2">
                  <c:v>45.41</c:v>
                </c:pt>
                <c:pt idx="3">
                  <c:v>44.49</c:v>
                </c:pt>
                <c:pt idx="4">
                  <c:v>57.92</c:v>
                </c:pt>
                <c:pt idx="5">
                  <c:v>49.46</c:v>
                </c:pt>
                <c:pt idx="6">
                  <c:v>40.04</c:v>
                </c:pt>
                <c:pt idx="7">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Hoja1!$C$2:$C$9</c:f>
              <c:numCache>
                <c:formatCode>#,##0.00</c:formatCode>
                <c:ptCount val="8"/>
                <c:pt idx="0">
                  <c:v>13.949999999999996</c:v>
                </c:pt>
                <c:pt idx="1">
                  <c:v>16.299999999999997</c:v>
                </c:pt>
                <c:pt idx="2">
                  <c:v>13.75</c:v>
                </c:pt>
                <c:pt idx="3">
                  <c:v>16.629999999999995</c:v>
                </c:pt>
                <c:pt idx="4">
                  <c:v>11.329999999999998</c:v>
                </c:pt>
                <c:pt idx="5">
                  <c:v>20.259999999999998</c:v>
                </c:pt>
                <c:pt idx="6">
                  <c:v>24.910000000000004</c:v>
                </c:pt>
                <c:pt idx="7">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Negocio tradicional (envolturas)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808.1</c:v>
                </c:pt>
                <c:pt idx="1">
                  <c:v>963.1</c:v>
                </c:pt>
                <c:pt idx="2">
                  <c:v>985.3</c:v>
                </c:pt>
                <c:pt idx="3">
                  <c:v>996.6</c:v>
                </c:pt>
                <c:pt idx="4">
                  <c:v>1033.7</c:v>
                </c:pt>
              </c:numCache>
            </c:numRef>
          </c:val>
        </c:ser>
        <c:ser>
          <c:idx val="1"/>
          <c:order val="1"/>
          <c:tx>
            <c:strRef>
              <c:f>Hoja1!$C$1</c:f>
              <c:strCache>
                <c:ptCount val="1"/>
                <c:pt idx="0">
                  <c:v>Nuevos negocios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117.1</c:v>
                </c:pt>
                <c:pt idx="1">
                  <c:v>144.5</c:v>
                </c:pt>
                <c:pt idx="2">
                  <c:v>151.5</c:v>
                </c:pt>
                <c:pt idx="3">
                  <c:v>147.3</c:v>
                </c:pt>
                <c:pt idx="4">
                  <c:v>159.7</c:v>
                </c:pt>
              </c:numCache>
            </c:numRef>
          </c:val>
        </c:ser>
        <c:ser>
          <c:idx val="2"/>
          <c:order val="2"/>
          <c:tx>
            <c:strRef>
              <c:f>Hoja1!$D$1</c:f>
              <c:strCache>
                <c:ptCount val="1"/>
                <c:pt idx="0">
                  <c:v>Energía (cogeneración Cáseda)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44.1</c:v>
                </c:pt>
                <c:pt idx="1">
                  <c:v>93.5</c:v>
                </c:pt>
                <c:pt idx="2">
                  <c:v>89</c:v>
                </c:pt>
                <c:pt idx="3">
                  <c:v>60.1</c:v>
                </c:pt>
                <c:pt idx="4">
                  <c:v>58.6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tradicional (envolturas)</c:v>
                </c:pt>
                <c:pt idx="1">
                  <c:v>Nuevos negocios</c:v>
                </c:pt>
                <c:pt idx="2">
                  <c:v>Energía (cogeneración Cáseda)</c:v>
                </c:pt>
              </c:strCache>
            </c:strRef>
          </c:cat>
          <c:val>
            <c:numRef>
              <c:f>Hoja1!$B$2:$B$4</c:f>
              <c:numCache>
                <c:formatCode>General</c:formatCode>
                <c:ptCount val="3"/>
                <c:pt idx="0">
                  <c:v>82.6</c:v>
                </c:pt>
                <c:pt idx="1">
                  <c:v>12.8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 (origen)</c:v>
                </c:pt>
                <c:pt idx="1">
                  <c:v>Norteamérica (origen)</c:v>
                </c:pt>
                <c:pt idx="2">
                  <c:v>Sudamérica (origen)</c:v>
                </c:pt>
                <c:pt idx="3">
                  <c:v>Asia-Pacífico (origen)</c:v>
                </c:pt>
              </c:strCache>
            </c:strRef>
          </c:cat>
          <c:val>
            <c:numRef>
              <c:f>Hoja1!$B$2:$B$5</c:f>
              <c:numCache>
                <c:formatCode>0"%"</c:formatCode>
                <c:ptCount val="4"/>
                <c:pt idx="0">
                  <c:v>41</c:v>
                </c:pt>
                <c:pt idx="1">
                  <c:v>30.9</c:v>
                </c:pt>
                <c:pt idx="2">
                  <c:v>14.5</c:v>
                </c:pt>
                <c:pt idx="3">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(GM Insights; 2024e-2030e interpolados por nosotros al TCAC del 3,4 %))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2024e</c:v>
                </c:pt>
                <c:pt idx="2">
                  <c:v>2026e</c:v>
                </c:pt>
                <c:pt idx="3">
                  <c:v>2028e</c:v>
                </c:pt>
                <c:pt idx="4">
                  <c:v>2030e</c:v>
                </c:pt>
                <c:pt idx="5">
                  <c:v>2032e</c:v>
                </c:pt>
              </c:strCache>
            </c:strRef>
          </c:cat>
          <c:val>
            <c:numRef>
              <c:f>Hoja1!$B$2:$B$7</c:f>
              <c:numCache>
                <c:formatCode>#,##0</c:formatCode>
                <c:ptCount val="6"/>
                <c:pt idx="0">
                  <c:v>6200</c:v>
                </c:pt>
                <c:pt idx="1">
                  <c:v>6629</c:v>
                </c:pt>
                <c:pt idx="2">
                  <c:v>7087</c:v>
                </c:pt>
                <c:pt idx="3">
                  <c:v>7577</c:v>
                </c:pt>
                <c:pt idx="4">
                  <c:v>8101</c:v>
                </c:pt>
                <c:pt idx="5">
                  <c:v>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Viscofan</c:v>
                </c:pt>
                <c:pt idx="1">
                  <c:v>Viskase</c:v>
                </c:pt>
                <c:pt idx="2">
                  <c:v>Devro (SARIA)</c:v>
                </c:pt>
                <c:pt idx="3">
                  <c:v>Kalle</c:v>
                </c:pt>
                <c:pt idx="4">
                  <c:v>Shenguan Holdings</c:v>
                </c:pt>
              </c:strCache>
            </c:strRef>
          </c:cat>
          <c:val>
            <c:numRef>
              <c:f>Hoja1!$B$2:$B$6</c:f>
              <c:numCache>
                <c:formatCode>0.0"%"</c:formatCode>
                <c:ptCount val="5"/>
                <c:pt idx="0">
                  <c:v>16.4</c:v>
                </c:pt>
                <c:pt idx="1">
                  <c:v>-5</c:v>
                </c:pt>
                <c:pt idx="2">
                  <c:v>16.6</c:v>
                </c:pt>
                <c:pt idx="4">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912.2</c:v>
                </c:pt>
                <c:pt idx="1">
                  <c:v>969.2</c:v>
                </c:pt>
                <c:pt idx="2">
                  <c:v>1201</c:v>
                </c:pt>
                <c:pt idx="3">
                  <c:v>1225.8</c:v>
                </c:pt>
                <c:pt idx="4">
                  <c:v>1204</c:v>
                </c:pt>
                <c:pt idx="5">
                  <c:v>1252</c:v>
                </c:pt>
                <c:pt idx="6">
                  <c:v>1315</c:v>
                </c:pt>
                <c:pt idx="7">
                  <c:v>1393</c:v>
                </c:pt>
                <c:pt idx="8">
                  <c:v>1477</c:v>
                </c:pt>
                <c:pt idx="9">
                  <c:v>1558</c:v>
                </c:pt>
                <c:pt idx="10">
                  <c:v>1636</c:v>
                </c:pt>
                <c:pt idx="11">
                  <c:v>1702</c:v>
                </c:pt>
                <c:pt idx="12">
                  <c:v>1753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234.4</c:v>
                </c:pt>
                <c:pt idx="1">
                  <c:v>246.7</c:v>
                </c:pt>
                <c:pt idx="2">
                  <c:v>267.2</c:v>
                </c:pt>
                <c:pt idx="3">
                  <c:v>268.4</c:v>
                </c:pt>
                <c:pt idx="4">
                  <c:v>285.3</c:v>
                </c:pt>
                <c:pt idx="5">
                  <c:v>290</c:v>
                </c:pt>
                <c:pt idx="6">
                  <c:v>300</c:v>
                </c:pt>
                <c:pt idx="7">
                  <c:v>326</c:v>
                </c:pt>
                <c:pt idx="8">
                  <c:v>352</c:v>
                </c:pt>
                <c:pt idx="9">
                  <c:v>374</c:v>
                </c:pt>
                <c:pt idx="10">
                  <c:v>393</c:v>
                </c:pt>
                <c:pt idx="11">
                  <c:v>408</c:v>
                </c:pt>
                <c:pt idx="12">
                  <c:v>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70.1</c:v>
                </c:pt>
                <c:pt idx="1">
                  <c:v>70.8</c:v>
                </c:pt>
                <c:pt idx="2">
                  <c:v>67.6</c:v>
                </c:pt>
                <c:pt idx="3">
                  <c:v>65.7</c:v>
                </c:pt>
                <c:pt idx="4">
                  <c:v>67.6</c:v>
                </c:pt>
                <c:pt idx="5">
                  <c:v>67.3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25.5</c:v>
                </c:pt>
                <c:pt idx="2">
                  <c:v>22.2</c:v>
                </c:pt>
                <c:pt idx="3">
                  <c:v>21.9</c:v>
                </c:pt>
                <c:pt idx="4">
                  <c:v>23.7</c:v>
                </c:pt>
                <c:pt idx="5">
                  <c:v>23.2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17.9</c:v>
                </c:pt>
                <c:pt idx="1">
                  <c:v>18</c:v>
                </c:pt>
                <c:pt idx="2">
                  <c:v>15.7</c:v>
                </c:pt>
                <c:pt idx="3">
                  <c:v>15.1</c:v>
                </c:pt>
                <c:pt idx="4">
                  <c:v>16.7</c:v>
                </c:pt>
                <c:pt idx="5">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13.4</c:v>
                </c:pt>
                <c:pt idx="1">
                  <c:v>13.7</c:v>
                </c:pt>
                <c:pt idx="2">
                  <c:v>11.6</c:v>
                </c:pt>
                <c:pt idx="3">
                  <c:v>11.5</c:v>
                </c:pt>
                <c:pt idx="4">
                  <c:v>13</c:v>
                </c:pt>
                <c:pt idx="5">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2.5</c:v>
                </c:pt>
                <c:pt idx="1">
                  <c:v>2</c:v>
                </c:pt>
                <c:pt idx="2">
                  <c:v>6.1</c:v>
                </c:pt>
                <c:pt idx="3">
                  <c:v>2.7</c:v>
                </c:pt>
                <c:pt idx="4">
                  <c:v>4.3</c:v>
                </c:pt>
                <c:pt idx="5">
                  <c:v>3.1</c:v>
                </c:pt>
                <c:pt idx="6">
                  <c:v>-0.8</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c:v>
                </c:pt>
                <c:pt idx="2">
                  <c:v>4.1</c:v>
                </c:pt>
                <c:pt idx="4">
                  <c:v>6.5</c:v>
                </c:pt>
                <c:pt idx="5">
                  <c:v>7.9</c:v>
                </c:pt>
                <c:pt idx="6">
                  <c:v>4.6</c:v>
                </c:pt>
                <c:pt idx="7">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66</c:v>
                </c:pt>
                <c:pt idx="2">
                  <c:v>71</c:v>
                </c:pt>
                <c:pt idx="3">
                  <c:v>66</c:v>
                </c:pt>
                <c:pt idx="4">
                  <c:v>82</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391</c:v>
                </c:pt>
                <c:pt idx="2">
                  <c:v>358</c:v>
                </c:pt>
                <c:pt idx="3">
                  <c:v>384</c:v>
                </c:pt>
                <c:pt idx="4">
                  <c:v>373</c:v>
                </c:pt>
                <c:pt idx="5">
                  <c:v>345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72</c:v>
                </c:pt>
                <c:pt idx="1">
                  <c:v>117</c:v>
                </c:pt>
                <c:pt idx="2">
                  <c:v>93</c:v>
                </c:pt>
                <c:pt idx="3">
                  <c:v>72</c:v>
                </c:pt>
                <c:pt idx="4">
                  <c:v>78</c:v>
                </c:pt>
                <c:pt idx="5">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117.20000000000002</c:v>
                </c:pt>
                <c:pt idx="1">
                  <c:v>116.90000000000002</c:v>
                </c:pt>
                <c:pt idx="2">
                  <c:v>-3.8999999999999915</c:v>
                </c:pt>
                <c:pt idx="3">
                  <c:v>61.49999999999999</c:v>
                </c:pt>
                <c:pt idx="4">
                  <c:v>156.60000000000002</c:v>
                </c:pt>
                <c:pt idx="5">
                  <c:v>108.3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122.5</c:v>
                </c:pt>
                <c:pt idx="1">
                  <c:v>133</c:v>
                </c:pt>
                <c:pt idx="2">
                  <c:v>139.4</c:v>
                </c:pt>
                <c:pt idx="3">
                  <c:v>141</c:v>
                </c:pt>
                <c:pt idx="4">
                  <c:v>157</c:v>
                </c:pt>
                <c:pt idx="5">
                  <c:v>159.9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15.8</c:v>
                </c:pt>
                <c:pt idx="1">
                  <c:v>16.1</c:v>
                </c:pt>
                <c:pt idx="2">
                  <c:v>15.4</c:v>
                </c:pt>
                <c:pt idx="3">
                  <c:v>14.5</c:v>
                </c:pt>
                <c:pt idx="4">
                  <c:v>13.9</c:v>
                </c:pt>
                <c:pt idx="5">
                  <c:v>16.4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c:v>
                </c:pt>
                <c:pt idx="1">
                  <c:v>8</c:v>
                </c:pt>
                <c:pt idx="2">
                  <c:v>8</c:v>
                </c:pt>
                <c:pt idx="3">
                  <c:v>8</c:v>
                </c:pt>
                <c:pt idx="4">
                  <c:v>8</c:v>
                </c:pt>
                <c:pt idx="5">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16.6</c:v>
                </c:pt>
                <c:pt idx="1">
                  <c:v>17.1</c:v>
                </c:pt>
                <c:pt idx="2">
                  <c:v>16.1</c:v>
                </c:pt>
                <c:pt idx="3">
                  <c:v>15.1</c:v>
                </c:pt>
                <c:pt idx="4">
                  <c:v>16.6</c:v>
                </c:pt>
                <c:pt idx="5">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0.06</c:v>
                </c:pt>
                <c:pt idx="2">
                  <c:v>0.42</c:v>
                </c:pt>
                <c:pt idx="3">
                  <c:v>0.56</c:v>
                </c:pt>
                <c:pt idx="4">
                  <c:v>0.56</c:v>
                </c:pt>
                <c:pt idx="5">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227.4</c:v>
                </c:pt>
                <c:pt idx="1">
                  <c:v>18.6</c:v>
                </c:pt>
                <c:pt idx="2">
                  <c:v>21.3</c:v>
                </c:pt>
                <c:pt idx="3">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7.2</c:v>
                </c:pt>
                <c:pt idx="5">
                  <c:v>8.9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109.4</c:v>
                </c:pt>
                <c:pt idx="1">
                  <c:v>78.3</c:v>
                </c:pt>
                <c:pt idx="2">
                  <c:v>84.5</c:v>
                </c:pt>
                <c:pt idx="3">
                  <c:v>89.5</c:v>
                </c:pt>
                <c:pt idx="4">
                  <c:v>60.1</c:v>
                </c:pt>
                <c:pt idx="5">
                  <c:v>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4.9</c:v>
                </c:pt>
                <c:pt idx="2">
                  <c:v>12.2</c:v>
                </c:pt>
                <c:pt idx="3">
                  <c:v>6.3</c:v>
                </c:pt>
                <c:pt idx="4">
                  <c:v>90.7</c:v>
                </c:pt>
                <c:pt idx="5">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2</c:v>
                </c:pt>
                <c:pt idx="1">
                  <c:v>1</c:v>
                </c:pt>
                <c:pt idx="2">
                  <c:v>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Corporación Financiera Alba (grupo March)</c:v>
                </c:pt>
                <c:pt idx="1">
                  <c:v>Santiago Domecq Bohórquez (Angustias y Sol)</c:v>
                </c:pt>
                <c:pt idx="2">
                  <c:v>APG Asset Management</c:v>
                </c:pt>
                <c:pt idx="3">
                  <c:v>Setanta Asset Management</c:v>
                </c:pt>
                <c:pt idx="4">
                  <c:v>Autocartera</c:v>
                </c:pt>
                <c:pt idx="5">
                  <c:v>Capital flotante estimado</c:v>
                </c:pt>
              </c:strCache>
            </c:strRef>
          </c:cat>
          <c:val>
            <c:numRef>
              <c:f>Hoja1!$B$2:$B$7</c:f>
              <c:numCache>
                <c:formatCode>0.0"%"</c:formatCode>
                <c:ptCount val="6"/>
                <c:pt idx="0">
                  <c:v>14.25</c:v>
                </c:pt>
                <c:pt idx="1">
                  <c:v>5.03</c:v>
                </c:pt>
                <c:pt idx="4">
                  <c:v>0.86</c:v>
                </c:pt>
                <c:pt idx="5">
                  <c:v>79.21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17.4</c:v>
                </c:pt>
                <c:pt idx="1">
                  <c:v>-12.5</c:v>
                </c:pt>
                <c:pt idx="2">
                  <c:v>-2.1</c:v>
                </c:pt>
                <c:pt idx="3">
                  <c:v>23.2</c:v>
                </c:pt>
                <c:pt idx="4">
                  <c:v>-2</c:v>
                </c:pt>
                <c:pt idx="5">
                  <c:v>5.8</c:v>
                </c:pt>
                <c:pt idx="6">
                  <c:v>-11</c:v>
                </c:pt>
                <c:pt idx="7">
                  <c:v>13.8</c:v>
                </c:pt>
                <c:pt idx="8">
                  <c:v>-12.5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c:v>
                </c:pt>
                <c:pt idx="1">
                  <c:v>-13.7</c:v>
                </c:pt>
                <c:pt idx="2">
                  <c:v>8.4</c:v>
                </c:pt>
                <c:pt idx="3">
                  <c:v>-9.7</c:v>
                </c:pt>
                <c:pt idx="4">
                  <c:v>8.7</c:v>
                </c:pt>
                <c:pt idx="5">
                  <c:v>-7.4</c:v>
                </c:pt>
                <c:pt idx="6">
                  <c:v>5.9</c:v>
                </c:pt>
                <c:pt idx="7">
                  <c:v>11.7</c:v>
                </c:pt>
                <c:pt idx="8">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historia y media (veces)</a:t>
            </a:r>
          </a:p>
        </c:rich>
      </c:tx>
      <c:overlay val="0"/>
    </c:title>
    <c:autoTitleDeleted val="0"/>
    <c:plotArea>
      <c:layout/>
      <c:lineChart>
        <c:grouping val="standard"/>
        <c:varyColors val="0"/>
        <c:ser>
          <c:idx val="0"/>
          <c:order val="0"/>
          <c:tx>
            <c:strRef>
              <c:f>Hoja1!$B$1</c:f>
              <c:strCache>
                <c:ptCount val="1"/>
                <c:pt idx="0">
                  <c:v>EV/EBITDA NTM</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c:v>
                </c:pt>
                <c:pt idx="1">
                  <c:v>10.9</c:v>
                </c:pt>
                <c:pt idx="2">
                  <c:v>9.3</c:v>
                </c:pt>
                <c:pt idx="3">
                  <c:v>10.5</c:v>
                </c:pt>
                <c:pt idx="4">
                  <c:v>9</c:v>
                </c:pt>
              </c:numCache>
            </c:numRef>
          </c:val>
          <c:smooth val="0"/>
        </c:ser>
        <c:ser>
          <c:idx val="1"/>
          <c:order val="1"/>
          <c:tx>
            <c:strRef>
              <c:f>Hoja1!$C$1</c:f>
              <c:strCache>
                <c:ptCount val="1"/>
                <c:pt idx="0">
                  <c:v>Media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9.9</c:v>
                </c:pt>
                <c:pt idx="1">
                  <c:v>9.9</c:v>
                </c:pt>
                <c:pt idx="2">
                  <c:v>9.9</c:v>
                </c:pt>
                <c:pt idx="3">
                  <c:v>9.9</c:v>
                </c:pt>
                <c:pt idx="4">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Viscofan</c:v>
                </c:pt>
                <c:pt idx="1">
                  <c:v>Kerry Group</c:v>
                </c:pt>
                <c:pt idx="2">
                  <c:v>Symrise</c:v>
                </c:pt>
                <c:pt idx="3">
                  <c:v>AAK</c:v>
                </c:pt>
                <c:pt idx="4">
                  <c:v>Tate &amp; Lyle</c:v>
                </c:pt>
                <c:pt idx="5">
                  <c:v>Ingredion</c:v>
                </c:pt>
                <c:pt idx="6">
                  <c:v>Corbion</c:v>
                </c:pt>
                <c:pt idx="7">
                  <c:v>Huhtamaki</c:v>
                </c:pt>
                <c:pt idx="8">
                  <c:v>Amcor</c:v>
                </c:pt>
              </c:strCache>
            </c:strRef>
          </c:cat>
          <c:val>
            <c:numRef>
              <c:f>Hoja1!$B$2:$B$10</c:f>
              <c:numCache>
                <c:formatCode>0.0"x"</c:formatCode>
                <c:ptCount val="9"/>
                <c:pt idx="0">
                  <c:v>8.5</c:v>
                </c:pt>
                <c:pt idx="1">
                  <c:v>11.9</c:v>
                </c:pt>
                <c:pt idx="2">
                  <c:v>12.4</c:v>
                </c:pt>
                <c:pt idx="3">
                  <c:v>8.6</c:v>
                </c:pt>
                <c:pt idx="4">
                  <c:v>8.1</c:v>
                </c:pt>
                <c:pt idx="5">
                  <c:v>5.7</c:v>
                </c:pt>
                <c:pt idx="6">
                  <c:v>7.8</c:v>
                </c:pt>
                <c:pt idx="7">
                  <c:v>6.5</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Viscofan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9.6</c:v>
                </c:pt>
              </c:numCache>
            </c:numRef>
          </c:xVal>
          <c:yVal>
            <c:numRef>
              <c:f>Hoja1!$C$2</c:f>
              <c:numCache>
                <c:formatCode>0.0"x"</c:formatCode>
                <c:ptCount val="1"/>
                <c:pt idx="0">
                  <c:v>8.5</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ser>
          <c:idx val="2"/>
          <c:order val="2"/>
          <c:tx>
            <c:strRef>
              <c:f>Hoja1!$A$4</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12.4</c:v>
                </c:pt>
              </c:numCache>
            </c:numRef>
          </c:yVal>
          <c:smooth val="0"/>
        </c:ser>
        <c:ser>
          <c:idx val="3"/>
          <c:order val="3"/>
          <c:tx>
            <c:strRef>
              <c:f>Hoja1!$A$5</c:f>
              <c:strCache>
                <c:ptCount val="1"/>
                <c:pt idx="0">
                  <c:v>AAK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8.6</c:v>
                </c:pt>
              </c:numCache>
            </c:numRef>
          </c:yVal>
          <c:smooth val="0"/>
        </c:ser>
        <c:ser>
          <c:idx val="4"/>
          <c:order val="4"/>
          <c:tx>
            <c:strRef>
              <c:f>Hoja1!$A$6</c:f>
              <c:strCache>
                <c:ptCount val="1"/>
                <c:pt idx="0">
                  <c:v>Tate &amp; Lyle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8.1</c:v>
                </c:pt>
              </c:numCache>
            </c:numRef>
          </c:yVal>
          <c:smooth val="0"/>
        </c:ser>
        <c:ser>
          <c:idx val="5"/>
          <c:order val="5"/>
          <c:tx>
            <c:strRef>
              <c:f>Hoja1!$A$7</c:f>
              <c:strCache>
                <c:ptCount val="1"/>
                <c:pt idx="0">
                  <c:v>Ingredion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5.7</c:v>
                </c:pt>
              </c:numCache>
            </c:numRef>
          </c:yVal>
          <c:smooth val="0"/>
        </c:ser>
        <c:ser>
          <c:idx val="6"/>
          <c:order val="6"/>
          <c:tx>
            <c:strRef>
              <c:f>Hoja1!$A$8</c:f>
              <c:strCache>
                <c:ptCount val="1"/>
                <c:pt idx="0">
                  <c:v>Corbion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7.8</c:v>
                </c:pt>
              </c:numCache>
            </c:numRef>
          </c:yVal>
          <c:smooth val="0"/>
        </c:ser>
        <c:ser>
          <c:idx val="7"/>
          <c:order val="7"/>
          <c:tx>
            <c:strRef>
              <c:f>Hoja1!$A$9</c:f>
              <c:strCache>
                <c:ptCount val="1"/>
                <c:pt idx="0">
                  <c:v>Huhtamaki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3.3</c:v>
                </c:pt>
              </c:numCache>
            </c:numRef>
          </c:xVal>
          <c:yVal>
            <c:numRef>
              <c:f>Hoja1!$C$9</c:f>
              <c:numCache>
                <c:formatCode>0.0"x"</c:formatCode>
                <c:ptCount val="1"/>
                <c:pt idx="0">
                  <c:v>6.5</c:v>
                </c:pt>
              </c:numCache>
            </c:numRef>
          </c:yVal>
          <c:smooth val="0"/>
        </c:ser>
        <c:ser>
          <c:idx val="8"/>
          <c:order val="8"/>
          <c:tx>
            <c:strRef>
              <c:f>Hoja1!$A$10</c:f>
              <c:strCache>
                <c:ptCount val="1"/>
                <c:pt idx="0">
                  <c:v>Amcor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8.5</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Sealed Air (EE. UU., envases para carne y protección)</c:v>
                </c:pt>
                <c:pt idx="1">
                  <c:v>CP Kelco (EE. UU., texturizantes e hidrocoloides)</c:v>
                </c:pt>
                <c:pt idx="2">
                  <c:v>Devro (Reino Unido, envolturas de colágeno)</c:v>
                </c:pt>
                <c:pt idx="3">
                  <c:v>Gelnex (Brasil, gelatina y colágeno)</c:v>
                </c:pt>
                <c:pt idx="4">
                  <c:v>Brasfibra y Master Couros (Brasil, colágeno bovino; 60 %)</c:v>
                </c:pt>
                <c:pt idx="5">
                  <c:v>Pet Mania (Brasil, golosinas para mascotas; 51 %)</c:v>
                </c:pt>
              </c:strCache>
            </c:strRef>
          </c:cat>
          <c:val>
            <c:numRef>
              <c:f>Hoja1!$B$2:$B$7</c:f>
              <c:numCache>
                <c:formatCode>0.0"x"</c:formatCode>
                <c:ptCount val="6"/>
                <c:pt idx="0">
                  <c:v>10</c:v>
                </c:pt>
                <c:pt idx="1">
                  <c:v>13.7</c:v>
                </c:pt>
                <c:pt idx="2">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133</c:v>
                </c:pt>
                <c:pt idx="1">
                  <c:v>124</c:v>
                </c:pt>
                <c:pt idx="2">
                  <c:v>137</c:v>
                </c:pt>
                <c:pt idx="3">
                  <c:v>159</c:v>
                </c:pt>
                <c:pt idx="4">
                  <c:v>179</c:v>
                </c:pt>
                <c:pt idx="5">
                  <c:v>190</c:v>
                </c:pt>
                <c:pt idx="6">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796</c:v>
                </c:pt>
                <c:pt idx="1">
                  <c:v>2178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40.04</c:v>
                </c:pt>
                <c:pt idx="1">
                  <c:v>57.91</c:v>
                </c:pt>
                <c:pt idx="2">
                  <c:v>64.95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Hoja1!$B$2:$B$9</c:f>
              <c:numCache>
                <c:formatCode>#,##0.00</c:formatCode>
                <c:ptCount val="8"/>
                <c:pt idx="0">
                  <c:v>48.35</c:v>
                </c:pt>
                <c:pt idx="1">
                  <c:v>58.7</c:v>
                </c:pt>
                <c:pt idx="2">
                  <c:v>45.41</c:v>
                </c:pt>
                <c:pt idx="3">
                  <c:v>44.49</c:v>
                </c:pt>
                <c:pt idx="4">
                  <c:v>57.92</c:v>
                </c:pt>
                <c:pt idx="5">
                  <c:v>49.46</c:v>
                </c:pt>
                <c:pt idx="6">
                  <c:v>40.04</c:v>
                </c:pt>
                <c:pt idx="7">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(48,35 – 62,30)</c:v>
                </c:pt>
                <c:pt idx="1">
                  <c:v>Precio objetivo de los analistas (58,70 – 75,00)</c:v>
                </c:pt>
                <c:pt idx="2">
                  <c:v>Comparables: EV/EBITDA NTM (45,41 – 59,16)</c:v>
                </c:pt>
                <c:pt idx="3">
                  <c:v>Comparables: PER NTM (44,49 – 61,12)</c:v>
                </c:pt>
                <c:pt idx="4">
                  <c:v>Transacciones precedentes (57,92 – 69,25)</c:v>
                </c:pt>
                <c:pt idx="5">
                  <c:v>DCF (WACC y g ± 0,5) (49,46 – 69,72)</c:v>
                </c:pt>
                <c:pt idx="6">
                  <c:v>Escenarios (bajista – alcista) (40,04 – 64,95)</c:v>
                </c:pt>
                <c:pt idx="7">
                  <c:v>Precio actual (52,90)</c:v>
                </c:pt>
              </c:strCache>
            </c:strRef>
          </c:cat>
          <c:val>
            <c:numRef>
              <c:f>Hoja1!$C$2:$C$9</c:f>
              <c:numCache>
                <c:formatCode>#,##0.00</c:formatCode>
                <c:ptCount val="8"/>
                <c:pt idx="0">
                  <c:v>13.949999999999996</c:v>
                </c:pt>
                <c:pt idx="1">
                  <c:v>16.299999999999997</c:v>
                </c:pt>
                <c:pt idx="2">
                  <c:v>13.75</c:v>
                </c:pt>
                <c:pt idx="3">
                  <c:v>16.629999999999995</c:v>
                </c:pt>
                <c:pt idx="4">
                  <c:v>11.329999999999998</c:v>
                </c:pt>
                <c:pt idx="5">
                  <c:v>20.259999999999998</c:v>
                </c:pt>
                <c:pt idx="6">
                  <c:v>24.910000000000004</c:v>
                </c:pt>
                <c:pt idx="7">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2026-10-06T15:00:29.184Z</dcterms:created>
  <dcterms:modified xsi:type="dcterms:W3CDTF">2026-10-06T15:00:29.186Z</dcterms:modified>
</cp:coreProperties>
</file>

<file path=docProps/custom.xml><?xml version="1.0" encoding="utf-8"?>
<Properties xmlns="http://schemas.openxmlformats.org/officeDocument/2006/custom-properties" xmlns:vt="http://schemas.openxmlformats.org/officeDocument/2006/docPropsVTypes"/>
</file>