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Schneider Electric SE</w:t>
      </w:r>
    </w:p>
    <w:p>
      <w:pPr>
        <w:spacing w:after="60"/>
        <w:rPr>
          <w:color w:val="52514E"/>
          <w:sz w:val="22"/>
          <w:szCs w:val="22"/>
        </w:rPr>
      </w:pPr>
      <w:r>
        <w:rPr>
          <w:color w:val="52514E"/>
          <w:sz w:val="22"/>
          <w:szCs w:val="22"/>
        </w:rPr>
        <w:t xml:space="preserve">SU · Euronext París · ISIN FR0000121972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23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235,75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264,53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+14,0 % (base +19,0 %)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228,62 EUR · mercado 262,81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140.130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Schneider Electric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 / FR0000121972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y automatización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Rueil-Malmaison (Francia) · 1836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235,75 (22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220,40 – 312,30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140.130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151.288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271 M EUR/día (3 meses, 0,98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264,53 EUR</w:t>
      </w:r>
      <w:r>
        <w:t xml:space="preserve"> frente a 235,75 · Rentabilidad a 12 meses </w:t>
      </w:r>
      <w:r>
        <w:rPr>
          <w:b/>
          <w:bCs/>
        </w:rPr>
        <w:t xml:space="preserve">+14,0 % (base +19,0 %)</w:t>
      </w:r>
      <w:r>
        <w:t xml:space="preserve"> · Valor intrínseco 228,62 EUR · con la prima implícita del mercado: 262,81 (+11,5 %) · Alcista / bajista +15,5 % / -30,5 %</w:t>
      </w:r>
    </w:p>
    <w:p>
      <w:pPr>
        <w:spacing w:after="100"/>
      </w:pPr>
      <w:r>
        <w:rPr>
          <w:b/>
        </w:rPr>
        <w:t xml:space="preserve">La recomendación y por qué.</w:t>
      </w:r>
      <w:r>
        <w:t xml:space="preserve"> Mantener, con convicción media. El objetivo a 12 meses da un +14,0 % ponderado y un +19,0 % en el caso base sobre el cierre del 22-oct (235,75 EUR), y un +17,5 % al precio de hoy (≈228,80); pero el valor intrínseco (228,62 EUR) queda justo por debajo del precio y el ROIC (12,8 %) solo supera en 3,5 puntos al WACC (9,33 %): no es la calidad que pide una compra. La convicción es media porque las dos reglas coinciden en no comprar ni vender; la subiría una caída por debajo de 210 EUR y la bajaría un frenazo de los centros de datos.</w:t>
      </w:r>
    </w:p>
    <w:p>
      <w:pPr>
        <w:spacing w:after="100"/>
      </w:pPr>
      <w:r>
        <w:rPr>
          <w:b/>
        </w:rPr>
        <w:t xml:space="preserve">Qué ha pasado.</w:t>
      </w:r>
      <w:r>
        <w:t xml:space="preserve"> El 16-oct adelantó las ventas del 3T26: 11.460 M EUR, +16,9 % orgánico, con los centros de datos creciendo a tres cifras; la guía de 2026 sube a EBITA ajustado +18-21 % orgánico y margen del 19,7-19,9 % [A]. Pero el 5-oct anunció la compra de PTC por 23.700 M USD (21 veces el EBITA de 2027e), con recompras en pausa en 2027-2028, y el 19-20 de octubre amplió capital por 6.000 M EUR a 240 EUR [D]. La acción cayó un 10 % el 5-oct y un 25 % desde agosto, también por la caída de todo el sector de infraestructura para la IA el 22-oct [D].</w:t>
      </w:r>
    </w:p>
    <w:p>
      <w:pPr>
        <w:spacing w:after="100"/>
      </w:pPr>
      <w:r>
        <w:rPr>
          <w:b/>
        </w:rPr>
        <w:t xml:space="preserve">El negocio.</w:t>
      </w:r>
      <w:r>
        <w:t xml:space="preserve"> Líder mundial en gestión de la energía y automatización, con ventas de 40.152 M EUR en 2025, EBITA ajustado del 18,7 % y caja libre de 4.635 M [A]. El crecimiento lo tira Gestión de la Energía (centros de datos y redes); Automatización está estancada [A, B].</w:t>
      </w:r>
    </w:p>
    <w:p>
      <w:pPr>
        <w:spacing w:after="100"/>
      </w:pPr>
      <w:r>
        <w:rPr>
          <w:b/>
        </w:rPr>
        <w:t xml:space="preserve">Valoración.</w:t>
      </w:r>
      <w:r>
        <w:t xml:space="preserve"> DCF de 224,71 EUR (WACC del 9,33 %); escenarios de 163,84 a 272,25 EUR. Cotiza a 20,4 veces el beneficio de los próximos 12 meses, por debajo de su mediana adelantada (22,5) y cerca de los comparables (21,6) [D].</w:t>
      </w:r>
    </w:p>
    <w:p>
      <w:pPr>
        <w:spacing w:after="100"/>
      </w:pPr>
      <w:r>
        <w:rPr>
          <w:b/>
        </w:rPr>
        <w:t xml:space="preserve">Qué cambiaría la decisión.</w:t>
      </w:r>
      <w:r>
        <w:t xml:space="preserve"> Por debajo de 210,81 EUR la rentabilidad aguanta un BPA un 10 % menor; aun así haría falta un ROIC − WACC de 5 puntos para comprar. Venta por encima de 298,64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264,53 EUR</w:t>
      </w:r>
      <w:r>
        <w:t xml:space="preserve"> (rentabilidad +14,0 % (base +19,0 %)) · Valor intrínseco: 228,62 EUR (-3,0 % sobre 235,75) · con la prima implícita del mercado: 262,81 (+11,5 %)</w:t>
      </w:r>
    </w:p>
    <w:p>
      <w:pPr>
        <w:spacing w:after="100"/>
      </w:pPr>
      <w:r>
        <w:t xml:space="preserve">Schneider es uno de los ganadores de la electrificación y de los centros de datos, con un crecimiento orgánico del 15 % en 2026. La compra de PTC lo convierte en una apuesta mayor por el software industrial, pagada cara y con deuda. Al precio de hoy el mercado ya no pide más de lo que damos en el caso base, pero tampoco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10,68 = 184,76 · 21,6x × 12,79 = 276,26 · 22,5x × 14,26 = 320,85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326,55 (nuestro base -15,4 %)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 -30,5 %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228,62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228,62 y 298,59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298,59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210,81 EUR la rentabilidad a 12 meses aguantaría un BPA un 10 % menor (límite robusto), si la calidad llega a 5 puntos.</w:t>
      </w:r>
    </w:p>
    <w:p>
      <w:pPr>
        <w:pStyle w:val="ListParagraph"/>
        <w:numPr>
          <w:ilvl w:val="0"/>
          <w:numId w:val="2"/>
        </w:numPr>
        <w:spacing w:after="60"/>
      </w:pPr>
      <w:r>
        <w:t xml:space="preserve">Por encima de 298,64 EUR la regla de 12 meses daría Vender.</w:t>
      </w:r>
    </w:p>
    <w:p>
      <w:pPr>
        <w:pStyle w:val="ListParagraph"/>
        <w:numPr>
          <w:ilvl w:val="0"/>
          <w:numId w:val="2"/>
        </w:numPr>
        <w:spacing w:after="60"/>
      </w:pPr>
      <w:r>
        <w:t xml:space="preserve">Un frenazo de los pedidos de centros de datos bajaría el caso base hacia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6,9 % anual hasta 2035 (DCF inverso), muy cerca del nuestro. Los analistas, con BPA sin PTC, dan un objetivo de 326,55 EUR [D].</w:t>
      </w:r>
    </w:p>
    <w:p>
      <w:pPr>
        <w:keepNext/>
        <w:spacing w:after="100"/>
      </w:pPr>
      <w:r>
        <w:rPr>
          <w:b/>
          <w:bCs/>
        </w:rPr>
        <w:t xml:space="preserve">Lo que creemos nosotros.</w:t>
      </w:r>
    </w:p>
    <w:p>
      <w:pPr>
        <w:spacing w:after="100"/>
      </w:pPr>
      <w:r>
        <w:t xml:space="preserve">BPA de 2028e un 9 % por debajo del consenso por las acciones nuevas y la amortización del precio de PTC.</w:t>
      </w:r>
    </w:p>
    <w:p>
      <w:pPr>
        <w:keepNext/>
        <w:spacing w:after="100"/>
      </w:pPr>
      <w:r>
        <w:rPr>
          <w:b/>
          <w:bCs/>
        </w:rPr>
        <w:t xml:space="preserve">Por qué podemos tener razón.</w:t>
      </w:r>
    </w:p>
    <w:p>
      <w:pPr>
        <w:spacing w:after="100"/>
      </w:pPr>
      <w:r>
        <w:t xml:space="preserve">La empresa vende PTC como acrecitiva «antes de la amortización del precio de compra», pero su propio BPA ajustado sí la resta [D].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3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orgánico del 16,9 %</w:t>
      </w:r>
      <w:r>
        <w:t xml:space="preserve"> en el 3T26 y guía subida dos veces [A].</w:t>
      </w:r>
    </w:p>
    <w:p>
      <w:pPr>
        <w:pStyle w:val="ListParagraph"/>
        <w:numPr>
          <w:ilvl w:val="0"/>
          <w:numId w:val="2"/>
        </w:numPr>
        <w:spacing w:after="60"/>
      </w:pPr>
      <w:r>
        <w:rPr>
          <w:b/>
        </w:rPr>
        <w:t xml:space="preserve">Centros de datos</w:t>
      </w:r>
      <w:r>
        <w:t xml:space="preserve"> creciendo a tres cifras [A].</w:t>
      </w:r>
    </w:p>
    <w:p>
      <w:pPr>
        <w:pStyle w:val="ListParagraph"/>
        <w:numPr>
          <w:ilvl w:val="0"/>
          <w:numId w:val="2"/>
        </w:numPr>
        <w:spacing w:after="60"/>
      </w:pPr>
      <w:r>
        <w:rPr>
          <w:b/>
        </w:rPr>
        <w:t xml:space="preserve">PER de 20,4 veces</w:t>
      </w:r>
      <w:r>
        <w:t xml:space="preserve">, por debajo de su mediana histórica adelantada [D].</w:t>
      </w:r>
    </w:p>
    <w:p>
      <w:pPr>
        <w:pStyle w:val="ListParagraph"/>
        <w:numPr>
          <w:ilvl w:val="0"/>
          <w:numId w:val="2"/>
        </w:numPr>
        <w:spacing w:after="60"/>
      </w:pPr>
      <w:r>
        <w:rPr>
          <w:b/>
        </w:rPr>
        <w:t xml:space="preserve">Rating A</w:t>
      </w:r>
      <w:r>
        <w:t xml:space="preserve"> confirmado tras PTC [D].</w:t>
      </w:r>
    </w:p>
    <w:p>
      <w:pPr>
        <w:pStyle w:val="Heading2"/>
      </w:pPr>
      <w:r>
        <w:t xml:space="preserve">En contra</w:t>
      </w:r>
    </w:p>
    <w:p>
      <w:pPr>
        <w:pStyle w:val="ListParagraph"/>
        <w:numPr>
          <w:ilvl w:val="0"/>
          <w:numId w:val="2"/>
        </w:numPr>
        <w:spacing w:after="60"/>
      </w:pPr>
      <w:r>
        <w:rPr>
          <w:b/>
        </w:rPr>
        <w:t xml:space="preserve">PTC, cara y con deuda</w:t>
      </w:r>
      <w:r>
        <w:t xml:space="preserve">: 21 veces el EBITA y deuda de ≈2,6 veces el EBITDA al cierre [D].</w:t>
      </w:r>
    </w:p>
    <w:p>
      <w:pPr>
        <w:pStyle w:val="ListParagraph"/>
        <w:numPr>
          <w:ilvl w:val="0"/>
          <w:numId w:val="2"/>
        </w:numPr>
        <w:spacing w:after="60"/>
      </w:pPr>
      <w:r>
        <w:rPr>
          <w:b/>
        </w:rPr>
        <w:t xml:space="preserve">Recompras en pausa</w:t>
      </w:r>
      <w:r>
        <w:t xml:space="preserve"> en 2027-2028 y dilución del 4,3 % [D].</w:t>
      </w:r>
    </w:p>
    <w:p>
      <w:pPr>
        <w:pStyle w:val="ListParagraph"/>
        <w:numPr>
          <w:ilvl w:val="0"/>
          <w:numId w:val="2"/>
        </w:numPr>
        <w:spacing w:after="60"/>
      </w:pPr>
      <w:r>
        <w:rPr>
          <w:b/>
        </w:rPr>
        <w:t xml:space="preserve">ROIC − WACC de 3,5 puntos</w:t>
      </w:r>
      <w:r>
        <w:t xml:space="preserve">: por debajo del umbral de calidad.</w:t>
      </w:r>
    </w:p>
    <w:p>
      <w:pPr>
        <w:pStyle w:val="ListParagraph"/>
        <w:numPr>
          <w:ilvl w:val="0"/>
          <w:numId w:val="2"/>
        </w:numPr>
        <w:spacing w:after="60"/>
      </w:pPr>
      <w:r>
        <w:rPr>
          <w:b/>
        </w:rPr>
        <w:t xml:space="preserve">Ventas del presidente</w:t>
      </w:r>
      <w:r>
        <w:t xml:space="preserve"> y salida de la directora financiera [C].</w:t>
      </w:r>
    </w:p>
    <w:p>
      <w:pPr>
        <w:pStyle w:val="Heading2"/>
      </w:pPr>
      <w:r>
        <w:t xml:space="preserve">Qué tiene que pasar para que la tesis funcione</w:t>
      </w:r>
    </w:p>
    <w:p>
      <w:pPr>
        <w:spacing w:after="100"/>
      </w:pPr>
      <w:r>
        <w:t xml:space="preserve">Los pedidos de centros de datos, las aprobaciones de PTC y la guía de 2027 (18-feb-2027).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6,9 % anual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 tras PTC</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 / 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28,3x / 20,4x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Schneider nace en 1836, cuando los hermanos Adolphe y Joseph-Eugène Schneider toman la fundición de Le Creusot (siderurgia y, después, armamento) [12]. En los años sesenta la absorbe el grupo belga Empain y, a partir de los ochenta, se reconvierte en un especialista eléctrico a base de compras: Telemecanique (1988), Square D en EE. UU. (1991), el 100 % de Merlin Gerin (1992), APC (2007) e Invensys (2014) [12, 13]. Adopta el nombre Schneider Electric en 1999 [13]. La última década la ha llevado al software industrial (AVEVA, de mayoría en 2017-18 al 100 % en enero de 2023) y a los centros de datos (Motivair, refrigeración líquida, 2025) [1, 11]. En noviembre de 2024 el consejo cesó a Peter Herweck tras 18 meses y nombró consejero delegado a Olivier Blum [13]. En octubre de 2026 firma la mayor compra de su historia: PTC, por 22.600 M USD de capital (23.700 M USD de valor empresa)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hermanos Schneider toman la fundición de Le Creusot (Borgoña): origen del grupo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1960-1969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muerte de Charles Schneider, Schneider-Creusot pasa al grupo belga Empain (Empain-Schneider)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Telemecanique, inventora del contactor: base del negocio de control y automatización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Square D (EE. UU.), que da al grupo la distribución eléctrica de baja tensión en Norteamérica, hoy su primer mercado (34 % de las ventas de 2025)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del 100 % de Merlin Gerin (interruptores Compact y Masterpact), tras una primera entrada en 1975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Lexel y cambio de nombre a Schneider Electric, centrado solo en la electricidad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APC (SAI y racks): la puerta de entrada al mercado de centros de datos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Invensys (Foxboro, Triconex): automatización de procesos continuos [11,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negocio eléctrico y de automatización de Larsen &amp; Toubro en India, hoy uno de sus mercados de mayor crecimiento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Culmina la compra del 100 % de AVEVA (software industrial), excluida de la Bolsa de Londres el 19 de enero de 2023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75 % de Motivair (refrigeración líquida para centros de datos de IA) por 847 M EUR y del 35 % de Schneider Electric India a Temasek por 5.500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para comprar PTC (5-oct, 205 USD por acción, 23.700 M USD de valor empresa; cierre previsto en el 3T27) y Shelly (24-sep, ≈1.200 M EUR)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Schneider fabrica y vende el equipo que reparte, protege y controla la electricidad, más el software que lo gestiona. Se organiza en dos segmentos: </w:t>
      </w:r>
      <w:r>
        <w:rPr>
          <w:b/>
        </w:rPr>
        <w:t xml:space="preserve">Gestión de la energía</w:t>
      </w:r>
      <w:r>
        <w:t xml:space="preserve"> (83 % de las ventas de 2025: cuadros e interruptores de baja y media tensión, SAI, racks, soluciones prefabricadas y refrigeración para centros de datos, gestión de edificios) y </w:t>
      </w:r>
      <w:r>
        <w:rPr>
          <w:b/>
        </w:rPr>
        <w:t xml:space="preserve">Automatización industrial</w:t>
      </w:r>
      <w:r>
        <w:t xml:space="preserve"> (17 %: autómatas, variadores, control de procesos y el software de AVEVA) [1]. Vende a cuatro mercados finales: centros de datos y redes, edificios, industria e infraestructuras; los centros de datos fueron ≈30 % de los pedidos de 2025 [14]. Llega al cliente por la mayor red de distribuidores del sector, unos 400 socios acreditados, 20.000 cuadristas y 80.000 ingenierías [1]. Tenía 163.000 empleados en 2025 y produce para cada región en la propia región (objetivo: 90 % de los productos fabricados y comprados regionalmente) [1].</w:t>
      </w:r>
    </w:p>
    <w:p>
      <w:pPr>
        <w:pStyle w:val="Heading2"/>
      </w:pPr>
      <w:r>
        <w:t xml:space="preserve">Cómo gana dinero</w:t>
      </w:r>
    </w:p>
    <w:p>
      <w:pPr>
        <w:spacing w:after="100"/>
      </w:pPr>
      <w:r>
        <w:t xml:space="preserve">Tres modelos con márgenes distintos: </w:t>
      </w:r>
      <w:r>
        <w:rPr>
          <w:b/>
        </w:rPr>
        <w:t xml:space="preserve">Productos</w:t>
      </w:r>
      <w:r>
        <w:t xml:space="preserve"> (47 % de las ventas de 2025), de alto margen y vendidos por distribuidores; </w:t>
      </w:r>
      <w:r>
        <w:rPr>
          <w:b/>
        </w:rPr>
        <w:t xml:space="preserve">Sistemas</w:t>
      </w:r>
      <w:r>
        <w:t xml:space="preserve"> (34 %), proyectos a medida (prefabricados, SAI trifásicos, refrigeración) que crecen más pero diluyen el margen bruto; y </w:t>
      </w:r>
      <w:r>
        <w:rPr>
          <w:b/>
        </w:rPr>
        <w:t xml:space="preserve">Software y servicios</w:t>
      </w:r>
      <w:r>
        <w:t xml:space="preserve"> (19 %: 8 % software y servicios digitales y 11 % servicios de campo) [4]. El 79 % de los ingresos del software agnóstico (AVEVA, ETAP, RIB) es recurrente [1]. El margen bruto bajó de 42,6 % a 42,1 % en 2025 por la mezcla hacia Sistemas y el coste de materias primas y aranceles, y aun así el EBITA ajustado subió al 18,7 % porque los gastos de estructura cayeron del 24,1 % al 23,3 % de las ventas [1]: el apalancamiento operativo está en los costes fijos de venta y administración. Gestión de la energía gana el 21,8 % y Automatización el 14,2 % [1]. El cuarto trimestre es el más fuerte (27,6 % de las ventas de 2025) [1,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la energía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industrial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digitales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la energía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industrial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digitales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por el número, la diversidad sectorial y la dispersión geográfica de la clientela [1]. La mayor parte de los Productos se vende a través de distribuidores, cuadristas e integradores, lo que da recurrencia de reposición; los Sistemas para centros de datos se venden directo a nubes de hiperescala y operadores de colocación, y ahí sí hay concentración: el mercado de centros de datos fue ≈30 % de los pedidos de 2025 [14]. La cartera de pedidos subió de 21.420 a 25.362 M EUR en 2025 y la parte que se ejecutará a más de un año pasó de 4.842 a 8.022 M EUR, señal de contratos plurianuales [1]. </w:t>
      </w:r>
      <w:r>
        <w:rPr>
          <w:b/>
        </w:rPr>
        <w:t xml:space="preserve">Poder de precios</w:t>
      </w:r>
      <w:r>
        <w:t xml:space="preserve">: en 2025 las subidas de precio en Norteamérica por los aranceles y la productividad no bastaron para compensar mezcla e inflación de materias primas (margen bruto −40 pb orgánico) [1]; en el 3T26 el precio aceleró y la dirección espera que compense en 2026 la inflación de materias primas y los aranceles netos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 31-dic)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8.022 M EUR se ejecutarán a más de un año (4.842 en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 (9M26); +16,9 %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subida el 16-oct a +12-14 % orgánico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 (+50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+100-120 pb orgánico, ≈19,7-19,9 %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«Digital Flywheel»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conectables, Edge Control, software y servicios; objetivo &gt;70 % en 2030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software agnóstico (% de sus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AVEVA cerca del 85 %; objetivo ≈80 % en 2027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ARR de AVEVA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Transición a suscripción casi terminada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sobre beneficio neto del 111 %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reexpresado sin temporales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que Schneider llama su mercado direccionable: el equipo, los sistemas, el software y los servicios de electrificación, automatización y digitalización que vende a sus cuatro mercados finales (centros de datos y redes, edificios, industria e infraestructuras), en todo el mundo [1]. No hay una estadística independiente con ese perímetro, así que la cifra de tamaño es la de la propia empresa y se contrasta con un submercado medido por un tercero: la infraestructura física de centros de datos de Dell'Oro (SAI, distribución eléctrica, refrigeración, racks), donde está la mayor parte del crecimiento actual [15]. El de redes (inversión de las eléctricas de EE. UU.) sirve de tercer indicador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600.000 M EUR en 2030 con una TCAC del 6-7 % desde 2025, según Schneider [1]; estimación propia del tamaño de 2025: ≈438.000 M EUR (600.000 / 1,065^5). Contraste: el submercado de infraestructura física de centros de datos llegará a 120.000 M USD en 2030 con una TCAC del 22 % desde 2025 (Dell'Oro) [15], y las eléctricas privadas de EE. UU. invierten ≈207.900 M USD en 2025 y más de 1,1 billones en 2025-2029 (EEI)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stimación propia: 2030 de Schneider y años intermedios interpolados con TCAC del 6,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prevé que la infraestructura física de centros de datos crezca un 22 % anual hasta 120.000 M USD en 2030 [15]; la demanda de centros de datos de Schneider creció a tres dígitos en el 3T26 [8] y el mercado fue ≈30 % de sus pedidos de 2025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redes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eléctricas privadas de EE. UU. invierten ≈207.900 M USD en 2025 y más de 1,1 billones en 2025-2029 [17]; en el 3T26 la demanda de clientes de red fue fuerte y la generación cayó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renovación de edificios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edificios no residenciales crecen (sanidad, edificios públicos), pero la vivienda cayó en EE. UU. y China en 2025 [4]; en el 3T26 solo India tiró de la vivienda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automatización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Automatización industrial cayeron un 8,3 % en euros en 2024 (de 7.661 a 7.022 M EUR) y crecieron un 3,0 % orgánico en 2025 y +7,9 % en 9M26, con la recuperación de la industria discreta [1, 8,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los aranceles costaron ≈160 M EUR y las materias primas en total 255 M EUR; el efecto precio neto fue de −179 M EUR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Relocalización y mundo multipolar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fabrica para cada región en la región (objetivo del 90 %) y señala la fragmentación geopolítica como motor de inversión local y fuente de complejidad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global de cuatro o cinco grupos (Schneider, Siemens, ABB, Eaton, Legrand) con márgenes operativos parecidos y altos, del 18-20 % en 2025 [18, 19, 20, 21]; compiten por especificación y canal más que por precio, pero en centros de datos entra Vertiv, empatada con Schneider en cuota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[1], pero los centros de datos (≈30 % de los pedidos de 2025) se concentran en pocas nubes de hiperescala que compran proyectos enteros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plata, acero, plásticos y electrónica: la inflación de materias primas y los aranceles restaron 255 M EUR en 2025 y la subida de precios no los compensó del todo (efecto neto −179 M EUR)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certificación, base instalada y canal: Schneider trabaja con 20.000 cuadristas y 80.000 ingenierías que especifican sus productos [1]; la amenaza viene de fabricantes chinos y de especialistas en centros de datos.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distribución eléctrica no tiene sustituto físico; el riesgo está en el software y los servicios digitales, donde Schneider cita a los gigantes digitales y a las energéticas como nuevos competidores [1].</w:t>
            </w:r>
          </w:p>
        </w:tc>
      </w:tr>
    </w:tbl>
    <w:p>
      <w:pPr>
        <w:spacing w:after="160" w:before="0"/>
      </w:pPr>
    </w:p>
    <w:p>
      <w:pPr>
        <w:pStyle w:val="Heading2"/>
      </w:pPr>
      <w:r>
        <w:t xml:space="preserve">Ciclo</w:t>
      </w:r>
    </w:p>
    <w:p>
      <w:pPr>
        <w:spacing w:after="100"/>
      </w:pPr>
      <w:r>
        <w:t xml:space="preserve">Los indicadores son de expansión: cartera récord de 25.362 M EUR a fin de 2025 (+18 %) y nuevo récord en el 3T26, demanda de centros de datos a tres dígitos y crecimiento orgánico del 15,0 % en nueve meses [1, 8]. La parte cíclica (vivienda, procesos industriales) va por detrás. En 2020 las ventas cayeron un 7,4 % (de 27.158 a 25.159 M EUR) y en 2022, con inflación, subieron un 18,2 % por precio y volumen (de 28.905 a 34.176 M EUR) [11]. La caída de 2008-09 no se ha comprobado en los documentos leídos.</w:t>
      </w:r>
    </w:p>
    <w:p>
      <w:pPr>
        <w:pStyle w:val="Heading2"/>
      </w:pPr>
      <w:r>
        <w:t xml:space="preserve">Regulación</w:t>
      </w:r>
    </w:p>
    <w:p>
      <w:pPr>
        <w:spacing w:after="100"/>
      </w:pPr>
      <w:r>
        <w:t xml:space="preserve">Tres frentes mueven las cifras. </w:t>
      </w:r>
      <w:r>
        <w:rPr>
          <w:b/>
        </w:rPr>
        <w:t xml:space="preserve">Aranceles en EE. UU.</w:t>
      </w:r>
      <w:r>
        <w:t xml:space="preserve">: costaron ≈160 M EUR en 2025 y se trasladan con subidas de precio en Norteamérica [1]. </w:t>
      </w:r>
      <w:r>
        <w:rPr>
          <w:b/>
        </w:rPr>
        <w:t xml:space="preserve">Gases fluorados en la UE</w:t>
      </w:r>
      <w:r>
        <w:t xml:space="preserve">: el reglamento de 2024 restringe por escalones el SF6 en la aparamenta nueva y Schneider ya vende aparamenta sin SF6 a eléctricas europeas, que contribuyó al crecimiento de infraestructuras en el 3T26 [8]. </w:t>
      </w:r>
      <w:r>
        <w:rPr>
          <w:b/>
        </w:rPr>
        <w:t xml:space="preserve">Competencia</w:t>
      </w:r>
      <w:r>
        <w:t xml:space="preserve">: la Autoridad francesa multó a Schneider con 207 M EUR en octubre de 2024 por fijar precios de reventa con Rexel y Sonepar entre 2012 y 2018, multa pagada en 2025 [1, 24]. La taxonomía europea califica como alineado el 32 % de las ventas de 2025 [1].</w:t>
      </w:r>
    </w:p>
    <w:p>
      <w:pPr>
        <w:pStyle w:val="Heading2"/>
      </w:pPr>
      <w:r>
        <w:t xml:space="preserve">Tendencias y disrupción</w:t>
      </w:r>
    </w:p>
    <w:p>
      <w:pPr>
        <w:spacing w:after="100"/>
      </w:pPr>
      <w:r>
        <w:t xml:space="preserve">La IA cambia el centro de datos: más potencia por rack, refrigeración líquida y soluciones prefabricadas, donde Schneider compró Motivair en 2025 y crece a dos dígitos fuertes [1, 8]. La digitalización convierte producto en servicio recurrente: el «Digital Flywheel» pasó del 57 % al 62 % de las ventas y el software agnóstico ya es recurrente en un 79 % [1]; la compra de PTC (diseño y ciclo de vida de producto) es la apuesta por el software industrial con IA [8]. Las amenazas son nuevos competidores digitales y la venta de producto eléctrico por canales en línea [1]. La empresa gana con estas tendencias mientras mantenga el canal y la cuota en centros de datos.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Primero o segundo del mundo en gestión de la energía junto a Siemens y ABB, y empatado en el primer puesto mundial con Vertiv en infraestructura física de centros de datos, a una décima de punto según Dell'Oro [16]. La cuota del 9,2 % es una estimación propia sobre su mercado direccionable: 40.152 M EUR de ventas de 2025 sobre ≈438.000 M EUR [1]. En automatización industrial es un actor de segunda fila frente a Siemens y Rockwell, con 7.022 M EUR de ventas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(Smart Infrastructure)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margen del segmento con una plusvalía de 315 M EUR por la venta de mecanismos (18,2 % sin ella) [18]. Rival directo en distribución eléctrica, edificios y redes.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ventas −4 % [18]. Líder en automatización discreta y software de producto: el gran rival de Automatización industrial y, con PTC, en software de diseño.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33.220 M USD convertidos a la media de 2025 (1,1300) [19, 23]. Electrificación, motores y automatización de procesos; compite en todo el catálogo de Schneider.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27.448 M USD [20, 23]. Fuerte en distribución eléctrica y SAI en EE. UU., más aeroespacial; rival principal en centros de datos norteamericanos.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Mecanismos, canalizaciones, racks y PDU para centros de datos [21]; multada junto a Schneider en el mismo expediente francés de 2024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10.230 M USD [22, 23]. Especialista en energía y refrigeración para centros de datos; empatado con Schneider en cuota del mercado de Dell'Oro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de 400 socios acreditados, 20.000 cuadristas y 80.000 ingenierías que especifican y montan sus productos [1]: no es un efecto de red puro, pero cada instalador formado en Schneider refuerza la especificación.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con vida de décadas, software (AVEVA, EcoStruxure) recurrente en un 79 % y servicios de campo del 11 % de las ventas [1, 4]; la cartera a más de un año subió a 8.022 M EUR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el canal (Square D, APC, Merlin Gerin, Telemecanique) [6] y I+D total de 2.380 M EUR (5,9 %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(50.000 proveedores) y producción regional; el margen EBITA ajustado de Gestión de la energía, 21,8 %, supera el operativo de Siemens SI, ABB, Eaton y Legrand (18-20 %) [1, 12-15].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pocos grupos globales con red de distribución en más de 100 países se reparten el mercado [1]; margen EBITA ajustado al alza cinco años seguidos hasta el 18,7 % [1].</w:t>
            </w:r>
          </w:p>
        </w:tc>
      </w:tr>
    </w:tbl>
    <w:p>
      <w:pPr>
        <w:spacing w:after="160" w:before="0"/>
      </w:pPr>
    </w:p>
    <w:p>
      <w:pPr>
        <w:pStyle w:val="Heading2"/>
      </w:pPr>
      <w:r>
        <w:t xml:space="preserve">Amenazas</w:t>
      </w:r>
    </w:p>
    <w:p>
      <w:pPr>
        <w:spacing w:after="100"/>
      </w:pPr>
      <w:r>
        <w:t xml:space="preserve">Tres riesgos. Primero, los centros de datos: son ≈30 % de los pedidos [14] y los compran pocos clientes que pueden imponer precio o frenar la inversión; Vertiv y Eaton compiten de tú a tú [16]. Segundo, el margen bruto bajó 50 pb en 2025 por la mezcla hacia Sistemas y no se recuperó con precio [1]: si los proyectos siguen ganando peso, el margen por euro vendido baja. Tercero, la compra de PTC (23.700 M USD de valor empresa) [8] es la mayor de su historia y lleva el foso al software de diseño, donde Siemens es el líder; una mala integración erosionaría la rentabilidad del capital. La probabilidad de que el foso se estreche en cinco años parece baja; la de que el margen se resienta por mezcla,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9,8 %</w:t>
      </w:r>
      <w:r>
        <w:t xml:space="preserve">, EBITDA </w:t>
      </w:r>
      <w:r>
        <w:rPr>
          <w:b/>
          <w:bCs/>
        </w:rPr>
        <w:t xml:space="preserve">14,2 %</w:t>
      </w:r>
      <w:r>
        <w:t xml:space="preserve">, BPA </w:t>
      </w:r>
      <w:r>
        <w:rPr>
          <w:b/>
          <w:bCs/>
        </w:rPr>
        <w:t xml:space="preserve">14,0 %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25.159 M EUR en 2020 a 40.152 M en 2025 (TCAC del 9,8 %), con crecimiento orgánico del 8,9 % en 2025 y un efecto divisa de −4,1 % [1, 4]. El EBITA ajustado subió del 15,6 % al 18,7 % de las ventas en el periodo [3, 4]: la mejora viene de Gestión de la energía (18,8 % → 21,8 %), mientras que Automatización industrial cayó del 18,9 % de 2022 al 14,2 % de 2025 por la debilidad de la automatización discreta y la transición de AVEVA a suscripción [2, 4]. En 2025 el margen bruto bajó 40 pb orgánicos (mezcla de sistemas, materias primas y unos 160 M EUR de aranceles) y lo compensó la reducción de los gastos de estructura [4]. El beneficio neto de 2025 (4.163 M EUR, −2 %) lleva 388 M EUR de deterioro de la participada Uplight y 287 M de reestructuración; por eso el beneficio neto no cuadra con BAI − impuestos − minoritarios: entre medias van la participación en asociadas (+14 M) y su deterioro (−388 M) [1]. En 1S26 las ventas crecieron un 14,0 % orgánico y el EBITA ajustado un 22,1 %, hasta el 19,3 % de margen [6]; en 3T26, +16,9 % orgánico [8].</w:t>
      </w:r>
    </w:p>
    <w:p>
      <w:pPr>
        <w:pStyle w:val="Heading2"/>
      </w:pPr>
      <w:r>
        <w:t xml:space="preserve">Ajustes y partidas no recurrentes</w:t>
      </w:r>
    </w:p>
    <w:p>
      <w:pPr>
        <w:spacing w:after="100"/>
      </w:pPr>
      <w:r>
        <w:t xml:space="preserve">Las cifras son las publicadas. La empresa da un EBITA ajustado (antes de amortización de intangibles de compras, reestructuración y otros resultados de explotación) y un BPA ajustado de 8,59 EUR en 2025 frente a 7,33 EUR diluido publicado [4]. La diferencia de 2025 (666 M EUR de beneficio neto) son la amortización de intangibles de compras (457 M), la reestructuración (287 M), otros gastos (77 M, sobre todo compras e integración) y el deterioro de Uplight (388 M), netos de impuestos [4]. La reestructuración se repite todos los años (141 M en 2024, unos 450 M esperados en 2026, sobre una base normal de 100-150 M) y no se trata como no recurrente [4, 6]. El EBITDA de esta nota es EBIT + amortizaciones del estado de flujos (material, con derechos de uso, e intangible, con la de compras), sin deterioros: no coincide con ningún EBITDA de la empresa. El LTM lleva como no recurrente el deterioro de 128 M EUR de desarrollos capitalizados de Automatización de 1S26 [7].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Schneider publica cuenta completa por semestres y solo ventas en 1T y 3T, así que la serie va por semestres; el EBITDA de cada semestre es EBIT + amortizaciones del estado de flujos de cada informe semestral, y el del segundo semestre, la diferencia con el año [1, 5, 7]. En la presentación de 1S26 (30-jul) la dirección subió la guía de 2026 (EBITA ajustado +14-19 % orgánico, ventas +10-13 %) y anunció Cognite (3.100 M USD) y AiDASH [6]. El 16-oct adelantó las ventas del 3T26 (prevista el 29-oct [6]): 11.460 M EUR, +16,9 % orgánico, con demanda de centros de datos a tres dígitos y China y Asia Oriental +26 %; subió otra vez la guía a EBITA ajustado +18-21 % orgánico, ventas +12-14 % y margen de 19,7-19,9 % [8]. El mismo comunicado recoge la compra de PTC (valor empresa de 23.700 M USD, anunciada el 5-oct), Shelly (unos 1.200 M EUR) y una </w:t>
      </w:r>
      <w:r>
        <w:rPr>
          <w:b/>
        </w:rPr>
        <w:t xml:space="preserve">pausa en las recompras en 2027 y 2028</w:t>
      </w:r>
      <w:r>
        <w:t xml:space="preserve"> [8]. Puntos débiles que la propia empresa reconoce: procesos e híbrido a la baja en China, Automatización por debajo del grupo y Oriente Medio como riesgo para el 4T [8]. No se han leído las transcripciones de las conferencias: las preguntas de los analistas quedan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Electrical &amp; Automation de Larsen &amp; Toubro (India), consolidada desde el 1-sep-20 por 1.571 M EUR; RIB Software consolidada desde 2020 [3].; 2021: OSIsoft (vía AVEVA), consolidada desde el 19-mar-21 por 4.500 M EUR [3].; 2024: Planon, consolidada desde el 28-oct-24 (participación del 80 %): entra en balance con solo dos meses en la cuenta [1].; 2025: Motivair (desde el 28-feb-25) y Schneider eStar (desde el 1-abr-25); compra del 35 % de SEIPL a Temasek (18-dic-25, 5.478 M EUR) registrada contra patrimonio, que baja el patrimonio atribuido de 30.489 a 24.199 M EUR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9.749 M EUR (2021) a 17.880 M (2025) y la deuda neta de la empresa de 8.147 M a 13.721 M solo en 2025, por la compra del 35 % de SEIPL (5.478 M), las compras de Motivair y eStar (1.158 M) y el dividendo (2.287 M) [1, 4]. Es casi toda en euros (17.746 M) y a tipo fijo bajo: el coste medio ronda el 2,9 % (473 M de gastos financieros brutos sobre la deuda media) [1]. El circulante crece con la actividad de sistemas: existencias de 2.883 M (2020) a 5.368 M (2025) y activos de contratos de 1.231 a 2.740 M, compensados por anticipos de clientes de centros de datos (pasivos de contratos de 3.542 M) [1, 3]. En 1S26 el circulante comercial consumió 1.208 M EUR, como cada primer semestre [6]. Con PTC la deuda neta subirá con fuerza en 2027: el rating A es el límite que la empresa se ha fijado [8].</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20.945</w:t>
      </w:r>
      <w:r>
        <w:t xml:space="preserve">, conversión </w:t>
      </w:r>
      <w:r>
        <w:rPr>
          <w:b/>
          <w:bCs/>
        </w:rPr>
        <w:t xml:space="preserve">99 %</w:t>
      </w:r>
      <w:r>
        <w:t xml:space="preserve"> del beneficio neto; adquisiciones 19.442, dividendos 10.399, recompras 1.897.</w:t>
      </w:r>
    </w:p>
    <w:p>
      <w:pPr>
        <w:spacing w:after="100"/>
      </w:pPr>
      <w:r>
        <w:t xml:space="preserve">El flujo operativo (después de impuestos e intereses, que Schneider deja en explotación) subió de 4.435 M EUR en 2020 a 6.131 M en 2025 [1, 3]. 2021 fue flojo (3.616 M) por la acumulación de existencias y cuentas a cobrar (−853 M de circulante) [3]. La columna de adquisiciones suma las compras netas de caja y las compras de minoritarios, que Schneider clasifica en financiación: AVEVA (4.702 M en 2023) y SEIPL (5.535 M en 2025) [1, 2]; en 2023 las ventas de negocios superaron a las compras (+611 M, en desinversiones) y en 2020 entran 1.141 M de operaciones con minoritarios, año en que Temasek tomó el 35 % de la filial india [3]. Los pagos de arrendamientos no se publican: se usa la amortización de los derechos de uso como estimación propia (373 M en 2025) [1, 2, 3]. La inversión es de unos 3,7-3,8 % de las ventas (2,5 % material y 1,2 % intangible, sobre todo desarrollo capitalizado) [4]; la empresa no separa mantenimiento y crecimiento, pero la amortización de 2025 sin la de compras (1.195 M en los segmentos) frente a 1.543 M de inversión sugiere unos 350 M de inversión de crecimiento (estimación propia) [1]. La caja libre de la empresa (antes de arrendamientos) fue de 4.635 M en 2025 y de 1.631 M en 1S26 [4, 6]. Los dividendos son solo el de los accionistas de la matriz (los minoritarios cobraron 96 M en 2025)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Forvis Mazars SA y PricewaterhouseCoopers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ni observaciones (cuentas de 2025); revisión limitada sin observaciones del 1S26 [1,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Forvis Mazars audita desde 2004 (22 años seguidos) y PwC desde 2022 (cuarto año) [1]. Los puntos clave de auditoría de 2025 son la valoración del fondo de comercio y las marcas (25.142 y 2.165 M EUR, en torno al 44 % del activo) y los riesgos fiscales, con 666 M de créditos fiscales por pérdidas activados, 403 M en Francia [1]. La distancia entre beneficio ajustado y publicado es grande y crece: 4.829 M frente a 4.163 M en 2025 (16 %) [4]. La empresa capitaliza desarrollo (471 M de inversión intangible en 2025) y en 1S26 deterioró 128 M de esos desarrollos en Automatización [1, 6]. Las participaciones en Uplight costaron 608 M de deterioros en 2024-2025 [4]. En 1S26 reexpresó el balance de dic-25 por el tratamiento de ciertos contratos con proveedores (activo 62.504 → 62.406 M; patrimonio atribuido 24.199 → 24.126 M) [7]. El 1S25 llevó algo de factoring que movió los días de cobro [6]. La conversión de beneficio en caja es buena (FCF/beneficio neto del 106 % ajustado en 2025) [4], lo que resta peso a las señales anteriores. Al leer el Altman, el Piotroski y el Beneish hay que tener en cuenta que el patrimonio de 2025 baja 5.500 M por la compra de minoritarios de SEIPL contabilizada contra patrimonio, lo que distorsiona los ratios de apalancamiento de ese año.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fuera del EBITA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 M (2024), 287 M (2025) y unos 450 M previstos en 2026; la propia empresa habla de una base normal de 100-150 M al año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creciente entre BPA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8,59 frente a 7,33 EUR en 2025: amortización de compras (457 M), reestructuración y deterioro de Uplight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desarrollos capitalizados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M en 1S26 por la simplificación de la gama de Automatización: la capitalización de 2021-2025 estaba sobrevalorada en esa parte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participadas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Uplight: 220 M (2024) y 388 M (2025), incluidos préstamos convertibles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balance de dic-25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tratamiento de contratos con proveedores; 98 M de activo y 73 M de patrimonio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mandato muy largo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Forvis Mazars, 22 años seguidos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25.142 M en 2025 (el 64 % del capital invertido medio); ha subido más de un 5 % en 2 de 5 años: compras pequeñas. ROIC publicado 12,8 %; sin fondo de comercio, 36,2 %.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23,8 % · </w:t>
      </w:r>
      <w:r>
        <w:rPr>
          <w:b/>
          <w:bCs/>
        </w:rPr>
        <w:t xml:space="preserve">WACC</w:t>
      </w:r>
      <w:r>
        <w:t xml:space="preserve">: 9,3 %.</w:t>
      </w:r>
    </w:p>
    <w:p>
      <w:pPr>
        <w:spacing w:after="100"/>
      </w:pPr>
      <w:r>
        <w:t xml:space="preserve">Schneider crea valor: su propio ROCE (EBITA ajustado después de impuestos sobre capital empleado con fondo de comercio) fue del 14,8 % en 2024 y del 15,1 % en 2025 [4], por encima del coste de capital que use el DCF del informe. Lo mueve el margen, no la rotación: el EBITA ajustado pasó del 15,6 % al 18,7 % de las ventas entre 2020 y 2025, mientras el capital empleado sigue dominado por 25.000 M EUR de fondo de comercio de compras (entre ellas AVEVA, OSIsoft y L&amp;T) [1, 3, 4]. El ROIC del motor de 2025 saldrá inflado: la compra del 35 % de SEIPL (5.478 M) se registró contra patrimonio y el capital invertido baja sin que cambie el negocio [1]. El ROIC incremental de 2020-2025 es alto en Gestión de la energía (EBITA ajustado +3.600 M con poca compra) y pobre en Automatización (EBITA ajustado de 992 M en 2020 a 994 M en 2025 tras pagar 4.500 M por OSIsoft y 4.700 M por los minoritarios de AVEVA) [1, 2, 3]. PTC (23.700 M USD) volverá a cargar el capital empleado con fondo de comercio en 2027 [8]. No se ha hecho la comparación con competidores en esta nota.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dic-25: caja de 4.634 M EUR y líneas de crédito comprometidas de 3.525 M sin disponer (2.875 M con vencimiento después de 2026), sin covenants financieros ni cláusulas por rebaja de rating: 8.100 M EUR de liquidez frente a 2.900 M de deuda a corto [1]. A jun-26: caja de 4.518 M y deuda financiera neta de 15.360 M EUR [6, 7]. Después del semestre emitió 1.500 M EUR de EMTN (1-jul-26) y 850 M de OCEANE a 2034 (jun-26)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A-1 (estable) y Moody's A2 (estable), reafirmados el 6-oct-26 tras anunciar la compra de PTC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netas en balance de 1.048 M EUR a dic-25 [1]. Compromisos de compra de minoritarios de 475 M EUR (sobre todo el 25 % de Motivair, ejercitable en 2028: 278 M), que la empresa suma a su deuda neta (13.721 M EUR con ellos, 13.246 M sin ellos) [1]. Pasivos por arrendamiento de 1.554 M EUR fuera de la deuda neta de la empresa [1]. Provisiones de 2.210 M EUR (1.074 corrientes y 1.136 no corrientes) [1]. En 2025 pagó una multa de 207 M EUR por un litigio en Francia ya provisionado [4]. Deuda pendiente con la compra de PTC: unos 6.000 M EUR de acciones nuevas y el resto con emisiones de deuda y préstamos puente comprometidos [9]; cierre previsto en 3T27 [8]. A jun-26 había reconocido 353 M EUR de pasivo por la parte pendiente del programa de recompra con Natixis [6].</w:t>
      </w:r>
    </w:p>
    <w:p>
      <w:pPr>
        <w:pStyle w:val="Heading1"/>
      </w:pPr>
      <w:r>
        <w:t xml:space="preserve">12. Asignación de capital</w:t>
      </w:r>
    </w:p>
    <w:p>
      <w:pPr>
        <w:pStyle w:val="Confianza"/>
        <w:spacing w:after="100"/>
      </w:pPr>
      <w:r>
        <w:t xml:space="preserve">Confianza: Media</w:t>
      </w:r>
    </w:p>
    <w:p>
      <w:pPr>
        <w:spacing w:after="100"/>
      </w:pPr>
      <w:r>
        <w:t xml:space="preserve">Dividendo progresivo desde hace 16 años: 2,60 EUR (2020), 2,90 (2021), 3,15 (2022), 3,50 (2023), 3,90 (2024) y 4,20 (2025, pagado el 13-may-26) [1, 2, 3, 6]. En el día del inversor de 2025 anunció recompras de 2.500-3.500 M EUR hasta 2030; en 2026 ejecuta un tramo de 600 M con Natixis (497 M comprados a 269 EUR de media al 12-oct) [8]. Tras anunciar PTC, </w:t>
      </w:r>
      <w:r>
        <w:rPr>
          <w:b/>
        </w:rPr>
        <w:t xml:space="preserve">pausa las recompras en 2027 y 2028</w:t>
      </w:r>
      <w:r>
        <w:t xml:space="preserve"> y las acelerará después, dentro de la misma horquilla [8]. Prioridades: crecimiento orgánico, compras de software e IA, dividendo y rating A [4, 8]. Para PTC ha colocado unos 6.000 M EUR de acciones nuevas sin derecho preferente (19-20 oct, liquidación el 22-oct), cerca del 4 % del capital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&amp; Automation de Larsen &amp; Toubro (India), combinada con Schneider India; Temasek entra con el 35 % por 530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aportación de Temasek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operativo (India crece a doble dígito), pero Schneider recompró el 35 % de Temasek en 2025 por 5.478 M EUR, diez veces lo que Temasek puso en 2020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RIB Software (software para construcción), 100 % en 2021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modesto; la transición a suscripción frena sus ventas en 2025-2026 [3, 4,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OSIsoft (datos industriales), vía AVEVA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3.900 M EUR en caja y 500 M en acciones de AVEVA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AVEVA (ARR +10-12 %), pero el EBITA ajustado de Automatización no ha crecido desde 2020 [1,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 restante de AVEVA (exclusión de bolsa en Londres)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 1.700 M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AVEVA cerca del 85 % recurrente; margen de Automatización del 18,9 % (2022) al 14,2 % (2025) [1,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55 % adicional de Planon (hasta el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644 M; contribuye a servicios digitales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Motivair (refrigeración líquida para centros de datos); 25 % restante en 2028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769 M; refrigeración entre las líneas que más crecen en 2026 [1, 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de Schneider Electric India (SEIPL) a Temasek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y préstamo puente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Registrada contra patrimonio; los minoritarios de la cuenta bajan de 97 M en 1S25 a 60 M en 1S26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Cognite (datos industriales e IA), 100 %;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(3.100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Shelly Group (IoT para hogar), OPA del 100 %; cierre previsto en 1T27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(software de diseño y gestión del ciclo de vida); 205 USD por acción, 22.600 M USD de capital y 23.700 M USD de valor empresa; cierre previsto en 3T27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6.000 M EUR de ampliación de capital, nueva deuda y préstamos puente [9]</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la empresa espera 250 M EUR de sinergias de costes al tercer año y unos 800 M de ingresos, y un BPA ajustado (antes de PPA) algo mayor el primer año [8].</w:t>
            </w:r>
          </w:p>
        </w:tc>
      </w:tr>
    </w:tbl>
    <w:p>
      <w:pPr>
        <w:spacing w:after="160" w:before="0"/>
      </w:pPr>
    </w:p>
    <w:p>
      <w:pPr>
        <w:spacing w:after="100"/>
      </w:pPr>
      <w:r>
        <w:t xml:space="preserve">Veredicto mixto. En Gestión de la energía la asignación de capital ha sido excelente: crecimiento orgánico, cartera récord y compras pequeñas y bien elegidas (Motivair). En software el historial es caro: OSIsoft y los minoritarios de AVEVA costaron unos 9.200 M EUR y Automatización gana hoy lo mismo que en 2020 [1, 2, 3]. La recompra de SEIPL multiplicó por diez el precio de entrada de Temasek en cinco años [1, 3]. PTC es la mayor compra de su historia (23.700 M USD), se paga con un 4 % de dilución y deuda, interrumpe dos años las recompras y apuesta otra vez por el software industrial [8, 9]. A favor: el dividendo ha subido cada año, la emisión de acciones a empleados se compensa con recompras y la deuda sigue en A [1,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Blum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(CEO); no es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en el grupo y miembro del Comité Ejecutivo desde 2014; antes dirigió Gestión de la Energía y fue director de estrategia y sostenibilidad y de recursos humanos [1]. El consejo le nombró el 1-nov-2024 al cesar a Peter Herweck por «divergencias» en la ejecución de la estrategia [10]. En 2025, su primer año completo, la venta orgánica creció un 8,9 % (guía +7-10 %), el margen de EBITA ajustado subió 0,5 puntos orgánicos hasta el 18,7 % (el mínimo de la guía) y el flujo libre llegó a 4.600 M EUR [1]; en 2026 ha subido la guía dos veces, hasta ventas orgánicas +12-14 %, con un 3T26 de +17 % [6, 8]. Tiene 78.915 acciones (≈0,01 % del capital)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Fast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Ciudadano estadounidense, entró en el grupo en 2007. Antes de ser CFO (desde el 6-abr-2026) dirigía relaciones con inversores. También fue vicepresidente sénior de finanzas de la cadena de suministro global y de control y reporting del grupo, y antes trabajó en EY y Deloitte [4]. Sustituye a Hilary Maxson (CFO desde abril de 2020), que se fue el 5-abr-2026 para una oportunidad profesional en EE. UU. [4]. Lleva seis meses en el cargo y todavía no hay resultados que se le puedan atribuir.</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Jean-Pascal Tricoire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1986. Fue presidente del directorio (2006-2013) y presidente-director general (2013-2023), y desde el 4-may-2023 es presidente no ejecutivo, sin retribución variable ni acciones de rendimiento [1]. Tenía 823.872 acciones en marzo de 2026 (≈0,14 %) [1]. En mayo y junio de 2026 vendió acciones y participaciones del fondo de empleados por unos 8,7 M EUR [31, 32, 33]. Es consejero de Qualcomm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Godemel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Gestión de la Energía (Energy Management)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mayor del grupo. En 2025 creció un 10 % orgánico, su quinto año seguido de crecimiento de dos cifras [1], y en el 3T26 un 19 % orgánico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Gwenaelle Avice-Huet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Automatismos Industriales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Automatismos Industriales, que en 2025 volvió a crecer (+3 % orgánico) tras su caída [1] y en el 3T26 ganó un 8 % orgánico [8]. Antes fue directora general de Estrategia y Desarrollo Sostenible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de 2021: ventas orgánicas +8 a +11 %; margen de EBITA ajustado +90 a +130 pb (se volvió a subir en julio)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+12,7 %; margen de EBITA ajustado +140 pb, hasta el 17,3 %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ventas orgánicas +7 a +9 %, subida en julio a +9 a +11 %. Del margen solo consta que el objetivo variable se cumplió al 10 % de 60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+12,2 %; margen de EBITA ajustado +40 pb orgánicos, hasta el 17,6 %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ventas orgánicas +9 a +11 % y margen +50 a +80 pb; subida en julio a +11 a +13 % y +120 a +150 pb [2,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+12,7 %; margen +180 pb orgánicos, hasta el 17,9 %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ventas orgánicas +6 a +8 % y margen +40 a +60 pb; margen subido en julio a +60 a +80 pb [2,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+8,4 %; margen +90 pb orgánicos, hasta el 18,6 %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2022-2024 (plan del día del inversor de 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+5 a +8 % de media anual; margen +30 a +70 pb al año; flujo libre ≈4.000 M EUR en 2024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+12,2 %, +12,7 % y +8,4 %; margen +40, +180 y +90 pb; flujo libre de 4.200 M EUR en 2024 [2, 10,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ventas orgánicas +7 a +10 % y margen +50 a +80 pb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+8,9 % y margen +50 pb, hasta el 18,7 % (justo el mínimo); flujo libre de 4.600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cumple lo que promete y suele quedarse corta: de 2021 a 2024 superó cada año la guía de ventas, casi siempre después de subirla en julio, y el plan 2022-2024 se cumplió con creces. 2025 fue más justo: las ventas quedaron en mitad del rango y el margen en el mínimo, y el variable del CEO se pagó al 72,7 % del objetivo [1]. En 2026 la guía de EBITA ajustado ha pasado de +10-15 % (febrero) a +14-19 % (julio) y a +18-21 % (16-oct) [4, 6, 8]. El equipo es menos estable de lo que parece: Herweck fue cesado el 1-nov-2024 tras 18 meses [10] y la CFO de seis años se marchó en abril de 2026 a Oracle; la sustituyó el jefe de relaciones con inversores [4]. Las sucesiones salen de dentro (Blum y Fast) y el comité de nombramientos tiene un plan de sucesión [1], pero en 24 meses han cambiado el CEO y el CFO.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Jean-Pascal Tricoire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Sostenibilidad (presidente); Inversiones; Digital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 Kindle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Sostenibilidad; Capital Humano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Giulia Chierchia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Clotilde Delbos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Laura (Xiaohong) Ding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Rita Félix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Humano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Knoche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Gobierno, Nombramientos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(presidenta); Gobierno, Nombramientos y Sostenibilidad;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Anna Ohlsson-Leijon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Capital Humano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Abhay Parasnis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Anders Runevad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(renovado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 (presidente); Gobierno, Nombramientos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Lip-Bu Tan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 Digital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Bruno Turchet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Ellyn Shook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(observadora desde oct-2025; consejera desde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Humano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François Jackow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 de Air Liquide)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comités publicados a la fecha de corte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Jean-Pascal Tricoire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ni observaciones (cuentas de 2025); revisión limitada sin observaciones del 1S26 [1, 7].</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0,08 / ventas 8,73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al cierre de 2024 y 7,8 % al de 2023; sin cambios de umbral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(FCPE y directos)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2024; tienen el 5,9 % de los votos por el voto doble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 millones de acciones al 31-dic-2025 (2,5 % en 2024). Recompra de 600 M EUR en curso desde marzo de 2026 que debe terminar en noviembre [1,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 Life Financial,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Tenía el 5,7 % al cierre de 2023; bajó del 5 % en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(resto)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otro accionista por encima del 5 % ni pactos de accionistas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Jean-Pascal Tricoire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Jean-Pascal Tricoire (presidente), participaciones del fondo de empleados FCPE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Jean-Pascal Tricoire (presidente), participaciones del fondo de empleados FCPE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François Jackow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al CEO se le asignaron 5,41 M EUR: 1,2 M de fijo, 1,13 M de variable anual, 2,70 M en acciones de rendimiento (valor NIIF), 0,35 M de pensión y 0,03 M de otros conceptos [1]. El variable anual (objetivo, 130 % del fijo; máximo, 260 %) depende de crecimiento orgánico (35 %), margen de EBITA ajustado (25 %), caja (10 %), satisfacción del cliente (10 %) y sostenibilidad (20 %). Se pagó al 72,7 % del objetivo porque el margen quedó en el mínimo [1]. El plan a largo plazo (tope, 300 % del fijo; tres años más uno de permanencia) mide el BPA ajustado (40 %), el TSR frente al STOXX Europe 50 y a 11 competidores (35 %) y el CO2 (25 %) [1]. Las metas son exigentes: en 2023 y 2024 se superó la guía y aun así se cobró poco. Hay cláusula de recuperación (clawback) [1]. La indemnización por despido es de hasta dos veces el fijo más 24 meses de variable, con condiciones [1]. En 2025 la salida de Herweck (3,45 M EUR de indemnización y 1,44 M de no competencia [10]) solo obtuvo un 68,6 % a favor, contra el criterio de los asesores de voto [27]. El consejo aclaró la cláusula en la política de 2026, aprobada [26]. La remuneración total equivale a 82 veces la media mundial de la plantilla [1].</w:t>
      </w:r>
    </w:p>
    <w:p>
      <w:pPr>
        <w:pStyle w:val="Heading2"/>
      </w:pPr>
      <w:r>
        <w:t xml:space="preserve">Operaciones vinculadas, estructura de control y defensas</w:t>
      </w:r>
    </w:p>
    <w:p>
      <w:pPr>
        <w:spacing w:after="100"/>
      </w:pPr>
      <w:r>
        <w:t xml:space="preserve">No hay accionista de control ni pactos: el mayor es BlackRock con el 7,7 % [1]. Hay dos defensas estatutarias desde 1995. La primera es el voto doble para las acciones nominativas con dos años de antigüedad; por eso las 577,1 millones de acciones daban 603,8 millones de derechos de voto teóricos a cierre de 2025 [1]. La segunda es un límite de voto: ningún accionista puede emitir más del 10 % de los votos (15 % contando el voto doble). El límite decae si alguien supera dos tercios del capital tras una oferta por el 100 % [1]. Los empleados tienen el 3,3 % del capital y el 5,9 % de los votos [1]. Los auditores no informan de ninguna operación vinculada sometida a la junta en 2025 [1]. Presidente y CEO están separados desde 2023 y hay un consejero coordinador independiente (Fred Kindle) [1]. Sin contar a los representantes de los empleados, el 92 % del consejo es independiente [26].</w:t>
      </w:r>
    </w:p>
    <w:p>
      <w:pPr>
        <w:pStyle w:val="Heading2"/>
      </w:pPr>
      <w:r>
        <w:t xml:space="preserve">Señales de alerta</w:t>
      </w:r>
    </w:p>
    <w:p>
      <w:pPr>
        <w:pStyle w:val="ListParagraph"/>
        <w:numPr>
          <w:ilvl w:val="0"/>
          <w:numId w:val="2"/>
        </w:numPr>
        <w:spacing w:after="60"/>
      </w:pPr>
      <w:r>
        <w:t xml:space="preserve">Rotación de la cúpula: el consejo cesó al CEO Peter Herweck el 1-nov-2024 tras 18 meses por diferencias en la ejecución de la estrategia [10]. La CFO Hilary Maxson se fue el 5-abr-2026 y la sustituyó el jefe de relaciones con inversores, Nathan Fast [4].</w:t>
      </w:r>
    </w:p>
    <w:p>
      <w:pPr>
        <w:pStyle w:val="ListParagraph"/>
        <w:numPr>
          <w:ilvl w:val="0"/>
          <w:numId w:val="2"/>
        </w:numPr>
        <w:spacing w:after="60"/>
      </w:pPr>
      <w:r>
        <w:t xml:space="preserve">El 29-oct-2024 la Autoridad de la Competencia francesa multó al grupo con 207 M EUR por limitar la libertad de precios de distribuidores en Francia. La multa se pagó en abril de 2025 y está recurrida. En paralelo, la empresa está imputada desde el 7-oct-2022 en una causa penal, con una fianza de 80 M EUR, y el procedimiento sigue abierto [1].</w:t>
      </w:r>
    </w:p>
    <w:p>
      <w:pPr>
        <w:pStyle w:val="ListParagraph"/>
        <w:numPr>
          <w:ilvl w:val="0"/>
          <w:numId w:val="2"/>
        </w:numPr>
        <w:spacing w:after="60"/>
      </w:pPr>
      <w:r>
        <w:t xml:space="preserve">En la junta de 2025 la indemnización de salida de Herweck solo logró un 68,6 % de votos a favor, contra la recomendación de los asesores de voto [27].</w:t>
      </w:r>
    </w:p>
    <w:p>
      <w:pPr>
        <w:pStyle w:val="ListParagraph"/>
        <w:numPr>
          <w:ilvl w:val="0"/>
          <w:numId w:val="2"/>
        </w:numPr>
        <w:spacing w:after="60"/>
      </w:pPr>
      <w:r>
        <w:t xml:space="preserve">Ventas del presidente: en mayo y junio de 2026 Tricoire vendió unos 8,7 M EUR entre acciones y participaciones del fondo de empleados, con la acción entre 270 y 300 EUR. No hay compras de directivos con dinero propio salvo las 250 acciones del nuevo consejero Jackow [31, 32, 33, 34]. Las demás declaraciones de 2026 son entregas de acciones de rendimiento del plan 2023 a Blum (12.530), Ding (265) y Turchet (235) [28, 29, 30].</w:t>
      </w:r>
    </w:p>
    <w:p>
      <w:pPr>
        <w:pStyle w:val="ListParagraph"/>
        <w:numPr>
          <w:ilvl w:val="0"/>
          <w:numId w:val="2"/>
        </w:numPr>
        <w:spacing w:after="60"/>
      </w:pPr>
      <w:r>
        <w:t xml:space="preserve">Linda Knoll, que presidía la comisión de remuneraciones, salió del consejo en la junta de 2026 junto con Nive Bhagat. No consta quién preside ahora esa comisión [1, 25,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subida el 16-oct-2026 (segunda subida del año, tras la del 30-jul, cuando la llevó a +14-19 % [6]): EBITA ajustado +18-21 % orgánico (antes +14-19 %), con ventas +12-14 % orgánico (antes +10-13 %) y margen de EBITA ajustado +100-120 pb orgánico, lo que da un margen en torno al 19,7-19,9 % con el perímetro y la divisa actuales; divisa de −300 a −400 M EUR en ventas y perímetro de unos −50 M [8]. En los nueve meses, ventas de 32.686 M EUR (+15,0 % orgánico) y 3T26 de 11.460 M (+16,9 % orgánico, récord) [8]. Plan a 2030 (Capital Markets Day de 2025): recompras de 2.500-3.500 M EUR hasta 2030, ahora con pausa en 2027 y 2028 por la compra de PTC; dividendo progresivo y calificación de categoría A [35]. Resultados anuales: 18-feb-2027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23-oct-2026 (22 analistas en el bloque de recomendaciones; no da el número por año). BPA en base publicada (2025: 7,405 = beneficio neto / acciones), no el ajustado de la empresa; EBIT = EBITA ajustado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23-oct-2026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23-oct-2026 [44]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262,00 – 370,00</w:t>
            </w:r>
          </w:p>
        </w:tc>
      </w:tr>
    </w:tbl>
    <w:p>
      <w:pPr>
        <w:spacing w:after="160" w:before="0"/>
      </w:pPr>
    </w:p>
    <w:p>
      <w:pPr>
        <w:pStyle w:val="Heading2"/>
      </w:pPr>
      <w:r>
        <w:t xml:space="preserve">Revisiones de estimaciones</w:t>
      </w:r>
    </w:p>
    <w:p>
      <w:pPr>
        <w:spacing w:after="100"/>
      </w:pPr>
      <w:r>
        <w:rPr>
          <w:b/>
        </w:rPr>
        <w:t xml:space="preserve">El consenso es casi todo sin PTC</w:t>
      </w:r>
      <w:r>
        <w:t xml:space="preserve">: la deuda neta que prevé baja de 13.721 M EUR en 2025 a 5.989 M en 2028 [44], lo que no cuadra con pagar 20.100 M EUR por PTC en 2027; la mayoría de los modelos aún no recoge la compra, las 25 M de acciones nuevas ni la amortización del precio de compra. Revisiones de octubre: MarketScreener registró el 7-oct un recorte del BPA de 2027 del 5,4 % (2026 sin cambio) [44]; J.P. Morgan bajó el 6-oct a neutral y el objetivo de 345 a 310 EUR (múltiplo de 20,5 a 18,5 veces el EV/EBITA de 2027) aunque subió su BPA ajustado de 2026 y 2027 por la divisa [53]. La guía subida del 16-oct [8] empuja las ventas y el margen de 2026 al alza. Una sola fuente gratuita con estimaciones completas: Investing da las mismas recomendaciones y objetivos (22 analistas, 18 comprar y 4 mantener, 326,55 EUR de media) [45], probablemente del mismo proveedor.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Schneider ha batido al CAC 40 por 14 puntos anuales en tres años y por 8,6 en diez, pero desde agosto lo ha devuelto: del máximo de 312,30 EUR (13-ago-2026) a 235,75 el 22-oct (−24,5 %) y ≈228,75 el 23-oct a media sesión, a un 3 % del mínimo de 52 semanas [41]. En el año va +0,4 % frente a −4,2 % del CAC y +4,1 % del sector industrial europeo (STOXX Europe 600 Industrial Goods &amp; Services) [41]. La caída tiene dos partes: una propia, la compra de PTC del 5-oct (−10 % ese día, −16 % en tres sesiones) [35, 52] y la ampliación de 6.000 M EUR a 240 EUR del 19-20-oct [36]; y otra del sector de infraestructura para la IA, que cae a la vez (14-sep, 14-oct y 22-oct) [41, 54, 55]. Beta mensual de 5 años de 1,42 frente al CAC (semanal de 2 años 1,37; ajustada 1,28) [41].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-21,1 % / -12,8 % / -15,8 % / -10,7 %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 / +2,8 %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general de valores de infraestructura para la IA (también ASML e Infineon); sin noticia propia de la empresa [55]. Cierre de 272,05 EUR (Yahoo y Euronext) [41]. La nota de prensa fecha la caída el 15-sep y lleva un ISIN equivocado: solo se usa para la causa.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el 5-oct, antes de la apertura, de la compra de PTC por 205 USD por acción en efectivo: 22.600 M USD de capital y 23.700 M USD (21.100 M EUR) de valor empresa, 21 veces el EBITA ajustado de 2027 de PTC y 13 veces con sinergias; prima del 42,3 %; financiación con 5.000-6.000 M EUR de capital y 16.000-17.000 M de deuda; recompras en pausa en 2027 y 2028 [35]. Cierre del 5-oct de 272,80 EUR (−9,97 %) [41, 52]; el 6-oct J.P. Morgan bajó a neutral (objetivo de 345 a 310 EUR) por el giro hacia automatización industrial y la disciplina de capital [53]; 254,55 EUR el 7-oct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19-23 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acelerada anunciada la tarde del 19-oct y cerrada el 20-oct: 25 M de acciones nuevas (4,32 % del capital) a 240 EUR, un 4,99 % por debajo del cierre de 252,60 [36]; el 20-oct cerró en 244,30 (−3,3 %, 2,89 M de acciones, tres veces el volumen medio) [40]. El 22-oct, día de la liquidación de las acciones nuevas [36], cayó un 5,4 % a 235,75 (2,48 M de acciones) [40], el mismo día que todo el sector tras los resultados de Meta del 21-oct, que subió su previsión de inversión en IA con flujo de caja libre negativo y abrió dudas sobre su financiación [54]: Vertiv −7,8 %, Eaton −6,3 %, nVent −12,6 %, Prysmian −7,6 %, Legrand −5,8 %, ABB −4,1 %, Siemens −4,1 % y CAC 40 −1,4 % [41]. El 23-oct, ≈228,75 a las 15:45 (−3,0 %), con el sector aún a la baja (Legrand −0,8 %, ABB −1,7 %) [41]. Desde el 19-oct la acción cotiza por debajo del precio de la ampliación.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Shelly Group por OPA voluntaria en efectivo, valorada en unos 1.200 M EUR; condición de superar el 95 %; cierre previsto en el 1T27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PTC por 23.700 M USD de valor empresa (21.100 M EUR), cierre previsto en el 3T27 sujeto a la junta de PTC y a autorizaciones; sinergias de 250 M EUR de costes al tercer año y unos 800 M de ventas; acrecitiva de un dígito bajo al BPA ajustado **antes de la amortización del precio de compra** el primer año completo; recompras en pausa en 2027-2028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 Morgan baja de sobreponderar a neutral y el objetivo de 345 a 310 EUR; llama «ambiciosas» las sinergias de ventas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(A/A-1, estable) y Moody's (A2, estable) confirman la calificación tras el anuncio de PTC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adelantadas al 16-oct por la operación (estaban previstas más tarde): 11.460 M EUR, +16,9 % orgánico; centros de datos con demanda de tres cifras; guía de EBITA ajustado subida a +18-21 % orgánico [8, 35]. La acción cerró en 253,30 (−1,8 %)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6.000 M EUR (25 M de acciones a 240 EUR), liquidada el 22-oct, con compromiso de no emitir más capital durante 90 días; queda por emitir la deuda (16.000-17.000 M EUR en varias divisas) y hay un préstamo puente comprometido de Morgan Stanley y Société Générale [35,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todo el sector de infraestructura para la IA tras los resultados de Meta (21-oct): dudas sobre cómo se financia la inversión de los hiperescaladores [54]; no es una noticia de Schneider.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21 % en un mes tiene causa conocida y ya publicada: la compra de PTC (precio alto, giro hacia software y automatización, pausa de recompras) y la ampliación de 6.000 M EUR a 240 EUR, ya colocada y liquidada, con bloqueo de nuevas emisiones de 90 días [35, 36]. Lo demás es del sector: el 14-sep, el 14-oct y el 22-oct cayeron igual Vertiv, Eaton, nVent, Legrand y ABB [41, 54, 55]. No hay un hecho pendiente que pueda mover más de un 5 % antes de los resultados del 18-feb-2027; la emisión de deuda y la junta de PTC son esperadas. Vigilar los resultados de Vertiv (28-oct) y nVent (30-oct), que mueven al sector [54].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PER adelantado sobre el BPA ajustado de la empresa (precio de cierre del año ÷ BPA ajustado real del año siguiente) [1, 4, 10, 11, 38, 39, 41]: 2017 15,3x (70,86/4,64); 2018 11,2x (59,72/5,32); 2019 19,4x (91,50/4,72, excluido: el BPA de 2020 cayó un 11 % por la pandemia); 2020 19,3x (118,30/6,13); 2021 24,3x (172,46/7,11); 2022 18,0x (130,72/7,26); 2023 21,8x (181,78/8,32); 2024 28,0x (240,90/8,59); 2025 22,5x (234,90 ÷ 10,43, nuestro BPA ajustado de 2026e). El múltiplo se ha duplicado desde 2018 por el cambio de perfil (centros de datos, software con AVEVA, margen de EBITA del 13,6 % en 2018 a cerca del 19,8 % en 2026e). Hoy, 235,75 ÷ 11,38 (nuestro BPA de 2027e) = 20,7x: por debajo de la mediana de 5 años (22,5x) y lejos del 28x de finales de 2024. El año 2019 queda fuera de la serie por el BPA de 2020, deprimido por la pandemia.</w:t>
      </w:r>
    </w:p>
    <w:p>
      <w:pPr>
        <w:pStyle w:val="Heading1"/>
      </w:pPr>
      <w:r>
        <w:t xml:space="preserve">18. Comparables cotizados</w:t>
      </w:r>
    </w:p>
    <w:p>
      <w:pPr>
        <w:pStyle w:val="Confianza"/>
        <w:spacing w:after="100"/>
      </w:pPr>
      <w:r>
        <w:t xml:space="preserve">Confianza: Media</w:t>
      </w:r>
    </w:p>
    <w:p>
      <w:pPr>
        <w:spacing w:after="100"/>
      </w:pPr>
      <w:r>
        <w:t xml:space="preserve">Fabricantes cotizados de equipos de distribución eléctrica, refrigeración y automatización con negocio en centros de datos, edificios e industria: Legrand (el más parecido en baja tensión y edificios), ABB (electrificación y automatización), Siemens (Smart Infrastructure y automatización; conglomerado con Healthineers y servicios financieros, de ahí su deuda), Eaton (el rival directo en centros de datos en EE. UU.), Hubbell (redes y distribución eléctrica en EE. UU.) y Vertiv (centros de datos puro, crece mucho más). Fuera: Rockwell y Emerson (solo automatización), Prysmian y nVent (cables y envolventes, otra cadena de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19,4x / 23,1x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21,6x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 / 4,4x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Todas las cifras de Stock Analysis del 23-oct-2026 (un solo proveedor y criterio) [46, 47, 48, 49, 50, 51]; capitalizaciones en EUR al tipo del BCE del 23-oct (1,1193 USD y 0,9227 CHF por euro) [43]. Limitaciones: el PER adelantado es el del proveedor (BPA ajustado en los estadounidenses y en ABB; puede no coincidir con la definición de Schneider, que resta la amortización del precio de compra); el crecimiento es la previsión de ventas a 3 años de los analistas (anual), no la de los próximos 12 meses; no hay EV/EBITDA de los próximos 12 meses del mismo proveedor, por eso va vacío. La mediana del PER adelantado es 21,6x (19,1-24,2x); Schneider a 20,7x nuestro BPA de 2027e (≈19,6x el del consenso de MarketScreener) cotiza en la parte baja del grupo con un margen EBITDA de ≈22 % y crecimiento orgánico del 15 % en 2026, más que todos salvo Vertiv. El descuento frente a Eaton (23,9x) y ABB (22,8x) es nuevo: lo abrió la compra de PTC, que añade un negocio de software con precio de 21 veces EBITA y una deuda pro forma de ≈2,6 veces el EBITDA (estimación propia). El múltiplo razonable para Schneider es el de la mediana, 21-22x.</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 (software de diseño CAD/PLM,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23.700 M USD (21.100 M EUR); ventas de 2.400 M EUR y margen de EBITA ajustado de ≈40 % en 2025 (sin ThingWorx ni Kepware): 8,8x ventas y ≈22x EBITA de 2025 (estimación propia con esas cifras; la empresa da 21x el EBITA de 2027e y 13x con sinergias). Es EBITA, no EBITDA: en software la diferencia es pequeña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Cognite (datos industriales e IA, Noruega)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el 100 %; ventas de 2025 «por encima de 170 M USD», así que 18,2x es un máximo [7]. Excluida del cálculo: software de alto crecimiento sin beneficio publicado, no comparable con Schneider.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(convertidos al tipo del 23-oct-2026) según las cuentas de Eaton del 3T25 [56]. La prensa cita 22,5 veces el EBITDA ajustado de 2026e y 1.700 M USD de ventas de 2026e, cifras que no se han podido abrir en la nota oficial: no se usan.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valor empresa de unos 10.000 M USD, prima del 19 % [57]; ventas de 2023 de 612,7 M USD (XBRL del 10-K de Altair [58]): 16,3x. Valor empresa en EUR al tipo del 23-oct-2026. Excluida: software puro.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Shelly Group (hogar conectado, Bulgaria)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en efectivo valorada en unos 1.200 M EUR, cierre previsto en el 1T27 [8]; múltiplos no publicados en el comunicado leído.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del sector se pagan caras: 22x EBITA por PTC [35] y, en software industrial, 16-18 veces las ventas (Altair, Cognite) [7, 57, 58]. Son múltiplos de software, no del negocio eléctrico de Schneider, y por eso el método de transacciones lleva peso cero. Lo relevante es lo contrario: Schneider es comprador, no objetivo (capitalización de unos 140.000 M EUR con las acciones nuevas). La compra de PTC con una prima del 42 % y la pausa de las recompras es lo que el mercado ha castigado (−10 % el 5-oct) [35, 52]: el dinero se ha ido a un precio de software, y la rentabilidad sobre el capital de la operación solo supera al WACC al quinto año con todas las sinergias, según la propia empresa [35].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rPr>
          <w:b/>
        </w:rPr>
        <w:t xml:space="preserve">DCF de Schneider sin PTC</w:t>
      </w:r>
      <w:r>
        <w:t xml:space="preserve"> (la compra cierra en el 3T27 y se trata como neutra en valor: se paga lo que vale; las acciones nuevas y la caja de la ampliación van ambas en el puente). 2026e fijo: +13 % orgánico (centro de la guía de 12-14 %) con −300/−400 M EUR de divisa y −50 M de perímetro, +12,0 % publicado [8]; tres trimestres publicados (+15,0 % orgánico en 9M) [8]. 2027e +10 % (el consenso da +11,0 % [44]; cartera récord y demanda de centros de datos de tres cifras dan visibilidad para 2027-2028 según la empresa [8]), techo del 7-10 % orgánico del plan a 2030. Baja a +7 % en 2030e y al 3 % en 2035e, por encima del 2,5 % terminal.</w:t>
      </w:r>
    </w:p>
    <w:p>
      <w:pPr>
        <w:keepNext/>
        <w:spacing w:after="100"/>
      </w:pPr>
      <w:r>
        <w:rPr>
          <w:b/>
          <w:bCs/>
        </w:rPr>
        <w:t xml:space="preserve">Márgenes.</w:t>
      </w:r>
    </w:p>
    <w:p>
      <w:pPr>
        <w:spacing w:after="100"/>
      </w:pPr>
      <w:r>
        <w:t xml:space="preserve">EBITDA = EBITA ajustado + amortización sin compras (3,06 % de las ventas en 1S26: 650 M sobre 21.226 M [7]) − reestructuración, que se repite cada año (287 M, 0,7 % de las ventas, en 2025 [1]). 2026e: EBITA ajustado del 19,8 % (guía de 19,7-19,9 % [8]) + 3,1 − 0,6 = 22,3 %. Sube hasta el 23,7 % en 2030e (EBITA ajustado ≈21,2 %, +250 pb sobre el 18,7 % de 2025 [1], lo prometido en el plan a 2030 [35]) y se queda ahí. El consenso de 2027 da un EBITDA ajustado del 22,7 % de las ventas [44], igual que nuestro supuesto.</w:t>
      </w:r>
    </w:p>
    <w:p>
      <w:pPr>
        <w:keepNext/>
        <w:spacing w:after="100"/>
      </w:pPr>
      <w:r>
        <w:rPr>
          <w:b/>
          <w:bCs/>
        </w:rPr>
        <w:t xml:space="preserve">Inversión y circulante.</w:t>
      </w:r>
    </w:p>
    <w:p>
      <w:pPr>
        <w:spacing w:after="100"/>
      </w:pPr>
      <w:r>
        <w:t xml:space="preserve">Capex neto del 3,7 % de las ventas en 2025 (1.496 M EUR) [4] más pagos por arrendamientos (los pasivos por arrendamiento, 1.554 M a 31-dic-2025 [1], van en el puente): 4,6 % hasta 2029e por la ampliación de capacidad para centros de datos, 4,2 % desde 2031e, siempre por encima de la amortización (3,1 % que sube al 3,8 %). Circulante comercial del 14,6 % de las ventas en 2025 (5.368 + 9.836 − 9.327 M [1]) y del 17,2 % a jun-26 por estacionalidad [7]: 14,5 %.</w:t>
      </w:r>
    </w:p>
    <w:p>
      <w:pPr>
        <w:keepNext/>
        <w:spacing w:after="100"/>
      </w:pPr>
      <w:r>
        <w:rPr>
          <w:b/>
          <w:bCs/>
        </w:rPr>
        <w:t xml:space="preserve">Coste del capital.</w:t>
      </w:r>
    </w:p>
    <w:p>
      <w:pPr>
        <w:spacing w:after="100"/>
      </w:pPr>
      <w:r>
        <w:t xml:space="preserve">Bund a 10 años del 22-oct-2026: 3,44 % (Bundesbank) [42]; sin prima por Francia: el 77 % de las ventas está fuera de Europa [8]. Beta de 1,25: entre la ajustada mensual de 5 años (1,28) y la semanal (1,20) frente al CAC [41]; la bruta mensual es 1,42. Prima de mercado del 5,5 %. Coste de la deuda del 3,6 %: el bono a 2033 se emitió en julio de 2026 al 3,375 % [60] y habrá 16.000-17.000 M de deuda nueva para PTC; calificación A/A2 [8]. Peso de la deuda del 13 % (≈20.600 M de deuda bruta y arrendamientos frente a 140.000 M de capitalización).</w:t>
      </w:r>
    </w:p>
    <w:p>
      <w:pPr>
        <w:keepNext/>
        <w:spacing w:after="100"/>
      </w:pPr>
      <w:r>
        <w:rPr>
          <w:b/>
          <w:bCs/>
        </w:rPr>
        <w:t xml:space="preserve">Valor terminal.</w:t>
      </w:r>
    </w:p>
    <w:p>
      <w:pPr>
        <w:spacing w:after="100"/>
      </w:pPr>
      <w:r>
        <w:t xml:space="preserve">Media de Gordon con el 2,5 % (inflación del euro del 2 % más medio punto real, por debajo de la tasa libre menos medio punto) y un múltiplo de salida de 14x el EBITDA, por debajo de los 16-28x LTM de los comparables [46, 47, 48, 49, 50, 51] para no capitalizar la burbuja del sector.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286,14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(reinvierte el 34 %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(histórico: 23,8 %)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frente al 6,8 %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11.073 M, el 12 % del NOPAT, con un capex bruto medio del 4,4 % de las ventas). En un negocio de activos ligeros, el crecimiento medio del 6,8 %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13 %: crecimiento de Productos mayoritariamente de volumen, con el precio acelerando tras las subidas de principios de año y otras adicionales [8]; divisa (−0,8 %) y perímetro (−0,1 %) en otros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récord y demanda de centros de datos de tres cifras en el 3T26 [8]; precio para cubrir materias primas y aranceles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la cartera hasta 2028 según la empresa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 centros de datos; redes y edificios.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Suelo del 7 % del plan a 2030 [35].</w:t>
            </w:r>
          </w:p>
        </w:tc>
      </w:tr>
    </w:tbl>
    <w:p>
      <w:pPr>
        <w:spacing w:after="160" w:before="0"/>
      </w:pPr>
    </w:p>
    <w:p>
      <w:pPr>
        <w:spacing w:after="100"/>
      </w:pPr>
      <w:r>
        <w:t xml:space="preserve">La proyección pide +10 % y +9 % en 2027-2028e, por debajo del +15 % orgánico de 2026 [8] y dentro de la banda del plan a 2030; el margen llega a lo prometido (+250 pb de EBITA ajustado) sin pasarse. La reinversión es baja (capex del 4,6 % y circulante del 14,5 %) porque Schneider vende equipos y no necesita activos para crecer; el poder de precios está demostrado: el precio compensa materias primas y aranceles en 2026 [8]. Mercado final sin medir con el mismo perímetro: la prueba de cuota se hace con la demanda de centros de datos, que crece a tres cifras [8].</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 (base: 23,7 %)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9,3 %)</w:t>
            </w:r>
          </w:p>
        </w:tc>
      </w:tr>
    </w:tbl>
    <w:p>
      <w:pPr>
        <w:spacing w:after="160" w:before="0"/>
      </w:pPr>
    </w:p>
    <w:p>
      <w:pPr>
        <w:spacing w:after="100"/>
      </w:pPr>
      <w:r>
        <w:t xml:space="preserve">El DCF da 224,71 EUR por acción, un 4,7 % por debajo del cierre del 22-oct (235,75) y casi igual que el precio de hoy (≈228,80), con un WACC del 9,33 % y un 64 % del valor en el terminal. El WACC sube frente al 14-oct por la beta (1,25 frente a 1,10): Schneider se mueve un 25-40 % más que el CAC 40 [D]. El DCF inverso dice que a 235,75 EUR el mercado descuenta un crecimiento del 6,9 % anual en 2027e-2035e, muy cerca del 6,2 % de nuestro caso base: el precio ya es razonable, pero no barato.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se frenan en 2027-2028 (la inversión en IA se corta) y PTC rinde menos de lo pagado: crecimiento 3 puntos menor y margen 1,5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+12 % en 2026, +10 % en 2027 y convergencia al 3 % en 2035, con el margen de EBITA hacia el 21 %; PTC vale lo que se paga.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siguen a tres cifras y PTC aporta sinergias tempranas: crecimiento 2 puntos mayor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3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221,38 EUR (-6,1 %).</w:t>
      </w:r>
    </w:p>
    <w:p>
      <w:pPr>
        <w:spacing w:after="100"/>
      </w:pPr>
      <w:r>
        <w:t xml:space="preserve">El bajista (163,84 EUR, −30,5 %) pesa más que el alcista (272,25 EUR, +15,5 %): la asimetría es mala porque el caso base ya supone un ciclo de inversión en centros de datos fuerte hasta 2028.</w:t>
      </w:r>
    </w:p>
    <w:p>
      <w:pPr>
        <w:pStyle w:val="Heading1"/>
      </w:pPr>
      <w:r>
        <w:t xml:space="preserve">22. Suma de partes</w:t>
      </w:r>
    </w:p>
    <w:p>
      <w:pPr>
        <w:pStyle w:val="Confianza"/>
        <w:spacing w:after="100"/>
      </w:pPr>
      <w:r>
        <w:t xml:space="preserve">Confianza: Media</w:t>
      </w:r>
    </w:p>
    <w:p>
      <w:pPr>
        <w:spacing w:after="100"/>
      </w:pPr>
      <w:r>
        <w:t xml:space="preserve">No aplica: Gestión de la Energía y Automatización Industrial comparten clientes, software y costes centrales; el valor se calcula para el grupo [A].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3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228,62 EUR (-3,0 % sobre 235,75).</w:t>
      </w:r>
    </w:p>
    <w:p>
      <w:pPr>
        <w:spacing w:after="100"/>
      </w:pPr>
      <w:r>
        <w:t xml:space="preserve">Pesos: DCF 50 %, escenarios 30 % y comparables 20 %. Valor intrínseco de 228,62 EUR (−3,0 % frente al cierre del 22-oct; ≈ el precio de hoy). La recomendación la decide el objetivo a 12 meses por PER (regla v3): +14,0 % ponderado y +19,0 % en el caso base al cierre del 22-oct; al precio de hoy (228,80) sube al +17,5 %, pero el valor intrínseco sigue justo por debajo del precio: Mantener. Además, con un WACC del 9,33 % el ROIC (12,8 %) solo lo supera en 3,5 puntos: no llega a la calidad que exige una compra (5 puntos).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(20.7x) a mitad de camino hacia la mediana de 5 años (22.5x)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r>
    </w:tbl>
    <w:p>
      <w:pPr>
        <w:spacing w:after="160" w:before="0"/>
      </w:pPr>
    </w:p>
    <w:p>
      <w:pPr>
        <w:spacing w:after="100"/>
      </w:pPr>
      <w:r>
        <w:rPr>
          <w:b/>
          <w:bCs/>
        </w:rPr>
        <w:t xml:space="preserve">Objetivo a 12 meses (ponderado):</w:t>
      </w:r>
      <w:r>
        <w:t xml:space="preserve"> 264,53 EUR · rentabilidad +14,0 % (base +19,0 %) · señal Mantener.</w:t>
      </w:r>
    </w:p>
    <w:p>
      <w:pPr>
        <w:spacing w:after="100"/>
      </w:pPr>
      <w:r>
        <w:t xml:space="preserve">Para comparar, con la regla v2 (historia al cierre, mismo precio): 18,4x / 20,7x / 25,6x, 17,5 %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(12,79 EUR) queda un 9 % por debajo del consenso (14,08 EUR [44]) por tres motivos: las 25 M de acciones nuevas (−4 %), la amortización del precio de compra de PTC (≈0,90 EUR, estimación propia), que el BPA ajustado de Schneider sí resta, y un margen de EBITA un poco menor (20,6 % frente a 21,0 %). El consenso es, en su mayoría, sin PTC (prevé que la deuda neta baje a 5.989 M en 2028 [44]). El objetivo medio de los analistas (326,55 EUR, máximo 370) aplica los 27-28 veces de 2024 sobre un BPA sin PTC; ninguno de los dos supuestos es el nuestro.</w:t>
      </w:r>
    </w:p>
    <w:p>
      <w:pPr>
        <w:keepNext/>
        <w:spacing w:after="100"/>
      </w:pPr>
      <w:r>
        <w:rPr>
          <w:b/>
          <w:bCs/>
        </w:rPr>
        <w:t xml:space="preserve">Del valor intrínseco al objetivo a 12 meses.</w:t>
      </w:r>
    </w:p>
    <w:p>
      <w:pPr>
        <w:spacing w:after="100"/>
      </w:pPr>
      <w:r>
        <w:t xml:space="preserve">El objetivo a 12 meses ponderado (264,53 EUR; base 276,26) usa un PER de 21,6 veces, la mediana de los comparables, sobre un BPA de 2028e con PTC (12,79 EUR), un 9 % por debajo del consenso. Con la historia al cierre (v2) la rentabilidad es del +17,5 %.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EBITA del 19,7-19,9 % y primera guía con la financiación de PTC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de la compra de PTC (competencia y CFIUS)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previsto en el 3T27; el diferencial de PTC (≈192 frente a 205 USD) muestra dudas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90 días tras la ampliación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presión de oferta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de inversión de los grandes de la nube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son ≈30 % de los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en centros de datos para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(bajista del DCF: 163,84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eléctricas y edificios crecen aparte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centros de datos a la baja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 precio alto (21 veces el EBITA de 2027e) y deuda de ≈2,6 veces el EBITDA al cierre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confirmado; ampliación de 6.000 M ya hecha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retraso de aprobaciones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industrial estancada (EBITA igual que en 2020 pese a ≈9.200 M en 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8 % en el 3T26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Automatización por debajo del 14 %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dirección: salida de la directora financiera y ventas del presidente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un 73 %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en la cúpula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Multa de competencia en Francia y causa penal de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de 207 M ya pagada y recurrida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Sentencia</w:t>
            </w:r>
          </w:p>
        </w:tc>
      </w:tr>
    </w:tbl>
    <w:p>
      <w:pPr>
        <w:spacing w:after="160" w:before="0"/>
      </w:pPr>
    </w:p>
    <w:p>
      <w:pPr>
        <w:pStyle w:val="Heading2"/>
      </w:pPr>
      <w:r>
        <w:t xml:space="preserve">Pre-mortem</w:t>
      </w:r>
    </w:p>
    <w:p>
      <w:pPr>
        <w:spacing w:after="100"/>
      </w:pPr>
      <w:r>
        <w:t xml:space="preserve">Octubre de 2028: la acción vale 160 EUR. Los grandes de la nube recortaron la inversión en 2027, los pedidos de centros de datos cayeron y PTC se cerró con deuda de 2,6 veces el EBITDA; el mercado dejó de pagar 21 veces el beneficio. La señal: la cartera de pedidos bajando dos trimestres.</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(desde 2011)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riesgo insignificante; 1.ª de 304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(15.º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85/100 (2.ª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 B (mejor nota de 220 de su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r>
    </w:tbl>
    <w:p>
      <w:pPr>
        <w:spacing w:after="160" w:before="0"/>
      </w:pPr>
    </w:p>
    <w:p>
      <w:pPr>
        <w:pStyle w:val="Heading2"/>
      </w:pPr>
      <w:r>
        <w:t xml:space="preserve">Asuntos materiales</w:t>
      </w:r>
    </w:p>
    <w:p>
      <w:pPr>
        <w:spacing w:after="100"/>
      </w:pPr>
      <w:r>
        <w:t xml:space="preserve">El asunto que más pesa en las cifras es el </w:t>
      </w:r>
      <w:r>
        <w:rPr>
          <w:b/>
        </w:rPr>
        <w:t xml:space="preserve">ingreso verde</w:t>
      </w:r>
      <w:r>
        <w:t xml:space="preserve">: el 32 % de las ventas de 2025 (12.664 M EUR) está alineado con la taxonomía europea, frente al 28 % (10.737 M EUR) del año anterior, sobre todo por mitigación del cambio climático [1]; es la base de su prima ESG y de la demanda de eficiencia energética. El segundo son las </w:t>
      </w:r>
      <w:r>
        <w:rPr>
          <w:b/>
        </w:rPr>
        <w:t xml:space="preserve">emisiones propias y el SF6</w:t>
      </w:r>
      <w:r>
        <w:t xml:space="preserve">: las emisiones de alcance 1 y 2 han caído un 83 % frente a 2017 [8] y el SF6 emitido fue de 3.539 t CO2e en 2025 [1]; la sustitución de la aparamenta con SF6 es una oportunidad comercial. El tercero es la </w:t>
      </w:r>
      <w:r>
        <w:rPr>
          <w:b/>
        </w:rPr>
        <w:t xml:space="preserve">cadena de suministro</w:t>
      </w:r>
      <w:r>
        <w:t xml:space="preserve"> (50.000 proveedores): el programa de descarbonización de proveedores pasó de 15 a 135 calificados en el 3T26 y el 22 % de los materiales cubiertos ya es responsable [1, 8].</w:t>
      </w:r>
    </w:p>
    <w:p>
      <w:pPr>
        <w:pStyle w:val="Heading2"/>
      </w:pPr>
      <w:r>
        <w:t xml:space="preserve">Controversias</w:t>
      </w:r>
    </w:p>
    <w:p>
      <w:pPr>
        <w:spacing w:after="100"/>
      </w:pPr>
      <w:r>
        <w:t xml:space="preserve">La Autoridad de la Competencia francesa multó a Schneider con 207 M EUR (decisión 24-D-09, 29-oct-2024) por fijar precios de reventa de material eléctrico de baja tensión con Rexel y Sonepar entre diciembre de 2012 y septiembre de 2018 [24]; la multa se pagó en 2025 [1]. Además, el grupo dotó 53 M EUR en 2025, sobre todo por riesgos jurídicos, sin más detalle [1]. No se han encontrado otras sanciones en los documentos leídos.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amortización del precio de compra generará PTC y cuánto acrecimiento real deja en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nuestro BPA de 2028e del consenso un 9 % [D].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pedidos es de centros de datos y con qué plazos?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≈30 % de los pedidos y el motor del crecimiento [B].</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Automatización gana lo mismo que en 2020 tras ≈9.200 M en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capital invertido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 la deuda neta por debajo de 2 veces el EBITDA tras PTC?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en pausa en 2027-2028 [D].</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Schneider Electric (SU), del 5 al 23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100 hilos nuevos en tres semanas, frente a uno o dos por semana antes. La compra de PTC se lee como «la mayor adquisición de su historia» pagada cara (comparan con Alcatel, Atos, Bayer-Monsanto y Alstom), y la ampliación de capital sin derecho preferente para los pequeños accionistas como un «entre-soi» con los institucionales. Hay muchas ventas con la plusvalía borrada, pero también compras escalonadas entre 241 y 257 EUR [61, 62, 63, 64, 65,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SU, de junio a septiembre (referencia para la tendencia)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Celebración del récord de los 300 EUR («la fête des 300»), de la compra de Cognite y de las subidas de precio objetivo, con alguna voz sobre «exuberancia irracional». El 1 de octubre se hablaba de que podía ser pronto la mayor capitalización del CAC 40 [61,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(SBGSY y PTC)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sobre Schneider en sí («acquirer stonks got wrecked», «priced like a software company»). En el hilo de PTC el tema es la prima pagada y el diferencial entre la cotización de PTC y los 205 USD de la oferta hasta el cierre previsto para el 3T27 [68,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de opinión; solo titulares y entradillas legibles)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julio conviven tesis alcistas («AI infrastructure is only one layer of the bull case») con escépticas por valoración («Upside still very limited»). Tras el anuncio, el artículo destacado es «Paying a shocking price for PTC». Los artículos y los comentarios están tras un muro de pago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pagado por PTC y riesgo de integración de una compra estadounidense grande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hechos dan base a la preocupación: 205 USD por acción en efectivo, 22.600 millones de USD por el 100 % del capital y 23.700 millones de valor empresa, con cierre previsto para el 3T27 [71]. TIKR estima que equivale a unas 21 veces el EBITA ajustado de PTC de 2027e, que bajarían a unas 13 veces si se cumplen las sinergias de costes e ingresos anunciadas [72]. Los foros exageran al comparar con Atos o Alcatel, empresas que compraban con mucha más deuda y sin un negocio base que crezca al 17 %. El riesgo de pagar de más sí es real y se tiene que ver en el escenario pesimista.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capital sin derecho preferente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hecho: 25 millones de acciones nuevas a 240 EUR (unos 6.000 millones de EUR), el 4,32 % del capital previo y un descuento del 4,99 % sobre el cierre de 252,60 EUR del 19-oct, colocadas solo entre inversores cualificados [73, 74]. La dilución, de algo más del 4 %, es pequeña al lado de la caída desde los 272,80 del 5-oct. Lo que pesa más es que el resto de la compra, entre 16.000 y 17.000 millones de EUR, se paga con deuda [72].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«Buenos resultados que no suben la acción»: 3T26 y guía al alza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tienen razón en el dato. El 16-oct a las 7:30 (adelantado desde el 29-oct) la empresa publicó ventas de 11.460 millones de EUR en el 3T26 (+16,9 % orgánico) y subió la guía de 2026 a un EBITA ajustado del +18 % al +21 % orgánico, con ventas del +12 % al +14 % y un margen de en torno al 19,7-19,9 %. La demanda de centros de datos creció a tres dígitos [71, 75]. El mercado pone por delante la asignación de capital y el miedo a una burbuja de la 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Miedo a una burbuja de la IA y caída del Nasdaq (22 y 23 de octubre)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foro, la caída del 22-oct se achaca a la bajada del Nasdaq y del sector, no a algo propio de Schneider: «Legrand se hunde también, sin ampliación». La sesión del 23-oct fue mala para todo el CAC (Safran −8,9 %, Kering −15,5 % y SU −3,05 % a 228,55 en la consulta del día) [73, 76]. Los datos del día lo confirman en parte: el 22-oct cayó todo el sector de infraestructura para la IA (Vertiv −7,8 %, Eaton −6,3 %, Legrand −5,8 %).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Pasar de fabricante de material eléctrico a grupo de software industrial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parte lo ve como una cadena coherente (AVEVA, Cognite y PTC: diseño, datos y operación), y Siemens lo presenta como validación de su propia estrategia tras comprar Altair [64, 77]. Los escépticos temen que la IA abarate el software de ingeniería, que es justo lo que llevó a PTC a mínimos de valoración de una década, como recoge Jefferies [72].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bajo como «paracaídas» ausente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una queja recurrente del inversor francés de rentas, que no es el accionista que marca el precio. Hay que contrastarla con la rentabilidad por dividendo de la sección de capital: no se usa ninguna cifra del foro [63].</w:t>
            </w:r>
          </w:p>
        </w:tc>
      </w:tr>
    </w:tbl>
    <w:p>
      <w:pPr>
        <w:spacing w:after="160" w:before="0"/>
      </w:pPr>
    </w:p>
    <w:p>
      <w:pPr>
        <w:spacing w:after="100"/>
      </w:pPr>
      <w:r>
        <w:t xml:space="preserve">El sentimiento del particular ha girado del entusiasmo al rechazo en tres semanas. En agosto se celebraban los 300 EUR; desde el 5-oct se habla de «gran error estratégico», de ampliación «entre-soi» y de plusvalías borradas. </w:t>
      </w:r>
      <w:r>
        <w:rPr>
          <w:b/>
        </w:rPr>
        <w:t xml:space="preserve">El enfado no va contra el negocio</w:t>
      </w:r>
      <w:r>
        <w:t xml:space="preserve">, que el mismo foro reconoce excelente (3T26 +16,9 % orgánico y guía subida), </w:t>
      </w:r>
      <w:r>
        <w:rPr>
          <w:b/>
        </w:rPr>
        <w:t xml:space="preserve">sino contra la asignación de capital</w:t>
      </w:r>
      <w:r>
        <w:t xml:space="preserve">: prima del 42 % por PTC, ampliación sin derecho preferente y entre 16.000 y 17.000 millones de deuda nueva. No hay capitulación completa: aparecen compras entre 240 y 257 EUR, y los analistas siguen mayoritariamente en compra. Para la decisión, el riesgo que señala la gente es el correcto (integración, apalancamiento y software golpeado por la IA) y conviene ponerlo en el escenario pesimista. Que el particular venda con resultados récord es más una señal de entrada que de alarma, si el precio ya descuenta el riesgo de PTC.</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77 (37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-66 (¿operaciones interrumpidas?). Explicación: Entre el BAI y el beneficio neto van el resultado de las asociadas y sus deterioros (−388 M en 2025) y, en 2020, actividades interrumpidas [A].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203 (¿operaciones interrumpidas?). Explicación: Entre el BAI y el beneficio neto van el resultado de las asociadas y sus deterioros (−388 M en 2025) y, en 2020, actividades interrumpidas [A].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374 (¿operaciones interrumpidas?). Explicación: Entre el BAI y el beneficio neto van el resultado de las asociadas y sus deterioros (−388 M en 2025) y, en 2020, actividades interrumpidas [A].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14,5 % frente a 14,6 % real: genera una variación de circulante de 644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fuentes (37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DEU 2025: los pagos de arrendamientos van dentro de «otras deudas financieras» sin desglose; 2) nota 13 de inmovilizado y vencimientos IFRS 16 del DEU 2025, 2023 y 2021: solo el pasivo y los vencimientos; 3) amortización de los derechos de uso (306-373 M) de la nota de inmovilizado como aproximación del principal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23 de deuda del DEU 2025: calendario sin vida media; 2) búsqueda de «maturité moyenne»/«durée moyenne» en el DEU 2025: sin cifra de la deuda; 3) cálculo con el calendario: no se hace por los tramos «2032 y después» sin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1S26 y 3T26: sin consenso previo; 2) prensa: el 3T26 superó un consenso de unos 11.130 M EUR de ventas según la prensa sueca, sin documento primario del consenso; 3) transcripciones (GuruFocus, Quartr) no abiertas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1S24 y 2S24; BPA de los segundos semestres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1S25: solo compara con 1S24; 2) DEU 2025: sin desglose semestral; 3) BPA del 2S por diferencia: no es exacto (distinto número medio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comparación del ROIC con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ABB, Siemens, Eaton y Legrand: no abiertos por presupuesto; 2) Stock Analysis: no consultado; 3) se deja la comparación a la nota de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(crecimiento histórico del mercado direccionable)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da la previsión 2025-2030 (6-7 %) y el tamaño de 2030; 2) presentaciones de resultados y prensa sectorial (Facilities Dive, Dell'Oro): solo el submercado de centros de datos; 3) derivarlo del URD 2022 o del día del inversor anterior: no abiertos, sin cifra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conjunta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de Schneider: no publica cuotas; 2) Dell'Oro: solo dice que Schneider y Vertiv empatan en centros de datos; 3) suma de ventas de los rivales: perímetros no comparables (Eaton con aeroespacial, ABB con motores)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las ventas por mercado final (centros de datos, edificios, industria, infraestructuras)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el gráfico de mercados finales (en % de pedidos) no está en el texto; 2) comunicados de resultados FY25 y 3T26 y presentación del 3T25: sin porcentajes; 3) prensa: solo ≈30 % de los pedidos de centros de datos (Facilities Dive)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los competidores: no publican cuota del mercado direccionable de Schneider; 2) Dell'Oro: solo empate Schneider-Vertiv en centros de datos; 3) Rockwell (10-K por XBRL): margen ambiguo entre el operativo de segmentos y el contable,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porcentajes de voto por resolución de las juntas de 2024 y 2026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la junta en se.com (404) y comunicado oficial de la junta de 2026 en Webdisclosure (solo da el 98,03 % del voto climático); 2) búsqueda del documento «Résultats des votes» del 11-may-2026 (Zonebourse lo lista, pero no se abre) y la ficha de Rendementbourse (sin porcentajes); 3) búsqueda en inglés de «voting results» de 2024-2026 (sin el documento). Para el mínimo de las tres juntas se usa el 68,6 % de 2025 (resolución 7, Herweck), que publica el comunicado oficial; el 31,4 % en contra es una estimación propia (100 − 68,6), porque en Francia las abstenciones no cuentan como votos emitidos desde 2019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 de la comisión de Capital Humano y Remuneraciones tras la salida de Linda Knoll (junta de 2026) y comisiones de François Jackow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DEU 2025, apartado 4.1.1.3 (solo anuncia las salidas y los nombramientos); 2) comunicado de la junta del 7-may-2026 (no trae las comisiones); 3) informe semestral 2026 y comunicados de julio y octubre (no tratan el gobierno)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entrada en el cargo de Godemel y Avice-Huet, y participación en el capital del CFO y de los directores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DEU 2025, apartado 4.1.7, Comité Ejecutivo (solo da nombre, edad, nacionalidad y cargo); 2) registro de operaciones de directivos de la AMF (no recoge a estos directivos en los últimos 12 meses); 3) DEU 2021 (Avice-Huet aparece entonces como directora general de Estrategia y Desarrollo Sostenible, sin fecha de su cargo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ampliación y suplemento del folleto: solo capital total (578,6 M de acciones) [36, 37]; 2) informe semestral: autocartera, no accionariado [7]; 3) sin búsqueda en proveedores por presupuesto (la capitalización la calcula el motor)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AMF: no consultado por presupuesto; 2) proveedores de datos: no;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LTM [46, 47, 48, 49, 50, 51]; 2) MarketScreener: no consultado para cada comparable por presupuesto; 3) derivar con el crecimiento mezclaría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Eaton/Boyd Thermal (22,5x EBITDA 2026e según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Eaton en businesswire: 403; 2) web de Eaton: 503; 3) cuentas del 3T25 en la SEC: solo el precio de 9.500 M USD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anual del precio de compra de PTC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compra: solo «antes de PPA» [35]; 2) suplemento del folleto del 21-oct: no la da [37]; 3) estimación propia: ≈700 M EUR al año antes de impuestos (≈40 % del valor empresa en intangibles amortizables a 12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conversión de la OCEANE 2034 (efecto dilutivo)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nota 15: solo importe y tipo [7]; 2) suplemento del folleto: no [37]; 3) no buscado en el comunicado de emisión de junio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Investing.com (comentarios), foro de Boursier.com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(search.json y old.reddit en r/vosfinances y r/eupersonalfinance): 403; 2) comentarios de Investing.com (fr y en) y foro de Boursier.com: 403; 3) Seeking Alpha, artículo y API del 05-oct («Paying a shocking price for PTC»): 403. ABC Bourse no tiene foro por valor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(cuentas consolidadas y notas,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SE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https://filings.xbrl.org/969500A1YF1XUYYXS284/2025-12-31/ESEF/FR/0/969500A1YF1XUYYXS284-2025-12-31-fr/reports/969500A1YF1XUYYXS284-2025-12-31-fr.xhtml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2023 (cuentas consolidadas y notas,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SE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https://filings.xbrl.org/969500A1YF1XUYYXS284/2023-12-31/ESEF/FR/0/969500A1YF1XUYYXS284-2023-12-31-fr/reports/969500A1YF1XUYYXS284-2023-12-31-fr.xhtml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2021 (cuentas consolidadas y notas,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https://filings.xbrl.org/969500A1YF1XUYYXS284/2021-12-31/ESEF/FR/0/969500A1YF1XUYYXS284-2021-12-31-fr/reports/969500A1YF1XUYYXS284-2021-12-31-fr.xhtml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2025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six months ended June 30,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https://echanges.dila.gouv.fr/OPENDATA/AMF/ECO/2025/07/FCECO079333_20250731.pdf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2026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https://echanges.dila.gouv.fr/OPENDATA/AMF/ECO/2026/07/FCECO082813_20260730.pdf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https://echanges.dila.gouv.fr/OPENDATA/AMF/ECO/2026/07/FCECO082815_20260730.pdf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Revenues (comunicado regulado)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https://www.webdisclosure.com/press-release/schneider-electric-epa-su-third-quarter-revenues-2026-odiihfxJLgs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raises approximately 6 billion euros in equity to finance PTC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https://www.ideal-investisseur.fr/en/stock-news/schneider-electric-raises-approximately-6-billion-euros-in-equity-to-finance-ptc-acquisition/27469.html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2024 (ESEF): nota 3 de segmentos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https://filings.xbrl.org/969500A1YF1XUYYXS284/2024-12-31/ESEF/FR/0/969500A1YF1XUYYXS284-2024-12-31-fr/reports/969500A1YF1XUYYXS284-2024-12-31-fr.xhtml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2022 (ESEF): nota 3 de segmentos (2022 y 2021), hechos posteriores (AVEVA)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https://filings.xbrl.org/969500A1YF1XUYYXS284/2022-12-31/ESEF/FR/0/schneiderelectric-2022-12-31UR/reports/969500A1YF1XUYYXS284-2022-12-31-fr.xhtml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history (cronología de marcas)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https://www.se.com/ie/en/about-us/company-profile/history/schneider-electric-history/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(historia y tabla de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https://en.wikipedia.org/wiki/Schneider_Electric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centers remain standout industry for Schneider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Facilities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https://www.facilitiesdive.com/news/data-centers-remain-standout-industry-for-schneider-electric/813362/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Grew 17 Percent Y/Y in 1Q 2025, Driven by AI Buildout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https://www.delloro.com/news/data-center-physical-infrastructure-grew-17-percent-y-y-in-1q-2025-driven-by-ai-buildout/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Investor-owned utilities to spend $1.1T in grid boost as power demand spirals (datos de EEI)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https://www.powermag.com/investor-owned-utilities-to-spend-1-1t-in-grid-boost-as-power-demand-spirals/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 (segmentos Smart Infrastructure y Digital Industries)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(cuenta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Corporation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https://www.sec.gov/Archives/edgar/data/1551182/000155118226000007/etn-20251231.htm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https://www.legrand.com/sites/default/files/Documents_PDF_Legrand/Finance/2025/1Y/Legrand_Consolidated_Financial_Statements_2025_1770814867.pdf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https://www.sec.gov/Archives/edgar/data/1674101/000167410126000008/vrt-20251231.htm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media de 2025 EUR/USD 1,1300)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equipment: the Autorité imposes fines of €470 million on manufacturers Schneider Electric and Legrand and distributors Rexel and Sonepar (decisión 24-D-09)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 la concurrence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https://www.autoritedelaconcurrence.fr/en/press-release/electrical-equipment-autorite-imposes-fines-eu470-million-manufacturers-schneider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de réunion, Assemblée générale mixte du 7 mai 2026 (BALO n.º 2600675)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officiel (BALO)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https://www.journal-officiel.gouv.fr/telechargements/BALO/pdf/2026/0327/202603272600675.pdf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Annual General Meeting: approval of all resolutions submitted to the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(vía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https://webdisclosure.com/press-release/schneider-electric-epa-su-2026-annual-general-meeting-approval-of-all-resolutions-submitted-to-the-meeting-8euzyt1uX4X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General Meeting: approval of all resolutions submitted to the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(vía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https://webdisclosure.com/press-release/schneider-electric-epa-su-2025-annual-general-meeting-approval-of-all-resolutions-submitted-to-the-meeting-V9UPhOWPcCZ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2026DD1104837 (Olivier Blum, entrega de 12.530 acciones de rendimiento, plan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https://bdif.amf-france.org/back/api/v1/documents/2026/2026DD1104837/C0A236B64B97C237EBC1124303F91658D85D0057DB5CD2B0E81A567D90ECE886.pdf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2026DD1104840 (Laura Ding, entrega de 265 acciones de rendimiento)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https://bdif.amf-france.org/back/api/v1/documents/2026/2026DD1104840/E6D81611BC2ECAE200415FBE217BA6F20A3DE78F7199FA7AE491B8589B3A3FAC.pdf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2026DD1104843 (Bruno Turchet, entrega de 235 acciones de rendimiento)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https://bdif.amf-france.org/back/api/v1/documents/2026/2026DD1104843/FC9FA59A8F09BCFF29CB7609AB488A6365001E313711EFE3607BC273F40D7398.pdf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2026DD1116334 (Jean-Pascal Tricoire, venta de 9.235 acciones a 270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https://bdif.amf-france.org/back/api/v1/documents/2026/2026DD1116334/E463E70EB3CC7A72A8F42483E501856E03DE2CB80ECC8E87A3E17021867EDD96.pdf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2026DD1116966 (Jean-Pascal Tricoire, venta de participaciones del FCPE)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https://bdif.amf-france.org/back/api/v1/documents/2026/2026DD1116966/EA4EB85540C97D3CC2202D95B599EEAE1CD523B7F251FC960804423ED3207E89.pdf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2026DD1119204 (Jean-Pascal Tricoire, venta de participaciones del FCPE)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https://bdif.amf-france.org/back/api/v1/documents/2026/2026DD1119204/25F10AFE1B838479A065AE5AE3519AF72D921A450393C537F7F5F84DAEA8CA68.pdf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2026DD1132999 (François Jackow, compra de 250 acciones a 304,25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https://bdif.amf-france.org/back/api/v1/documents/2026/2026DD1132999/8D9E9915E2AF84E5B8C05D384B3D4B1A74BDEEA274E5413740DC1CE6EB2CD59D.pdf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to acquire PTC (comunicado conjunto, anexo 99.1 del 8-K de PTC)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y PTC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https://www.sec.gov/Archives/edgar/data/857005/000119312526413124/d174191dex991.htm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Success of its €6.0 billion capital increase without preferential subscription rights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https://www.webdisclosure.com/press-release/schneider-electric-epa-su-schneider-electric-announces-the-success-of-its-60-billion-capital-increase-without-shareholders-preferential-subscription-rights-to-partially-finance-the-acquisition-of-ptc-inc-eERB5BBo9Lz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Prospectus Supplement to the EMTN Base Prospectus (aprobación AMF 26-372)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https://bdif.amf-france.org/back/api/v1/documents/2026/26-0372/C54B640D15A8090E9D3026E3CE6664B09D92E7130A7F4717CCA45BE30D45B93F.pdf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2020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(AMF OPENDATA)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https://echanges.dila.gouv.fr/OPENDATA/AMF/ECO/2021/02/FCECO057790_20210211.pdf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2019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(AMF OPENDATA)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https://echanges.dila.gouv.fr/OPENDATA/AMF/ECO/2020/02/FCECO053919_20200220.pdf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prices Schneider Electric (FR0000121972-XPAR), 14 a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https://live.euronext.com/en/ajax/AwlHistoricalPrice/getFullDownloadAjax/FR0000121972-XPAR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SU.PA, ^FCHI, EXH4.DE y comparables (LR.PA, ABBN.SW, SIE.DE, VRT, ETN, NVT, PRY.MI, HUBB, PTC)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https://finance.yahoo.com/quote/SU.PA/history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bonos federales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finanzas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https://www.marketscreener.com/quote/stock/SCHNEIDER-ELECTRIC-SE-4699/finances/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https://www.investing.com/equities/schneider-electr-consensus-estimates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(EPA: LR)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(SWX: ABBN)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https://stockanalysis.com/quote/swx/ABBN/statistics/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(ETR: SIE)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(ETN)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https://stockanalysis.com/stocks/etn/statistics/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(HUBB)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shares plunge on record $22.6bn PTC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https://www.euronews.com/2026/10/05/schneider-electric-shares-plunge-on-record-226bn-ptc-deal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slides as J.P. Morgan sees PTC deal weighing on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https://finance.yahoo.com/markets/stocks/articles/schneider-electric-slides-j-p-112210715.html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slumps 11% as Meta's spending outlook stokes AI financing worries; Vertiv drops 7%, Eaton slides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https://247wallst.com/investing/2026/10/22/ge-vernova-slumps-11-as-metas-spending-outlook-stokes-ai-financing-worries-vertiv-holdings-drops-7-eaton-slides-6/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stock heads into the open after a 6.5% slide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https://www.ad-hoc-news.de/boerse/news/corporate-news/schneider-electric-stock-heads-into-the-open-after-a-6-5-percent-slide/70109254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resultados del 3T25 (anexo 99 del 8-K): acuerdo para comprar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https://www.sec.gov/Archives/edgar/data/1551182/000155118225000033/etn09302025exhibit99.htm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https://news.siemens.com/en-us/siemens-altair/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ingresos anuales (XBRL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https://data.sec.gov/api/xbrl/companyconcept/CIK0001701732/us-gaap/RevenueFromContractWithCustomerExcludingAssessedTax.json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decisiones y de información (BDIF): admisión del bono 2033 de 700 M EUR al 3,375 % y del FRN 2028 de 800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https://bdif.amf-france.org/back/api/v1/informations?RechercheTexte=SCHNEIDER%20ELECTRIC&amp;From=0&amp;Size=40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Schneider Electric (SU): listado de hilos, páginas 1-4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«Une Grosse Erreur STRATEGIQUE» (52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https://www.boursorama.com/bourse/forum/1rPSU/detail/468525817/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«Augmentation de capital en mode entre-soi» y «Ca va s'arrêter où cette dégringolade...?»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https://www.boursorama.com/bourse/forum/1rPSU/detail/468577765/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«Le marché sanctionne le changement de profil»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https://www.boursorama.com/bourse/forum/1rPSU/detail/468583183/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«Je ne reconnais plus la bourse......» e «il y a eu des achats à bon compte....»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https://www.boursorama.com/bourse/forum/1rPSU/detail/468568886/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«Le marché attendait 2CRSI, il a eu PTC» y «Acheter ce type de société alors qu'il y a clairement un risque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https://www.boursorama.com/bourse/forum/1rPSU/detail/468524413/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«SCHNEIDER ELECTRIC - Schneider» (récord de 300 EUR, 44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https://www.boursorama.com/bourse/forum/1rPSU/detail/468303301/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$SBGSY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https://api.stocktwits.com/api/2/streams/symbol/SBGSY.json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$PTC (anuncio de la compra por Schneider)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https://api.stocktwits.com/api/2/streams/symbol/PTC.json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SBGSY (artículos de opinión y noticias,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https://seekingalpha.com/api/sa/combined/SBGSY.xml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Revenues 2026 (comunicado regulado)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(vía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https://www.webdisclosure.com/press-release/third-quarter-revenues-2026-odiihfxJLgs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acaba de perder 15.000 millones de euros en un día. Esto es lo que asustó a los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https://www.tikr.com/es/blog/schneider-electric-just-lost-e15-billion-in-a-day-heres-what-spooked-investors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Succès d'une levée de 6 milliards d'euros pour Schneider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https://www.tradingsat.com/schneider-electric-FR0000121972/actualites/schneider-electric-succes-d-une-levee-de-6-milliards-d-euros-pour-schneider-electric-1172033.html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 net repli après l'augmentation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Boursier.com (vía Fortuneo)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https://bourse.fortuneo.fr/actualites/schneider-electric-net-repli-apres-l-augmentation-de-capital-1850094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«Modification de la date pour le chiffre d'affaires T3» (cita el aviso de la empresa: 16-oct, 8:30)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https://www.boursorama.com/bourse/forum/1rPSU/detail/468526935/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«Les participants de l'Ak à 6 milliards d'euros déjà en perte...» y «1.410.000 achetés au fix»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https://www.boursorama.com/bourse/forum/1rPSU/detail/468591701/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«Stratégie validée par Siemens» (cita a Les 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https://www.boursorama.com/bourse/forum/1rPSU/detail/468547654/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riesgos</w:t>
      </w:r>
      <w:r>
        <w:t xml:space="preserve"> · Generado el 23 oct 2026.</w:t>
      </w:r>
    </w:p>
    <w:p>
      <w:pPr>
        <w:pStyle w:val="Nota"/>
        <w:spacing w:after="100"/>
      </w:pPr>
      <w:r>
        <w:t xml:space="preserve">Se valora la acción de Schneider Electric en Euronext París (SU), en euros, al cierre del 22-oct-2026 (235,75 EUR); el 23-oct cotizaba a ≈228,80 a las 16:00 de Madrid [D]. Acciones: 594,4 M diluidas, ya con las 25 M de la ampliación del 19-20 de octubre (6.000 M EUR a 240 EUR) [D]. El puente es el balance de 30-jun-2026 más la caja neta de la ampliación (en otros ajustes). La compra de PTC (23.700 M USD de valor empresa, cierre previsto en el 3T27) no está en el DCF: la caja de la ampliación va en el puente y la deuda futura no, lo que equivale a suponer que PTC vale lo que se paga; el objetivo a 12 meses sí la recoge en el BPA de 2028e (acrecimiento de un dígito bajo menos ≈0,90 EUR de amortización del precio de compra, estimación propia) [D]. El consenso es casi todo sin PTC [D]. El BPA de la empresa es el ajustado (sin reestructuración ni deterioros, pero con la amortización de intangibles de compras). En 2026 cambió la segmentación geográfica: no se compara con 2025 [B]. El análisis del 14-oct se hizo solo con extractos de búsqueda; este lo sustituye.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23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Schneider Electric SE (SU)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235,75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(220,40 – 312,30)</c:v>
                </c:pt>
                <c:pt idx="1">
                  <c:v>Precio objetivo de los analistas (262,00 – 370,00)</c:v>
                </c:pt>
                <c:pt idx="2">
                  <c:v>Comparables: PER NTM (233,91 – 273,24)</c:v>
                </c:pt>
                <c:pt idx="3">
                  <c:v>DCF (WACC y g ± 0,5) (208,79 – 244,56)</c:v>
                </c:pt>
                <c:pt idx="4">
                  <c:v>Escenarios (bajista – alcista) (163,84 – 272,25)</c:v>
                </c:pt>
                <c:pt idx="5">
                  <c:v>DCF con la prima implícita del mercado (4,2 %)</c:v>
                </c:pt>
                <c:pt idx="6">
                  <c:v>Precio actual (235,75)</c:v>
                </c:pt>
              </c:strCache>
            </c:strRef>
          </c:cat>
          <c:val>
            <c:numRef>
              <c:f>Hoja1!$B$2:$B$8</c:f>
              <c:numCache>
                <c:formatCode>#,##0</c:formatCode>
                <c:ptCount val="7"/>
                <c:pt idx="0">
                  <c:v>220.4</c:v>
                </c:pt>
                <c:pt idx="1">
                  <c:v>262</c:v>
                </c:pt>
                <c:pt idx="2">
                  <c:v>233.91</c:v>
                </c:pt>
                <c:pt idx="3">
                  <c:v>208.79</c:v>
                </c:pt>
                <c:pt idx="4">
                  <c:v>163.84</c:v>
                </c:pt>
                <c:pt idx="5">
                  <c:v>250.81</c:v>
                </c:pt>
                <c:pt idx="6">
                  <c:v>234.57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(220,40 – 312,30)</c:v>
                </c:pt>
                <c:pt idx="1">
                  <c:v>Precio objetivo de los analistas (262,00 – 370,00)</c:v>
                </c:pt>
                <c:pt idx="2">
                  <c:v>Comparables: PER NTM (233,91 – 273,24)</c:v>
                </c:pt>
                <c:pt idx="3">
                  <c:v>DCF (WACC y g ± 0,5) (208,79 – 244,56)</c:v>
                </c:pt>
                <c:pt idx="4">
                  <c:v>Escenarios (bajista – alcista) (163,84 – 272,25)</c:v>
                </c:pt>
                <c:pt idx="5">
                  <c:v>DCF con la prima implícita del mercado (4,2 %)</c:v>
                </c:pt>
                <c:pt idx="6">
                  <c:v>Precio actual (235,75)</c:v>
                </c:pt>
              </c:strCache>
            </c:strRef>
          </c:cat>
          <c:val>
            <c:numRef>
              <c:f>Hoja1!$C$2:$C$8</c:f>
              <c:numCache>
                <c:formatCode>#,##0</c:formatCode>
                <c:ptCount val="7"/>
                <c:pt idx="0">
                  <c:v>91.9</c:v>
                </c:pt>
                <c:pt idx="1">
                  <c:v>108</c:v>
                </c:pt>
                <c:pt idx="2">
                  <c:v>39.33000000000001</c:v>
                </c:pt>
                <c:pt idx="3">
                  <c:v>35.77000000000001</c:v>
                </c:pt>
                <c:pt idx="4">
                  <c:v>108.41</c:v>
                </c:pt>
                <c:pt idx="5">
                  <c:v>36.71999999999997</c:v>
                </c:pt>
                <c:pt idx="6">
                  <c:v>2.3600000000000136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Gestión de la energía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22179</c:v>
                </c:pt>
                <c:pt idx="1">
                  <c:v>26442</c:v>
                </c:pt>
                <c:pt idx="2">
                  <c:v>28241</c:v>
                </c:pt>
                <c:pt idx="3">
                  <c:v>31131</c:v>
                </c:pt>
                <c:pt idx="4">
                  <c:v>33130</c:v>
                </c:pt>
              </c:numCache>
            </c:numRef>
          </c:val>
        </c:ser>
        <c:ser>
          <c:idx val="1"/>
          <c:order val="1"/>
          <c:tx>
            <c:strRef>
              <c:f>Hoja1!$C$1</c:f>
              <c:strCache>
                <c:ptCount val="1"/>
                <c:pt idx="0">
                  <c:v>Automatización industrial</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6726</c:v>
                </c:pt>
                <c:pt idx="1">
                  <c:v>7734</c:v>
                </c:pt>
                <c:pt idx="2">
                  <c:v>7661</c:v>
                </c:pt>
                <c:pt idx="3">
                  <c:v>7022</c:v>
                </c:pt>
                <c:pt idx="4">
                  <c:v>7022</c:v>
                </c:pt>
              </c:numCache>
            </c:numRef>
          </c:val>
        </c:ser>
        <c:ser>
          <c:idx val="2"/>
          <c:order val="2"/>
          <c:tx>
            <c:strRef>
              <c:f>Hoja1!$D$1</c:f>
              <c:strCache>
                <c:ptCount val="1"/>
                <c:pt idx="0">
                  <c:v>Costes centrales y digitales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Gestión de la energía</c:v>
                </c:pt>
                <c:pt idx="1">
                  <c:v>Automatización industrial</c:v>
                </c:pt>
                <c:pt idx="2">
                  <c:v>Costes centrales y digitales</c:v>
                </c:pt>
              </c:strCache>
            </c:strRef>
          </c:cat>
          <c:val>
            <c:numRef>
              <c:f>Hoja1!$B$2:$B$4</c:f>
              <c:numCache>
                <c:formatCode>General</c:formatCode>
                <c:ptCount val="3"/>
                <c:pt idx="0">
                  <c:v>82.5</c:v>
                </c:pt>
                <c:pt idx="1">
                  <c:v>17.5</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Resto de Norteamérica (Canadá y México)</c:v>
                </c:pt>
                <c:pt idx="2">
                  <c:v>Francia</c:v>
                </c:pt>
                <c:pt idx="3">
                  <c:v>Resto de Europa Occidental</c:v>
                </c:pt>
                <c:pt idx="4">
                  <c:v>China</c:v>
                </c:pt>
                <c:pt idx="5">
                  <c:v>Resto de Asia-Pacífico</c:v>
                </c:pt>
                <c:pt idx="6">
                  <c:v>Resto del mundo (Europa del Este, Oriente Medio, África, Sudamérica)</c:v>
                </c:pt>
              </c:strCache>
            </c:strRef>
          </c:cat>
          <c:val>
            <c:numRef>
              <c:f>Hoja1!$B$2:$B$8</c:f>
              <c:numCache>
                <c:formatCode>0"%"</c:formatCode>
                <c:ptCount val="7"/>
                <c:pt idx="0">
                  <c:v>34.4</c:v>
                </c:pt>
                <c:pt idx="1">
                  <c:v>4</c:v>
                </c:pt>
                <c:pt idx="2">
                  <c:v>5.6</c:v>
                </c:pt>
                <c:pt idx="3">
                  <c:v>17.6</c:v>
                </c:pt>
                <c:pt idx="4">
                  <c:v>11.5</c:v>
                </c:pt>
                <c:pt idx="5">
                  <c:v>14.7</c:v>
                </c:pt>
                <c:pt idx="6">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(estimación propia: 2030 de Schneider y años intermedios interpolados con TCAC del 6,5 %))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438000</c:v>
                </c:pt>
                <c:pt idx="1">
                  <c:v>466000</c:v>
                </c:pt>
                <c:pt idx="2">
                  <c:v>497000</c:v>
                </c:pt>
                <c:pt idx="3">
                  <c:v>529000</c:v>
                </c:pt>
                <c:pt idx="4">
                  <c:v>564000</c:v>
                </c:pt>
                <c:pt idx="5">
                  <c:v>600000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Schneider Electric</c:v>
                </c:pt>
                <c:pt idx="1">
                  <c:v>Siemens (Smart Infrastructure)</c:v>
                </c:pt>
                <c:pt idx="2">
                  <c:v>Siemens (Digital Industries)</c:v>
                </c:pt>
                <c:pt idx="3">
                  <c:v>ABB</c:v>
                </c:pt>
                <c:pt idx="4">
                  <c:v>Eaton</c:v>
                </c:pt>
                <c:pt idx="5">
                  <c:v>Legrand</c:v>
                </c:pt>
                <c:pt idx="6">
                  <c:v>Vertiv</c:v>
                </c:pt>
              </c:strCache>
            </c:strRef>
          </c:cat>
          <c:val>
            <c:numRef>
              <c:f>Hoja1!$B$2:$B$8</c:f>
              <c:numCache>
                <c:formatCode>0.0"%"</c:formatCode>
                <c:ptCount val="7"/>
                <c:pt idx="0">
                  <c:v>16.7</c:v>
                </c:pt>
                <c:pt idx="1">
                  <c:v>19.6</c:v>
                </c:pt>
                <c:pt idx="2">
                  <c:v>14.9</c:v>
                </c:pt>
                <c:pt idx="3">
                  <c:v>18.2</c:v>
                </c:pt>
                <c:pt idx="4">
                  <c:v>18.8</c:v>
                </c:pt>
                <c:pt idx="5">
                  <c:v>19.1</c:v>
                </c:pt>
                <c:pt idx="6">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25159</c:v>
                </c:pt>
                <c:pt idx="1">
                  <c:v>28905</c:v>
                </c:pt>
                <c:pt idx="2">
                  <c:v>34176</c:v>
                </c:pt>
                <c:pt idx="3">
                  <c:v>35902</c:v>
                </c:pt>
                <c:pt idx="4">
                  <c:v>38153</c:v>
                </c:pt>
                <c:pt idx="5">
                  <c:v>40152</c:v>
                </c:pt>
                <c:pt idx="6">
                  <c:v>44970</c:v>
                </c:pt>
                <c:pt idx="7">
                  <c:v>49467</c:v>
                </c:pt>
                <c:pt idx="8">
                  <c:v>53919</c:v>
                </c:pt>
                <c:pt idx="9">
                  <c:v>58233</c:v>
                </c:pt>
                <c:pt idx="10">
                  <c:v>62309</c:v>
                </c:pt>
                <c:pt idx="11">
                  <c:v>66048</c:v>
                </c:pt>
                <c:pt idx="12">
                  <c:v>69350</c:v>
                </c:pt>
                <c:pt idx="13">
                  <c:v>72124</c:v>
                </c:pt>
                <c:pt idx="14">
                  <c:v>74648</c:v>
                </c:pt>
                <c:pt idx="15">
                  <c:v>76888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4298</c:v>
                </c:pt>
                <c:pt idx="1">
                  <c:v>5745</c:v>
                </c:pt>
                <c:pt idx="2">
                  <c:v>6415</c:v>
                </c:pt>
                <c:pt idx="3">
                  <c:v>7393</c:v>
                </c:pt>
                <c:pt idx="4">
                  <c:v>7987</c:v>
                </c:pt>
                <c:pt idx="5">
                  <c:v>8351</c:v>
                </c:pt>
                <c:pt idx="6">
                  <c:v>10028</c:v>
                </c:pt>
                <c:pt idx="7">
                  <c:v>11229</c:v>
                </c:pt>
                <c:pt idx="8">
                  <c:v>12455</c:v>
                </c:pt>
                <c:pt idx="9">
                  <c:v>13626</c:v>
                </c:pt>
                <c:pt idx="10">
                  <c:v>14767</c:v>
                </c:pt>
                <c:pt idx="11">
                  <c:v>15653</c:v>
                </c:pt>
                <c:pt idx="12">
                  <c:v>16436</c:v>
                </c:pt>
                <c:pt idx="13">
                  <c:v>17093</c:v>
                </c:pt>
                <c:pt idx="14">
                  <c:v>17692</c:v>
                </c:pt>
                <c:pt idx="15">
                  <c:v>18222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40.4</c:v>
                </c:pt>
                <c:pt idx="1">
                  <c:v>41</c:v>
                </c:pt>
                <c:pt idx="2">
                  <c:v>40.6</c:v>
                </c:pt>
                <c:pt idx="3">
                  <c:v>41.8</c:v>
                </c:pt>
                <c:pt idx="4">
                  <c:v>42.6</c:v>
                </c:pt>
                <c:pt idx="5">
                  <c:v>42.1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17.1</c:v>
                </c:pt>
                <c:pt idx="1">
                  <c:v>19.9</c:v>
                </c:pt>
                <c:pt idx="2">
                  <c:v>18.8</c:v>
                </c:pt>
                <c:pt idx="3">
                  <c:v>20.6</c:v>
                </c:pt>
                <c:pt idx="4">
                  <c:v>20.9</c:v>
                </c:pt>
                <c:pt idx="5">
                  <c:v>20.8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12.3</c:v>
                </c:pt>
                <c:pt idx="1">
                  <c:v>15</c:v>
                </c:pt>
                <c:pt idx="2">
                  <c:v>14.4</c:v>
                </c:pt>
                <c:pt idx="3">
                  <c:v>16.5</c:v>
                </c:pt>
                <c:pt idx="4">
                  <c:v>16.9</c:v>
                </c:pt>
                <c:pt idx="5">
                  <c:v>16.7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8.5</c:v>
                </c:pt>
                <c:pt idx="1">
                  <c:v>11.1</c:v>
                </c:pt>
                <c:pt idx="2">
                  <c:v>10.2</c:v>
                </c:pt>
                <c:pt idx="3">
                  <c:v>11.1</c:v>
                </c:pt>
                <c:pt idx="4">
                  <c:v>11.2</c:v>
                </c:pt>
                <c:pt idx="5">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6.4</c:v>
                </c:pt>
                <c:pt idx="3">
                  <c:v>4.2</c:v>
                </c:pt>
                <c:pt idx="4">
                  <c:v>9.8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7.9</c:v>
                </c:pt>
                <c:pt idx="3">
                  <c:v>9.9</c:v>
                </c:pt>
                <c:pt idx="4">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64</c:v>
                </c:pt>
                <c:pt idx="1">
                  <c:v>67</c:v>
                </c:pt>
                <c:pt idx="2">
                  <c:v>62</c:v>
                </c:pt>
                <c:pt idx="3">
                  <c:v>66</c:v>
                </c:pt>
                <c:pt idx="4">
                  <c:v>68</c:v>
                </c:pt>
                <c:pt idx="5">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70</c:v>
                </c:pt>
                <c:pt idx="1">
                  <c:v>85</c:v>
                </c:pt>
                <c:pt idx="2">
                  <c:v>78</c:v>
                </c:pt>
                <c:pt idx="3">
                  <c:v>79</c:v>
                </c:pt>
                <c:pt idx="4">
                  <c:v>90</c:v>
                </c:pt>
                <c:pt idx="5">
                  <c:v>84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84</c:v>
                </c:pt>
                <c:pt idx="1">
                  <c:v>89</c:v>
                </c:pt>
                <c:pt idx="2">
                  <c:v>79</c:v>
                </c:pt>
                <c:pt idx="3">
                  <c:v>91</c:v>
                </c:pt>
                <c:pt idx="4">
                  <c:v>97</c:v>
                </c:pt>
                <c:pt idx="5">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3312</c:v>
                </c:pt>
                <c:pt idx="1">
                  <c:v>2430</c:v>
                </c:pt>
                <c:pt idx="2">
                  <c:v>2953</c:v>
                </c:pt>
                <c:pt idx="3">
                  <c:v>4239</c:v>
                </c:pt>
                <c:pt idx="4">
                  <c:v>3796</c:v>
                </c:pt>
                <c:pt idx="5">
                  <c:v>4215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2126</c:v>
                </c:pt>
                <c:pt idx="1">
                  <c:v>3204</c:v>
                </c:pt>
                <c:pt idx="2">
                  <c:v>3477</c:v>
                </c:pt>
                <c:pt idx="3">
                  <c:v>4003</c:v>
                </c:pt>
                <c:pt idx="4">
                  <c:v>4269</c:v>
                </c:pt>
                <c:pt idx="5">
                  <c:v>4163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8.4</c:v>
                </c:pt>
                <c:pt idx="1">
                  <c:v>10.3</c:v>
                </c:pt>
                <c:pt idx="2">
                  <c:v>10.5</c:v>
                </c:pt>
                <c:pt idx="3">
                  <c:v>12.7</c:v>
                </c:pt>
                <c:pt idx="4">
                  <c:v>12.7</c:v>
                </c:pt>
                <c:pt idx="5">
                  <c:v>12.8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9.3</c:v>
                </c:pt>
                <c:pt idx="1">
                  <c:v>9.3</c:v>
                </c:pt>
                <c:pt idx="2">
                  <c:v>9.3</c:v>
                </c:pt>
                <c:pt idx="3">
                  <c:v>9.3</c:v>
                </c:pt>
                <c:pt idx="4">
                  <c:v>9.3</c:v>
                </c:pt>
                <c:pt idx="5">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10.3</c:v>
                </c:pt>
                <c:pt idx="1">
                  <c:v>14.2</c:v>
                </c:pt>
                <c:pt idx="2">
                  <c:v>13.9</c:v>
                </c:pt>
                <c:pt idx="3">
                  <c:v>15.4</c:v>
                </c:pt>
                <c:pt idx="4">
                  <c:v>15</c:v>
                </c:pt>
                <c:pt idx="5">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1.08</c:v>
                </c:pt>
                <c:pt idx="1">
                  <c:v>1.44</c:v>
                </c:pt>
                <c:pt idx="2">
                  <c:v>1.18</c:v>
                </c:pt>
                <c:pt idx="3">
                  <c:v>1.39</c:v>
                </c:pt>
                <c:pt idx="4">
                  <c:v>1.15</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2860</c:v>
                </c:pt>
                <c:pt idx="1">
                  <c:v>2757</c:v>
                </c:pt>
                <c:pt idx="2">
                  <c:v>1250</c:v>
                </c:pt>
                <c:pt idx="3">
                  <c:v>2150</c:v>
                </c:pt>
                <c:pt idx="4">
                  <c:v>2150</c:v>
                </c:pt>
                <c:pt idx="5">
                  <c:v>1350</c:v>
                </c:pt>
                <c:pt idx="6">
                  <c:v>5655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2393</c:v>
                </c:pt>
                <c:pt idx="1">
                  <c:v>4649</c:v>
                </c:pt>
                <c:pt idx="2">
                  <c:v>370</c:v>
                </c:pt>
                <c:pt idx="3">
                  <c:v>4702</c:v>
                </c:pt>
                <c:pt idx="4">
                  <c:v>635</c:v>
                </c:pt>
                <c:pt idx="5">
                  <c:v>6693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1413</c:v>
                </c:pt>
                <c:pt idx="1">
                  <c:v>1447</c:v>
                </c:pt>
                <c:pt idx="2">
                  <c:v>1618</c:v>
                </c:pt>
                <c:pt idx="3">
                  <c:v>1767</c:v>
                </c:pt>
                <c:pt idx="4">
                  <c:v>1963</c:v>
                </c:pt>
                <c:pt idx="5">
                  <c:v>2191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50</c:v>
                </c:pt>
                <c:pt idx="1">
                  <c:v>262</c:v>
                </c:pt>
                <c:pt idx="2">
                  <c:v>219</c:v>
                </c:pt>
                <c:pt idx="3">
                  <c:v>703</c:v>
                </c:pt>
                <c:pt idx="4">
                  <c:v>322</c:v>
                </c:pt>
                <c:pt idx="5">
                  <c:v>341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Otro externo</c:v>
                </c:pt>
                <c:pt idx="1">
                  <c:v>Independiente</c:v>
                </c:pt>
              </c:strCache>
            </c:strRef>
          </c:cat>
          <c:val>
            <c:numRef>
              <c:f>Hoja1!$B$2:$B$3</c:f>
              <c:numCache>
                <c:formatCode>0</c:formatCode>
                <c:ptCount val="2"/>
                <c:pt idx="0">
                  <c:v>4</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Empleados (FCPE y directos)</c:v>
                </c:pt>
                <c:pt idx="2">
                  <c:v>Autocartera</c:v>
                </c:pt>
                <c:pt idx="3">
                  <c:v>Sun Life Financial, Inc.</c:v>
                </c:pt>
                <c:pt idx="4">
                  <c:v>Capital flotante (resto)</c:v>
                </c:pt>
              </c:strCache>
            </c:strRef>
          </c:cat>
          <c:val>
            <c:numRef>
              <c:f>Hoja1!$B$2:$B$6</c:f>
              <c:numCache>
                <c:formatCode>0.0"%"</c:formatCode>
                <c:ptCount val="5"/>
                <c:pt idx="0">
                  <c:v>7.7</c:v>
                </c:pt>
                <c:pt idx="1">
                  <c:v>3.3</c:v>
                </c:pt>
                <c:pt idx="2">
                  <c:v>2.6</c:v>
                </c:pt>
                <c:pt idx="4">
                  <c:v>86.4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23.2</c:v>
                </c:pt>
                <c:pt idx="1">
                  <c:v>7.2</c:v>
                </c:pt>
                <c:pt idx="2">
                  <c:v>-15.7</c:v>
                </c:pt>
                <c:pt idx="3">
                  <c:v>53.2</c:v>
                </c:pt>
                <c:pt idx="4">
                  <c:v>29.3</c:v>
                </c:pt>
                <c:pt idx="5">
                  <c:v>45.8</c:v>
                </c:pt>
                <c:pt idx="6">
                  <c:v>-24.2</c:v>
                </c:pt>
                <c:pt idx="7">
                  <c:v>39.1</c:v>
                </c:pt>
                <c:pt idx="8">
                  <c:v>32.5</c:v>
                </c:pt>
                <c:pt idx="9">
                  <c:v>-2.5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3">
                  <c:v>17.1</c:v>
                </c:pt>
                <c:pt idx="4">
                  <c:v>19</c:v>
                </c:pt>
                <c:pt idx="5">
                  <c:v>12.8</c:v>
                </c:pt>
                <c:pt idx="6">
                  <c:v>15.4</c:v>
                </c:pt>
                <c:pt idx="7">
                  <c:v>18.4</c:v>
                </c:pt>
                <c:pt idx="8">
                  <c:v>17.9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17.9</c:v>
                </c:pt>
                <c:pt idx="1">
                  <c:v>17.9</c:v>
                </c:pt>
                <c:pt idx="2">
                  <c:v>17.9</c:v>
                </c:pt>
                <c:pt idx="3">
                  <c:v>17.9</c:v>
                </c:pt>
                <c:pt idx="4">
                  <c:v>17.9</c:v>
                </c:pt>
                <c:pt idx="5">
                  <c:v>17.9</c:v>
                </c:pt>
                <c:pt idx="6">
                  <c:v>17.9</c:v>
                </c:pt>
                <c:pt idx="7">
                  <c:v>17.9</c:v>
                </c:pt>
                <c:pt idx="8">
                  <c:v>17.9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Schneider Electric</c:v>
                </c:pt>
                <c:pt idx="1">
                  <c:v>Legrand</c:v>
                </c:pt>
                <c:pt idx="2">
                  <c:v>ABB</c:v>
                </c:pt>
                <c:pt idx="3">
                  <c:v>Siemens</c:v>
                </c:pt>
                <c:pt idx="4">
                  <c:v>Eaton</c:v>
                </c:pt>
                <c:pt idx="5">
                  <c:v>Hubbell</c:v>
                </c:pt>
                <c:pt idx="6">
                  <c:v>Vertiv</c:v>
                </c:pt>
              </c:strCache>
            </c:strRef>
          </c:cat>
          <c:val>
            <c:numRef>
              <c:f>Hoja1!$B$2:$B$8</c:f>
              <c:numCache>
                <c:formatCode>0.0"x"</c:formatCode>
                <c:ptCount val="7"/>
                <c:pt idx="0">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PTC (software de diseño CAD/PLM, EE. UU.)</c:v>
                </c:pt>
                <c:pt idx="1">
                  <c:v>Cognite (datos industriales e IA, Noruega)</c:v>
                </c:pt>
                <c:pt idx="2">
                  <c:v>Boyd Thermal (refrigeración líquida para centros de datos)</c:v>
                </c:pt>
                <c:pt idx="3">
                  <c:v>Altair Engineering (software de simulación, EE. UU.)</c:v>
                </c:pt>
                <c:pt idx="4">
                  <c:v>Shelly Group (hogar conectado, Bulgaria)</c:v>
                </c:pt>
              </c:strCache>
            </c:strRef>
          </c:cat>
          <c:val>
            <c:numRef>
              <c:f>Hoja1!$B$2:$B$6</c:f>
              <c:numCache>
                <c:formatCode>0.0"x"</c:formatCode>
                <c:ptCount val="5"/>
                <c:pt idx="0">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5244</c:v>
                </c:pt>
                <c:pt idx="1">
                  <c:v>5975</c:v>
                </c:pt>
                <c:pt idx="2">
                  <c:v>6754</c:v>
                </c:pt>
                <c:pt idx="3">
                  <c:v>7499</c:v>
                </c:pt>
                <c:pt idx="4">
                  <c:v>8384</c:v>
                </c:pt>
                <c:pt idx="5">
                  <c:v>9119</c:v>
                </c:pt>
                <c:pt idx="6">
                  <c:v>9682</c:v>
                </c:pt>
                <c:pt idx="7">
                  <c:v>10183</c:v>
                </c:pt>
                <c:pt idx="8">
                  <c:v>10607</c:v>
                </c:pt>
                <c:pt idx="9">
                  <c:v>10996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52161</c:v>
                </c:pt>
                <c:pt idx="1">
                  <c:v>92562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235,75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163.84</c:v>
                </c:pt>
                <c:pt idx="1">
                  <c:v>224.71</c:v>
                </c:pt>
                <c:pt idx="2">
                  <c:v>272.25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235,75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(220,40 – 312,30)</c:v>
                </c:pt>
                <c:pt idx="1">
                  <c:v>Precio objetivo de los analistas (262,00 – 370,00)</c:v>
                </c:pt>
                <c:pt idx="2">
                  <c:v>Comparables: PER NTM (233,91 – 273,24)</c:v>
                </c:pt>
                <c:pt idx="3">
                  <c:v>DCF (WACC y g ± 0,5) (208,79 – 244,56)</c:v>
                </c:pt>
                <c:pt idx="4">
                  <c:v>Escenarios (bajista – alcista) (163,84 – 272,25)</c:v>
                </c:pt>
                <c:pt idx="5">
                  <c:v>DCF con la prima implícita del mercado (4,2 %)</c:v>
                </c:pt>
                <c:pt idx="6">
                  <c:v>Precio actual (235,75)</c:v>
                </c:pt>
              </c:strCache>
            </c:strRef>
          </c:cat>
          <c:val>
            <c:numRef>
              <c:f>Hoja1!$B$2:$B$8</c:f>
              <c:numCache>
                <c:formatCode>#,##0</c:formatCode>
                <c:ptCount val="7"/>
                <c:pt idx="0">
                  <c:v>220.4</c:v>
                </c:pt>
                <c:pt idx="1">
                  <c:v>262</c:v>
                </c:pt>
                <c:pt idx="2">
                  <c:v>233.91</c:v>
                </c:pt>
                <c:pt idx="3">
                  <c:v>208.79</c:v>
                </c:pt>
                <c:pt idx="4">
                  <c:v>163.84</c:v>
                </c:pt>
                <c:pt idx="5">
                  <c:v>250.81</c:v>
                </c:pt>
                <c:pt idx="6">
                  <c:v>234.57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(220,40 – 312,30)</c:v>
                </c:pt>
                <c:pt idx="1">
                  <c:v>Precio objetivo de los analistas (262,00 – 370,00)</c:v>
                </c:pt>
                <c:pt idx="2">
                  <c:v>Comparables: PER NTM (233,91 – 273,24)</c:v>
                </c:pt>
                <c:pt idx="3">
                  <c:v>DCF (WACC y g ± 0,5) (208,79 – 244,56)</c:v>
                </c:pt>
                <c:pt idx="4">
                  <c:v>Escenarios (bajista – alcista) (163,84 – 272,25)</c:v>
                </c:pt>
                <c:pt idx="5">
                  <c:v>DCF con la prima implícita del mercado (4,2 %)</c:v>
                </c:pt>
                <c:pt idx="6">
                  <c:v>Precio actual (235,75)</c:v>
                </c:pt>
              </c:strCache>
            </c:strRef>
          </c:cat>
          <c:val>
            <c:numRef>
              <c:f>Hoja1!$C$2:$C$8</c:f>
              <c:numCache>
                <c:formatCode>#,##0</c:formatCode>
                <c:ptCount val="7"/>
                <c:pt idx="0">
                  <c:v>91.9</c:v>
                </c:pt>
                <c:pt idx="1">
                  <c:v>108</c:v>
                </c:pt>
                <c:pt idx="2">
                  <c:v>39.33000000000001</c:v>
                </c:pt>
                <c:pt idx="3">
                  <c:v>35.77000000000001</c:v>
                </c:pt>
                <c:pt idx="4">
                  <c:v>108.41</c:v>
                </c:pt>
                <c:pt idx="5">
                  <c:v>36.71999999999997</c:v>
                </c:pt>
                <c:pt idx="6">
                  <c:v>2.3600000000000136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