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FANUC CORPORATION</w:t>
      </w:r>
    </w:p>
    <w:p>
      <w:pPr>
        <w:spacing w:after="60"/>
        <w:rPr>
          <w:color w:val="52514E"/>
          <w:sz w:val="22"/>
          <w:szCs w:val="22"/>
        </w:rPr>
      </w:pPr>
      <w:r>
        <w:rPr>
          <w:color w:val="52514E"/>
          <w:sz w:val="22"/>
          <w:szCs w:val="22"/>
        </w:rPr>
        <w:t xml:space="preserve">6954 · Tokyo Stock Exchange (Prime) · ISIN JP3802400006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6.220,00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4.460,49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5.752.965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16,3x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FANUC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6954 / JP3802400006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Tokyo Stock Exchange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(ETF 1305.T para la rentabilidad total); también Nikkei 225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(GICS: Industrial Machinery &amp; Supplies &amp; Components)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Oshino-mura, Minamitsuru-gun, Yamanashi (Japón)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https://www.fanuc.co.jp/eindex.html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6.220,00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4.400,00 – 8.880,00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5.752.965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4.702.504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36.700 M JPY/día (5,8 M de acciones; 3 meses) [70]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4.460,49 JPY</w:t>
      </w:r>
      <w:r>
        <w:t xml:space="preserve"> frente a 6.220,00 · con la prima implícita del mercado: 4.713,09 (-24,2 %) · Rentabilidad total esperada a 12 meses </w:t>
      </w:r>
      <w:r>
        <w:rPr>
          <w:b/>
          <w:bCs/>
        </w:rPr>
        <w:t xml:space="preserve">-26,6 %</w:t>
      </w:r>
      <w:r>
        <w:t xml:space="preserve"> · Alcista / bajista -25,5 % / -54,7 %</w:t>
      </w:r>
    </w:p>
    <w:p>
      <w:pPr>
        <w:spacing w:after="100"/>
      </w:pPr>
      <w:r>
        <w:rPr>
          <w:b/>
        </w:rPr>
        <w:t xml:space="preserve">La recomendación y por qué.</w:t>
      </w:r>
      <w:r>
        <w:t xml:space="preserve"> Vender, con convicción baja. El valor objetivo es de 4.460,49 JPY frente a un precio de 6.220 JPY: un potencial del −28,3 % y una rentabilidad total esperada del −26,6 % con el dividendo del 1,7 %. Asimetría negativa (−0,47x): el alcista también queda por debajo del precio. La razón principal: el precio descuenta una rentabilidad anual del 5,6 %, solo 2,5 puntos por encima del bono japonés a 10 años (3,103 %) [79], para una cíclica que ha crecido un 3,4 % anual en BPA durante una década. Convicción baja: la diferencia sale de la tasa de descuento, no de las cifras, que coinciden con el consenso.</w:t>
      </w:r>
    </w:p>
    <w:p>
      <w:pPr>
        <w:spacing w:after="100"/>
      </w:pPr>
      <w:r>
        <w:rPr>
          <w:b/>
        </w:rPr>
        <w:t xml:space="preserve">El negocio.</w:t>
      </w:r>
      <w:r>
        <w:t xml:space="preserve"> Líder en controles CNC y gran fabricante de robots, con servicio de por vida sobre su base instalada [23], Fanuc gana más que nadie en su sector: margen operativo del 21,4 % en FY2025, frente al 8,7 % de Yaskawa, el 12,6 % de ABB Robotics o el 14,9 % de Siemens Digital Industries [39, 41, 42]. Pero el ROIC (12,1 %) apenas supera el WACC (9,58 %), y el ROIC incremental de la década es del 3,9 %: el margen bruto bajó del 45,2 % al 38,3 % y el circulante absorbe 47 JPY por cada 100 de ventas nuevas [1, 9].</w:t>
      </w:r>
    </w:p>
    <w:p>
      <w:pPr>
        <w:spacing w:after="100"/>
      </w:pPr>
      <w:r>
        <w:rPr>
          <w:b/>
        </w:rPr>
        <w:t xml:space="preserve">Sector y ciclo.</w:t>
      </w:r>
      <w:r>
        <w:t xml:space="preserve"> El ciclo está en expansión: pedidos de máquina herramienta japonesa +65,4 % en agosto de 2026 y pedidos de Fanuc +36,9 % en el 1T FY26, con un book-to-bill de 1,22 [18, 36]. La propia dirección reconoce que parte son pedidos adelantados por plazos de entrega largos y que ha perdido clientes en China por esos plazos [21]. China pesa el 26,6 % de las ventas y sus marcas locales ya hacen el 55 % de las instalaciones de robots del país [32].</w:t>
      </w:r>
    </w:p>
    <w:p>
      <w:pPr>
        <w:spacing w:after="100"/>
      </w:pPr>
      <w:r>
        <w:rPr>
          <w:b/>
        </w:rPr>
        <w:t xml:space="preserve">Finanzas.</w:t>
      </w:r>
      <w:r>
        <w:t xml:space="preserve"> Sin deuda, caja neta ajustada de 762.493 M y Altman, Piotroski y Beneish limpios. Las participadas chinas al 50 % ganaron 30.531 M en FY2025, fuera del EBIT [1]; las valoramos a 10x (305.310 M). La caja ociosa deja el ROE en el 9,3 %.</w:t>
      </w:r>
    </w:p>
    <w:p>
      <w:pPr>
        <w:spacing w:after="100"/>
      </w:pPr>
      <w:r>
        <w:rPr>
          <w:b/>
        </w:rPr>
        <w:t xml:space="preserve">Equipo y gobierno.</w:t>
      </w:r>
      <w:r>
        <w:t xml:space="preserve"> Mejora: consejo con un 60 % de independientes y presidente del consejo externo desde 2025, sin accionista de control [52, 53]. Resta la retribución variable, sin objetivo de beneficio ni de rentabilidad, y un auditor con 51 años en el cargo [25]. La recompra de 50.000 M de 2026 se completó en septiembre; la de 2025 apenas se ejecutó [22, 60].</w:t>
      </w:r>
    </w:p>
    <w:p>
      <w:pPr>
        <w:spacing w:after="100"/>
      </w:pPr>
      <w:r>
        <w:rPr>
          <w:b/>
        </w:rPr>
        <w:t xml:space="preserve">Valoración.</w:t>
      </w:r>
      <w:r>
        <w:t xml:space="preserve"> El DCF da 3.544,66 JPY (WACC del 9,58 %); las medianas de los comparables, 5.747,02 JPY por EV/EBITDA y 5.352,17 JPY por PER de los próximos 12 meses. Cotiza a 27,1x PER NTM, con prima del 10-16 % sobre el sector y en el percentil 80 de su EV/EBITDA histórico. El DCF inverso exige crecer un 21,6 % anual durante diez años, frente al 4,3 % de nuestro base y al 5,3 % de la última década. Discrepamos en la tasa, no en las previsiones: nuestro EBITDA de FY2026e-FY2028e queda entre un 0,8 % y un 3,2 % por debajo del consenso [72].</w:t>
      </w:r>
    </w:p>
    <w:p>
      <w:pPr>
        <w:spacing w:after="100"/>
      </w:pPr>
      <w:r>
        <w:rPr>
          <w:b/>
        </w:rPr>
        <w:t xml:space="preserve">Riesgos y catalizadores.</w:t>
      </w:r>
      <w:r>
        <w:t xml:space="preserve"> El riesgo para la tesis es que la IA física alargue el ciclo sin caída; aun así, el alcista vale 4.636,51 JPY. La apoyan los pedidos adelantados (bajista de 2.815,59 JPY, −54,7 %) y un PER que converja a la mediana del sector (5.352,17 JPY). Catalizadores: resultados del 2T el 23-oct-2026 [75], JIMTOF del 26 al 31 de octubre [105] y la decisión de EE. UU. sobre la Sección 232 [51].</w:t>
      </w:r>
    </w:p>
    <w:p>
      <w:pPr>
        <w:spacing w:after="100"/>
      </w:pPr>
      <w:r>
        <w:rPr>
          <w:b/>
        </w:rPr>
        <w:t xml:space="preserve">Qué cambiaría la decisión.</w:t>
      </w:r>
      <w:r>
        <w:t xml:space="preserve"> Compraríamos por debajo de 3.724,51 JPY; por encima de 4.572,00 JPY la regla dice vender o reducir. Pasaríamos a Mantener si el consenso de BPA de FY2027e sube por encima de 280 JPY sin que caiga el book-to-bill, o si el bono a 10 años baja del 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4.460,49 JPY</w:t>
      </w:r>
      <w:r>
        <w:t xml:space="preserve"> (-28,3 % sobre 6.220,00; rentabilidad total esperada -26,6 %) · con la prima implícita del mercado: 4.713,09 (-24,2 %)</w:t>
      </w:r>
    </w:p>
    <w:p>
      <w:pPr>
        <w:spacing w:after="100"/>
      </w:pPr>
      <w:r>
        <w:t xml:space="preserve">Fanuc es el líder mundial en controles CNC y uno de los cuatro grandes en robots industriales, sin deuda y con 712.268 M JPY de caja. Gana más que cualquier competidor (margen operativo del 21,4 % en FY2025 frente al 8,7 % de Yaskawa y el 14,9 % de Siemens Digital Industries) gracias a una base instalada atada por costes de cambio y servicio de por vida [1, 39, 42]. Está en plena subida del ciclo: pedidos +36,9 % en el 1T FY26 y guía elevada a 948.100 M de ventas y 218.000 M de beneficio operativo [11, 18].</w:t>
      </w:r>
    </w:p>
    <w:p>
      <w:pPr>
        <w:spacing w:after="100"/>
      </w:pPr>
      <w:r>
        <w:t xml:space="preserve">El precio de 6.220 JPY ya lo descuenta y bastante más. Cotiza a 27,1x PER y 16,3x EV/EBITDA de los próximos 12 meses, con una prima del 10-16 % sobre las medianas de sus comparables y en el percentil 80 de su propia historia. Con previsiones en línea con el consenso, el DCF inverso dice que el precio equivale a una rentabilidad anual del 5,6 %, o a crecer un 21,6 % al año durante diez años.</w:t>
      </w:r>
    </w:p>
    <w:p>
      <w:pPr>
        <w:spacing w:after="100"/>
      </w:pPr>
      <w:r>
        <w:t xml:space="preserve">El mercado acierta en la calidad y se equivoca en el precio de esa calidad. Al cierre de marzo de 2023 el bono japonés a 10 años rendía un 0,39 %; hoy rinde el 3,103 % [79, 106] y el múltiplo no se ha movido. Para invertir hay que creer que la IA física eliminará la próxima caída cíclica, cuando la dirección admite que parte de los pedidos son adelantados [21] y el BPA creció un 3,4 % anual en la última década.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4.460,49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 -54,7 %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frente a 9,6 %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4.713,09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(FY2026e-FY2035e)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 frente a 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4.188,40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4.188,40 y 4.821,79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4.821,79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3.724,51 JPY, pasaríamos a Comprar; entre 3.724,51 y 4.572,00 JPY, a Mantener.</w:t>
      </w:r>
    </w:p>
    <w:p>
      <w:pPr>
        <w:pStyle w:val="ListParagraph"/>
        <w:numPr>
          <w:ilvl w:val="0"/>
          <w:numId w:val="2"/>
        </w:numPr>
        <w:spacing w:after="60"/>
      </w:pPr>
      <w:r>
        <w:t xml:space="preserve">Si el consenso de BPA de FY2027e sube por encima de 280 JPY (hoy 237,9 JPY) con un book-to-bill ≥ 1,1, revisaríamos el base al alza [72].</w:t>
      </w:r>
    </w:p>
    <w:p>
      <w:pPr>
        <w:pStyle w:val="ListParagraph"/>
        <w:numPr>
          <w:ilvl w:val="0"/>
          <w:numId w:val="2"/>
        </w:numPr>
        <w:spacing w:after="60"/>
      </w:pPr>
      <w:r>
        <w:t xml:space="preserve">Si el bono japonés a 10 años baja del 2,0 % (hoy 3,103 %), el WACC caería en torno a un punto y revisaríamos el valor [79].</w:t>
      </w:r>
    </w:p>
    <w:p>
      <w:pPr>
        <w:pStyle w:val="ListParagraph"/>
        <w:numPr>
          <w:ilvl w:val="0"/>
          <w:numId w:val="2"/>
        </w:numPr>
        <w:spacing w:after="60"/>
      </w:pPr>
      <w:r>
        <w:t xml:space="preserve">Si Fanuc publica márgenes por división que muestren un margen de ROBOT por encima del 25 %, revisaríamos el margen a largo plazo.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física y los humanoides abren un ciclo largo de robots y máquina herramienta y que Fanuc, con su base instalada y sus alianzas con NVIDIA, Hitachi y Fujitsu, lo captura [49, 50]. El precio objetivo medio de los analistas es de 7.278,89 JPY, con 8 recomendaciones de compra, 10 de mantener y 1 de vender [72, 73]. El múltiplo apenas ha bajado aunque el bono japonés haya pasado del 0 % al 3,1 %.</w:t>
      </w:r>
    </w:p>
    <w:p>
      <w:pPr>
        <w:keepNext/>
        <w:spacing w:after="100"/>
      </w:pPr>
      <w:r>
        <w:rPr>
          <w:b/>
          <w:bCs/>
        </w:rPr>
        <w:t xml:space="preserve">Lo que creemos nosotros.</w:t>
      </w:r>
    </w:p>
    <w:p>
      <w:pPr>
        <w:spacing w:after="100"/>
      </w:pPr>
      <w:r>
        <w:t xml:space="preserve">Las previsiones del consenso son razonables y las compartimos casi al céntimo. Lo que no compartimos es la tasa: una rentabilidad implícita del 5,6 % no paga el riesgo de una cíclica con beta de 1,26 y con caídas de ventas del 12-20 % cada tres o cuatro años. Con un WACC del 9,58 % y una caída cíclica moderada en FY2029e, el valor está en 3.544,66 JPY por DCF y en 5.352-5.747 JPY por comparables.</w:t>
      </w:r>
    </w:p>
    <w:p>
      <w:pPr>
        <w:keepNext/>
        <w:spacing w:after="100"/>
      </w:pPr>
      <w:r>
        <w:rPr>
          <w:b/>
          <w:bCs/>
        </w:rPr>
        <w:t xml:space="preserve">Por qué podemos tener razón.</w:t>
      </w:r>
    </w:p>
    <w:p>
      <w:pPr>
        <w:spacing w:after="100"/>
      </w:pPr>
      <w:r>
        <w:t xml:space="preserve">Porque el bono a 10 años en el 3,103 % es nuevo y el múltiplo de Fanuc es el de la época del tipo cero (PER mediano de 29,2x) [79, 106]. Porque la dirección admite pedidos adelantados por plazos y clientes perdidos en China [21]. Y porque el último pico de pedidos (FY2017) acabó en una caída de ventas del 20 % dos años después [7, 9]. Podemos equivocarnos si el mercado japonés mantiene primas de riesgo bajas por mucho tiempo: es la razón de la convicción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21,4 % de margen operativo en FY2025 frente al 8,7 % de Yaskawa y el 12,6 % de ABB Robotics [1, 39, 41].</w:t>
      </w:r>
    </w:p>
    <w:p>
      <w:pPr>
        <w:pStyle w:val="ListParagraph"/>
        <w:numPr>
          <w:ilvl w:val="0"/>
          <w:numId w:val="2"/>
        </w:numPr>
        <w:spacing w:after="60"/>
      </w:pPr>
      <w:r>
        <w:rPr>
          <w:b/>
        </w:rPr>
        <w:t xml:space="preserve">Ciclo al alza</w:t>
      </w:r>
      <w:r>
        <w:t xml:space="preserve">: pedidos +36,9 % en el 1T FY26 y book-to-bill de 1,22 [18].</w:t>
      </w:r>
    </w:p>
    <w:p>
      <w:pPr>
        <w:pStyle w:val="ListParagraph"/>
        <w:numPr>
          <w:ilvl w:val="0"/>
          <w:numId w:val="2"/>
        </w:numPr>
        <w:spacing w:after="60"/>
      </w:pPr>
      <w:r>
        <w:rPr>
          <w:b/>
        </w:rPr>
        <w:t xml:space="preserve">Balance sin deuda</w:t>
      </w:r>
      <w:r>
        <w:t xml:space="preserve">: caja neta ajustada de 762.493 M, el 13 % de la capitalización.</w:t>
      </w:r>
    </w:p>
    <w:p>
      <w:pPr>
        <w:pStyle w:val="ListParagraph"/>
        <w:numPr>
          <w:ilvl w:val="0"/>
          <w:numId w:val="2"/>
        </w:numPr>
        <w:spacing w:after="60"/>
      </w:pPr>
      <w:r>
        <w:rPr>
          <w:b/>
        </w:rPr>
        <w:t xml:space="preserve">Participadas chinas infravaloradas en libros</w:t>
      </w:r>
      <w:r>
        <w:t xml:space="preserve">: 30.531 M de resultado en FY2025 frente a 167.210 M de valor contable [1, 25].</w:t>
      </w:r>
    </w:p>
    <w:p>
      <w:pPr>
        <w:pStyle w:val="ListParagraph"/>
        <w:numPr>
          <w:ilvl w:val="0"/>
          <w:numId w:val="2"/>
        </w:numPr>
        <w:spacing w:after="60"/>
      </w:pPr>
      <w:r>
        <w:rPr>
          <w:b/>
        </w:rPr>
        <w:t xml:space="preserve">Más retorno al accionista</w:t>
      </w:r>
      <w:r>
        <w:t xml:space="preserve">: recompra de 50.000 M completada en septiembre de 2026 y dividendo del 60 % del beneficio [1, 60].</w:t>
      </w:r>
    </w:p>
    <w:p>
      <w:pPr>
        <w:pStyle w:val="Heading2"/>
      </w:pPr>
      <w:r>
        <w:t xml:space="preserve">En contra</w:t>
      </w:r>
    </w:p>
    <w:p>
      <w:pPr>
        <w:pStyle w:val="ListParagraph"/>
        <w:numPr>
          <w:ilvl w:val="0"/>
          <w:numId w:val="2"/>
        </w:numPr>
        <w:spacing w:after="60"/>
      </w:pPr>
      <w:r>
        <w:rPr>
          <w:b/>
        </w:rPr>
        <w:t xml:space="preserve">Precio exigente</w:t>
      </w:r>
      <w:r>
        <w:t xml:space="preserve">: rentabilidad implícita del 5,6 %, frente a un WACC del 9,58 % y un bono del 3,103 % [79].</w:t>
      </w:r>
    </w:p>
    <w:p>
      <w:pPr>
        <w:pStyle w:val="ListParagraph"/>
        <w:numPr>
          <w:ilvl w:val="0"/>
          <w:numId w:val="2"/>
        </w:numPr>
        <w:spacing w:after="60"/>
      </w:pPr>
      <w:r>
        <w:rPr>
          <w:b/>
        </w:rPr>
        <w:t xml:space="preserve">Prima sin crecimiento</w:t>
      </w:r>
      <w:r>
        <w:t xml:space="preserve">: 27,1x PER NTM frente a 23,3x de los comparables, con el mismo crecimiento esperado (9,7 %).</w:t>
      </w:r>
    </w:p>
    <w:p>
      <w:pPr>
        <w:pStyle w:val="ListParagraph"/>
        <w:numPr>
          <w:ilvl w:val="0"/>
          <w:numId w:val="2"/>
        </w:numPr>
        <w:spacing w:after="60"/>
      </w:pPr>
      <w:r>
        <w:rPr>
          <w:b/>
        </w:rPr>
        <w:t xml:space="preserve">Pedidos adelantados</w:t>
      </w:r>
      <w:r>
        <w:t xml:space="preserve">: la dirección admite que los plazos largos adelantan pedidos; el bajista vale 2.815,59 JPY [21].</w:t>
      </w:r>
    </w:p>
    <w:p>
      <w:pPr>
        <w:pStyle w:val="ListParagraph"/>
        <w:numPr>
          <w:ilvl w:val="0"/>
          <w:numId w:val="2"/>
        </w:numPr>
        <w:spacing w:after="60"/>
      </w:pPr>
      <w:r>
        <w:rPr>
          <w:b/>
        </w:rPr>
        <w:t xml:space="preserve">Creación de valor escasa</w:t>
      </w:r>
      <w:r>
        <w:t xml:space="preserve">: ROIC del 12,1 % y ROIC incremental del 3,9 % en una década.</w:t>
      </w:r>
    </w:p>
    <w:p>
      <w:pPr>
        <w:pStyle w:val="ListParagraph"/>
        <w:numPr>
          <w:ilvl w:val="0"/>
          <w:numId w:val="2"/>
        </w:numPr>
        <w:spacing w:after="60"/>
      </w:pPr>
      <w:r>
        <w:rPr>
          <w:b/>
        </w:rPr>
        <w:t xml:space="preserve">China</w:t>
      </w:r>
      <w:r>
        <w:t xml:space="preserve">: 26,6 % de las ventas, clientes perdidos por plazos y marcas locales con el 55 % del mercado de robots [21, 32].</w:t>
      </w:r>
    </w:p>
    <w:p>
      <w:pPr>
        <w:pStyle w:val="Heading2"/>
      </w:pPr>
      <w:r>
        <w:t xml:space="preserve">Qué tiene que pasar para que la tesis funcione</w:t>
      </w:r>
    </w:p>
    <w:p>
      <w:pPr>
        <w:spacing w:after="100"/>
      </w:pPr>
      <w:r>
        <w:t xml:space="preserve">La tesis depende de que el ciclo actual tenga su caída, como todos los anteriores, y de que el mercado japonés exija algo más que un 5,6 % a una cíclica con el bono al 3,1 %. La señal de que nos equivocamos: dos trimestres seguidos con book-to-bill por encima de 1,1 y revisiones al alza del BPA del consenso sin que los plazos de entrega se normalicen, que querrían decir que la demanda de IA física es real y no adelantada.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(confirma el adelanto de pedidos) o &gt; 1,1 dos trimestres seguidos (contra la tesis)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ciclo real de adelanto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mil M JPY (+63,8 %)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 es el negocio de más margen y el más adelantado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aranceles y precios [21]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 (1T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con el mercado chino creciendo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frente a marcas locales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japonés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3,5 % (refuerza la tesis) o &lt; 2,0 % (la debilita)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variable que separa nuestro valor del precio [79]</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19,4x / 16,3x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32,3x / 27,1x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Fanuc nace del control numérico. En 1955 Fuji Tsushinki (hoy Fujitsu) crea un equipo de control y en 1956 desarrolla el primer CNC y servo comerciales de una empresa privada japonesa [23]; el ingeniero al frente era Seiuemon Inaba [31]. En 1972 la división se escinde de Fujitsu como FUJITSU FANUC (FANUC LTD desde 1982) [23]. Sobre la base CNC-servo se expandió a robots (empresa conjunta con General Motors en 1982) y a máquinas propias (ROBODRILL, ROBOSHOT, ROBOCUT); con General Electric formó GE Fanuc Automation en 1986 y la disolvió en 2009 [23]. Cotiza en la primera sección de Tokio desde 1983 [23]. Yoshiharu Inaba, en la empresa desde 1973, la dirigió como presidente y consejero delegado desde junio de 2003, presidió el consejo desde 2016 y lo dejó en junio de 2025 para pasar a asesor especial [26, 27]. Kenji Yamaguchi es presidente desde junio de 2016 y consejero delegado desde abril de 2019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Fuji Tsushinki (Fujitsu) desarrolla el primer CNC y servo comerciales de una empresa privada japonesa: el origen de la división FA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de control numérico se escinde de Fujitsu como FUJITSU FANUC Ltd.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llamarse FANUC LTD y crea con General Motors la empresa conjunta GMFanuc Robotics en EE. UU., base del negocio de robots en América [23]. Ese año ya tenía la mitad del mercado mundial de CNC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en la primera sección de la Bolsa de Tokio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 con General Electric GE Fanuc Automation en EE. UU.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en China SHANGHAI-FANUC Robotics con Shanghai Electric; antes había creado BEIJING-FANUC Mechatronics con el Beijing Machine Tool Research Institute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disuelve la empresa conjunta con General Electric; Fanuc se queda con el negocio de CNC [23, 31].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Kenji Yamaguchi, presidente y director general de operaciones; Yoshiharu Inaba pasa a presidente del consejo [23, 26]. Yamaguchi es consejero delegado desde abril de 2019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los 5 millones de CNC producidos acumulados; en 2023, el millón de robots enviados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Suspende los envíos de ROBOCUT a Europa por ensayos de compatibilidad electromagnética no conformes con las normas armonizadas de la UE; comité especial de investigación, informe en noviembre-diciembre de 2024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Yoshiharu Inaba deja el consejo en la junta del 27 de junio de 2025 y pasa a asesor especial [27]. En diciembre, Fanuc abre sus robots a ROS 2 y Python (plataforma abierta para la «IA física») [48].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de IA física con Google (mayo), NVIDIA (mayo), Fujitsu (julio) e Hitachi (septiembre); nueva fábrica de robots en EE. UU. por 90 M USD anunciada en marzo [30, 49, 50].</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Fanuc fabrica automatización industrial a partir de una tecnología básica: el control numérico (CNC) y los servomotores, que aplica a tres negocios [1, 23]. </w:t>
      </w:r>
      <w:r>
        <w:rPr>
          <w:b/>
        </w:rPr>
        <w:t xml:space="preserve">FA</w:t>
      </w:r>
      <w:r>
        <w:t xml:space="preserve"> (24,3 % de las ventas del FY2025, 208.478 M JPY) vende CNC, servos y láseres a fabricantes de máquina herramienta, que los montan en sus máquinas. </w:t>
      </w:r>
      <w:r>
        <w:rPr>
          <w:b/>
        </w:rPr>
        <w:t xml:space="preserve">ROBOT</w:t>
      </w:r>
      <w:r>
        <w:t xml:space="preserve"> (44,1 %, 378.610 M JPY) vende robots industriales, colaborativos CRX y software (ROBOGUIDE) a automoción, electrónica e industria general, en buena parte a través de integradores. </w:t>
      </w:r>
      <w:r>
        <w:rPr>
          <w:b/>
        </w:rPr>
        <w:t xml:space="preserve">ROBOMACHINE</w:t>
      </w:r>
      <w:r>
        <w:t xml:space="preserve"> (15,1 %, 129.600 M JPY) vende máquinas propias: centros de mecanizado compactos ROBODRILL, inyectoras eléctricas ROBOSHOT y electroerosión por hilo ROBOCUT. </w:t>
      </w:r>
      <w:r>
        <w:rPr>
          <w:b/>
        </w:rPr>
        <w:t xml:space="preserve">Servicio</w:t>
      </w:r>
      <w:r>
        <w:t xml:space="preserve"> (16,5 %, 141.143 M JPY) mantiene todo lo anterior [1]. Ventas totales del FY2025 (abril 2025-marzo 2026): 857.831 M JPY. Por destino, Asia es el 41,1 %, América el 27,1 %, Europa el 17,8 % y Japón el 12,9 % [1]; China, en torno al 27 % (estimación propia sumando los cuatro trimestres del FY2025 publicados: 228.400 M JPY) y el 30,0 % en el primer trimestre del FY2026 [18]. La producción está concentrada en Japón (79 % del inmovilizado material) [1].</w:t>
      </w:r>
    </w:p>
    <w:p>
      <w:pPr>
        <w:pStyle w:val="Heading2"/>
      </w:pPr>
      <w:r>
        <w:t xml:space="preserve">Cómo gana dinero</w:t>
      </w:r>
    </w:p>
    <w:p>
      <w:pPr>
        <w:spacing w:after="100"/>
      </w:pPr>
      <w:r>
        <w:t xml:space="preserve">Vende bienes de equipo de precio unitario alto y los mantiene </w:t>
      </w:r>
      <w:r>
        <w:rPr>
          <w:b/>
        </w:rPr>
        <w:t xml:space="preserve">mientras el cliente los use</w:t>
      </w:r>
      <w:r>
        <w:t xml:space="preserve">: el servicio (16,5 % de las ventas) es la parte recurrente [1, 23]. El margen de explotación fue del 21,4 % en el FY2025 y del 23,2 % en el primer trimestre del FY2026, con un coste de ventas en torno al 60 % [18]. El apalancamiento operativo es alto porque fabrica en Japón con fábricas muy automatizadas: en 2008-10 las ventas cayeron de 468.399 M JPY (ejercicio a marzo de 2008) a 253.393 M (marzo de 2010) y el margen, del 40,5 % al 21,7 % [29]; en el ejercicio a marzo de 2020 bajó al 17,4 % [23]. El margen depende del volumen, de la mezcla (Fanuc no publica el margen por división) y del yen, porque el 87 % de las ventas es fuera de Japón [1]. Para el FY2026 prevé un 23,0 % con 150 JPY/USD y 175 JPY/EUR de julio a marzo, descontando la subida de componentes y los aranceles de EE. UU. [18, 21].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 (CNC y servomotores)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208.478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356.984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378.610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ROBOMACHINE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137.588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Fanuc reporta un solo segmento y no publica concentración de clientes: la nota de información por clientes principales no recoge ninguno [1]. Sus clientes son fabricantes de máquina herramienta (FA), fabricantes de automóviles y de componentes, de electrónica (3C) y de industria general (ROBOT y ROBOMACHINE) [1, 22]. La cartera se llena: en el primer trimestre del FY2026 los pedidos fueron 281.900 M JPY frente a 231.000 M de ventas (relación 1,22), con los pedidos de FA un 63,8 % por encima del año anterior [18]. Poder de precios: la dirección reconoce un desfase entre la subida de componentes y su traslado a precio, que decide según «valor del producto, oferta y demanda, relación con el cliente y competencia» [21]; aun así el margen subió 1,6 puntos en el trimestre [18]. Señal en contra: por los plazos de entrega largos en China, algunos clientes han comprado a competidores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ejercicio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 de los pedidos trimestrales publicados en las presentaciones [19, 20]. Fanuc no publica pedidos anuales ni cartera en el Tanshin.</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del ejercicio (pedidos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Cálculo propio con pedidos de las presentaciones y ventas del Tanshin [1, 19,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1T (abr-jun)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 mil M JPY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 mil M JPY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1,22 en 1T FY26 (281,9/231,0) frente a 1,05 un año antes; la dirección atribuye parte a pedidos adelantados por plazos de entrega largos [18,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FA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 mil M (FY2024); 55,0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 mil M (FY2025); 90,2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anual; +63,8 %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(semiconductores para centros de datos, 3C, vehículo eléctrico, humanoides), India, Taiwán y Corea [18, 19,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 mil M (FY2024); 90,6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 mil M (FY2025); 97,9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anual; +8,1 %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(inversión del automóvil que vuelve a híbridos y combustión) y China [19, 20,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ROBOMACHINE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 mil M (FY2024); 29,0 mil M (1T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 mil M (FY2025); 57,6 mil M (1T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anual; +98,3 % en el 1T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Salto desde el 4T FY25 (43,8 mil M) por ROBOSHOT y ROBODRILL para piezas de servidores de IA y algo de smartphones [18,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 mil M JPY (mar-23, máximo)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 mil M JPY (mar-26)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normalización del inventario acumulado en FY2021-22 explica la mitad del salto del flujo operativo de FY2024-25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 mil M JPY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mil M JPY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 de las ventas en FY2025; 10,8 mil M en el 1T FY26 [18, 19].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Fanuc vende en dos mercados mundiales ligados al mismo ciclo de inversión industrial: </w:t>
      </w:r>
      <w:r>
        <w:rPr>
          <w:b/>
        </w:rPr>
        <w:t xml:space="preserve">robots industriales</w:t>
      </w:r>
      <w:r>
        <w:t xml:space="preserve"> (ROBOT, 44 % de las ventas) y </w:t>
      </w:r>
      <w:r>
        <w:rPr>
          <w:b/>
        </w:rPr>
        <w:t xml:space="preserve">controles CNC para máquina herramienta</w:t>
      </w:r>
      <w:r>
        <w:t xml:space="preserve"> (FA, 24 %; ROBOMACHINE vende máquinas en el mismo ciclo) [1]. Usamos como mercado relevante los robots industriales medidos por la IFR en unidades instaladas (la estadística más completa y comparable, con serie anual mundial) [33]; para el CNC no hay una estadística pública de tamaño, así que usamos dos indicadores de la demanda de máquina herramienta: los pedidos de los fabricantes japoneses (JMTBA, mensuales) [35] y la producción y el consumo mundiales de máquina herramienta (VDW)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Robots: 603.000 unidades instaladas en 2025 (+11 %) y un parque operativo de 5 millones [33]; China instaló 354.000, el 59 % [32]. Máquina herramienta: producción mundial de unos 81.000 M EUR en 2025 (estimación propia: China produjo unos 30.000 M EUR, el 37 % del total) y consumo de China de 25.200 M EUR, el 32 % del mundial [38]; pedidos de los fabricantes japoneses de 1,60 billones de JPY en 2025 (+8,0 %) [35]. Previsión: la IFR esperaba superar las 700.000 instalaciones en 2028 [34] (dato de 2028e de la serie; el crecimiento previsto, 5,1 % anual desde 2025, es estimación propia sobre esa cifra).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robots industriales instalados al año (IF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por falta de mano de obra, sobre todo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instaló 354.000 robots en 2025 (59 % del mundo) y la IFR espera que crezca un 5-10 % anual hasta 2029 por la escasez de mano de obra; el 15.º Plan Quinquenal (2026-2030) orienta la IA a aplicaciones físicas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en máquina herramienta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JMTBA: 1,76 billones de JPY en 2022 (récord), −15,5 % en 2023, −0,1 % en 2024, +8,0 % en 2025 [35]; +65,4 % interanual en agosto de 2026 (197.880 M JPY) [36].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semiconductores, centros de datos de IA, 3C y componentes de humanoides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atribuye a estos sectores el salto de los pedidos de CNC en China y Taiwán; pedidos FA +63,8 % en el primer trimestre del FY2026 [18, 21]. Los pedidos de máquina herramienta japonesa desde China subieron un 55,8 % en enero-julio de 2026 (341.801 M JPY)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Fabricantes chinos ganando cuota en su mercado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hicieron el 55 % de las instalaciones de robots en China en 2025 (57 % en 2024; unos 28 % una década antes) [32, 34]. Fanuc admite que en CNC hay fabricantes chinos de muy bajo coste que no cubre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relocalización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abrió el 2 de septiembre de 2025 una investigación de la Sección 232 sobre importaciones de robots y maquinaria industrial, incluidos los centros de mecanizado CNC [51]; Fanuc invierte 90 M USD en una fábrica de robots en EE. UU. [30] y ve relocalización de la industria en la demanda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87 % de las ventas es fuera de Japón y el 79 % del inmovilizado está en Japón [1]; en el primer trimestre del FY2026 el dólar medio fue 159,49 JPY frente a 144,59 un año antes, con ventas +17,7 % [18].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robots compiten ABB, Yaskawa, KUKA y fabricantes chinos con márgenes muy distintos: Fanuc 21,4 % frente a Yaskawa 8,7 %, ABB Robotics 12,6 % y KUKA 2,1 % [18, 39, 41, 44]. En CNC la rivalidad es menor (Siemens y Mitsubishi Electric) salvo en la gama baja china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fabricantes de máquina herramienta y de automóviles compran grandes volúmenes; cuando los plazos de Fanuc se alargaron en China, parte de los clientes compró a competidores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Plazos largos en semiconductores, componentes eléctricos y piezas mecánicas en 2026; Fanuc recurre a segundas y terceras fuentes y prevé subida de costes de componentes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chinas de robots crecieron un 15 % en 2025 y tienen el 55 % de su mercado [32]; SoftBank compra ABB Robotics para entrar en la IA física [46]. En CNC la entrada es más difícil por la base instalada y la certificación en cada máquina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humanoides y la IA física por ahora generan demanda para Fanuc (mecanizado de piezas de humanoides en China) más que sustitución; casi todas las aplicaciones de IA física están en prueba [21, 22].</w:t>
            </w:r>
          </w:p>
        </w:tc>
      </w:tr>
    </w:tbl>
    <w:p>
      <w:pPr>
        <w:spacing w:after="160" w:before="0"/>
      </w:pPr>
    </w:p>
    <w:p>
      <w:pPr>
        <w:pStyle w:val="Heading2"/>
      </w:pPr>
      <w:r>
        <w:t xml:space="preserve">Ciclo</w:t>
      </w:r>
    </w:p>
    <w:p>
      <w:pPr>
        <w:spacing w:after="100"/>
      </w:pPr>
      <w:r>
        <w:t xml:space="preserve">Pedidos de máquina herramienta japonesa: +65,4 % interanual en agosto de 2026 y +40,9 % en enero-agosto [36]; los de Fanuc, +36,9 % en el primer trimestre del FY2026, en parte adelantados por plazos largos [18, 21]. El PMI manufacturero oficial de China volvió a 50,1 en septiembre de 2026 [37]. En 2009 los pedidos JMTBA cayeron un 68,4 % [35] y las ventas de Fanuc, un 46 % de pico a valle (ejercicios a marzo de 2008-2010) [29]; en 2020 los pedidos bajaron un 26,7 % [35] y Fanuc vendió un 20 % menos [23]; tras el récord de 2022, cayeron un 15,5 % en 2023 [35].</w:t>
      </w:r>
    </w:p>
    <w:p>
      <w:pPr>
        <w:pStyle w:val="Heading2"/>
      </w:pPr>
      <w:r>
        <w:t xml:space="preserve">Regulación</w:t>
      </w:r>
    </w:p>
    <w:p>
      <w:pPr>
        <w:spacing w:after="100"/>
      </w:pPr>
      <w:r>
        <w:t xml:space="preserve">Tres frentes afectan a las cifras. </w:t>
      </w:r>
      <w:r>
        <w:rPr>
          <w:b/>
        </w:rPr>
        <w:t xml:space="preserve">Aranceles de EE. UU.</w:t>
      </w:r>
      <w:r>
        <w:t xml:space="preserve">: Fanuc los incorpora a su previsión del FY2026 suponiendo que se mantienen los vigentes [21, 22], y el Departamento de Comercio investiga desde septiembre de 2025 (Sección 232) las importaciones de robots y máquinas CNC, sin resultado publicado a la fecha de corte que hayamos encontrado [51]. </w:t>
      </w:r>
      <w:r>
        <w:rPr>
          <w:b/>
        </w:rPr>
        <w:t xml:space="preserve">Normas de producto en la UE</w:t>
      </w:r>
      <w:r>
        <w:t xml:space="preserve">: los ensayos de compatibilidad electromagnética no conformes de ROBOCUT obligaron a suspender los envíos a Europa entre abril y julio-agosto de 2024 [28]. </w:t>
      </w:r>
      <w:r>
        <w:rPr>
          <w:b/>
        </w:rPr>
        <w:t xml:space="preserve">Política industrial china</w:t>
      </w:r>
      <w:r>
        <w:t xml:space="preserve">: el 15.º Plan Quinquenal (2026-2030) prioriza la autosuficiencia tecnológica en robótica [32], lo que favorece a los proveedores locales.</w:t>
      </w:r>
    </w:p>
    <w:p>
      <w:pPr>
        <w:pStyle w:val="Heading2"/>
      </w:pPr>
      <w:r>
        <w:t xml:space="preserve">Tendencias y disrupción</w:t>
      </w:r>
    </w:p>
    <w:p>
      <w:pPr>
        <w:spacing w:after="100"/>
      </w:pPr>
      <w:r>
        <w:t xml:space="preserve">La </w:t>
      </w:r>
      <w:r>
        <w:rPr>
          <w:b/>
        </w:rPr>
        <w:t xml:space="preserve">IA física</w:t>
      </w:r>
      <w:r>
        <w:t xml:space="preserve"> (robots que aprenden tareas sin programación pieza a pieza) es la tendencia que mueve el sector: Fanuc publicó en diciembre de 2025 el controlador de sus robots para ROS 2, ejecución de Python y entrada de órdenes externas a alta velocidad [48]; integra su simulador ROBOGUIDE con NVIDIA Isaac Sim y prueba el modelo Isaac GR00T y la plataforma Jetson Thor [49]; y en septiembre de 2026 firmó con Hitachi una alianza para comercializar IA física desde el FY2027 [50]. La dirección dice que los proyectos de «varios miles de unidades» se están convirtiendo en pedidos [22]. En contra: los fabricantes chinos ya superan la mitad de su mercado de robots [32], y SoftBank compra ABB Robotics con la misma tesis [46].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proveedor mundial de controles CNC y uno de los primeros en robots industriales, según su propia estimación, que no da cifra [23]; también dice tener las primeras cuotas mundiales en centros de mecanizado compactos (ROBODRILL) e inyectoras eléctricas (ROBOSHOT) [23]. En 1982 ya tenía la mitad del mercado mundial de CNC [31]. Ha producido más de 5 millones de CNC y enviado más de 1 millón de robots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6506.T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febrero de 2026. Robots (247.012 M JPY, margen 8,3 %) y control de movimiento/servos (236.053 M JPY, margen 10,3 %) [39]. Compite con Fanuc en robots y servos, no en CNC.</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Robotics (división de ABB, en venta a SoftBank)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ingresos 2.331 M USD y resultado de explotación 294 M USD como operación interrumpida, sin 123 M USD de costes centrales que antes se le imputaban [41]. Convertido a 156,67 JPY/USD del 31-12-2025 [47]. Venta a SoftBank por un valor de empresa de 5.375 M USD anunciada el 8-10-2025, con cierre previsto en el segundo semestre de 2026 sujeto a aprobaciones de la UE, China y EE. UU. [40, 41, 46]; no hemos encontrado comunicado de cierre a la fecha de corte.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KUKA (grupo Midea)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2024 (los de 2025 no están publicados en su web): ventas de unos 3.700 M EUR (−7,9 %) y EBIT de 76,5 M EUR (−51,6 %) [44]. Convertido a 163,06 JPY/EUR del 31-12-2024 [47]. Fuerte en automoción europea y en China.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ingresos 17.788 M EUR y beneficio del segmento 2.643 M EUR [42]. Incluye software industrial y PLC; su CNC Sinumerik es el principal rival de Fanuc en controles. Convertido a 173,76 JPY/EUR del 30-09-2025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 sistemas de automatización industrial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6503.T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marzo de 2026: ingresos 798.200 M JPY (+10 %) y resultado de explotación 76.600 M JPY [43]. Compite en CNC, servos, PLC y robots pequeños.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Teradyne Robotics (Universal Robots y MiR)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ingresos 308,3 M USD (−15,5 %) y pérdida antes de impuestos del segmento de 99,4 M USD [45]. Universal Robots es el líder histórico en robots colaborativos (más de 110.000 vendidos), frente a los CRX de Fanuc [45]. Convertido a 156,67 JPY/USD [47].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más de 5 millones de CNC y 1 millón de robots [5]: operarios formados y programas escritos para Fanuc, integradores y la FANUC Academy; la apertura a ROS 2 busca sumar desarrolladores externos [28]. Es un efecto indirecto, no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CNC se diseña dentro de cada máquina herramienta y el usuario final programa y mantiene en Fanuc; la compañía garantiza servicio mientras el producto se use [5]. El servicio genera el 16,5 %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Elegida Top 100 Global Innovator de Clarivate cinco años seguidos (2026) [10, 5]; reputación de fiabilidad («Reliable, Predictable, Easy to Repair») [1], dañada en parte por el caso ROBOCUT de 2024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del 21,4 % en el FY2025 [2] frente al 8,7 % de Yaskawa, 9,6 % de Mitsubishi Electric FA, 12,6 % de ABB Robotics, 14,9 % de Siemens DI y 2,1 % de KUKA [19, 21-24]. Entre los ejercicios a marzo de 2016 y 2025 su margen se movió entre el 17,4 % y el 34,6 % [5], y en el peor año de 2008-10 fue del 21,7 %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CNC es un mercado de pocos proveedores (Fanuc, Siemens, Mitsubishi Electric) por la certificación y el servicio mundial; en robots la escala no frena a los fabricantes chinos, que ya tienen el 55 % de su mercado [12].</w:t>
            </w:r>
          </w:p>
        </w:tc>
      </w:tr>
    </w:tbl>
    <w:p>
      <w:pPr>
        <w:spacing w:after="160" w:before="0"/>
      </w:pPr>
    </w:p>
    <w:p>
      <w:pPr>
        <w:pStyle w:val="Heading2"/>
      </w:pPr>
      <w:r>
        <w:t xml:space="preserve">Amenazas</w:t>
      </w:r>
    </w:p>
    <w:p>
      <w:pPr>
        <w:spacing w:after="100"/>
      </w:pPr>
      <w:r>
        <w:t xml:space="preserve">La principal es </w:t>
      </w:r>
      <w:r>
        <w:rPr>
          <w:b/>
        </w:rPr>
        <w:t xml:space="preserve">China</w:t>
      </w:r>
      <w:r>
        <w:t xml:space="preserve">, en torno al 27-30 % de las ventas [18]: las marcas locales de robots ya tienen el 55 % de las instalaciones [32], hay CNC chinos de muy bajo coste que Fanuc no cubre [22] y la empresa reconoce clientes perdidos por plazos largos [21]. La segunda es la </w:t>
      </w:r>
      <w:r>
        <w:rPr>
          <w:b/>
        </w:rPr>
        <w:t xml:space="preserve">IA física</w:t>
      </w:r>
      <w:r>
        <w:t xml:space="preserve">: si el valor pasa al software y a los modelos (NVIDIA, Google, SoftBank con ABB Robotics) [46, 49], el control propietario pesa menos; Fanuc responde abriendo su plataforma a ROS 2 y Python [48]. La tercera, </w:t>
      </w:r>
      <w:r>
        <w:rPr>
          <w:b/>
        </w:rPr>
        <w:t xml:space="preserve">aranceles</w:t>
      </w:r>
      <w:r>
        <w:t xml:space="preserve"> de EE. UU. sobre robots y máquinas CNC si la Sección 232 acaba en medidas [51]. Probabilidad: alta para la presión china (ya visible), media para las otras dos.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726.596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797.129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FY2016-FY2025: ingresos </w:t>
      </w:r>
      <w:r>
        <w:rPr>
          <w:b/>
          <w:bCs/>
        </w:rPr>
        <w:t xml:space="preserve">5,3 %</w:t>
      </w:r>
      <w:r>
        <w:t xml:space="preserve">, EBITDA </w:t>
      </w:r>
      <w:r>
        <w:rPr>
          <w:b/>
          <w:bCs/>
        </w:rPr>
        <w:t xml:space="preserve">2,9 %</w:t>
      </w:r>
      <w:r>
        <w:t xml:space="preserve">, BPA </w:t>
      </w:r>
      <w:r>
        <w:rPr>
          <w:b/>
          <w:bCs/>
        </w:rPr>
        <w:t xml:space="preserve">3,4 %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Diez años sin crecimiento estructural del margen. Las ventas pasaron de 536.942 M JPY (FY2016) a 857.831 M (FY2025), un 5,3 % anual, con dos ciclos completos: pico en FY2017 (726.596 M y margen EBIT del 31,6 %), valle en FY2019 (508.252 M y 17,4 %), récord de ventas en FY2022 (851.956 M y 22,5 %) y nuevo valle de margen en FY2023 (17,8 %) [1, 2, 3, 4, 5, 6, 7, 8, 9, 10]. Todo el crecimiento es orgánico: no hay adquisiciones relevantes en la década. El margen bruto bajó del 45,2 % (FY2017) al 38,3 % (FY2025) y los gastos generales subieron del 13,6 % al 16,9 % de las ventas. En ese tiempo ROBOT pasó del 31 % al 44 % de las ventas y FA del 31 % al 24 %; Fanuc no publica márgenes por división, así que el efecto de la mezcla no se puede medir [1, 9]. FY2025 recupera 150 pb de margen EBIT (del 19,9 % al 21,4 %) con un 7,6 % más de ventas. El 1T FY26 sube al 23,2 % y en julio la empresa elevó la guía de FY2026 a 948.100 M de ventas y 218.000 M de resultado operativo (23,0 %) [11, 18].</w:t>
      </w:r>
    </w:p>
    <w:p>
      <w:pPr>
        <w:pStyle w:val="Heading2"/>
      </w:pPr>
      <w:r>
        <w:t xml:space="preserve">Ajustes y partidas no recurrentes</w:t>
      </w:r>
    </w:p>
    <w:p>
      <w:pPr>
        <w:spacing w:after="100"/>
      </w:pPr>
      <w:r>
        <w:t xml:space="preserve">Cifras reportadas en JGAAP, sin ajustes. `ebit` es el operating income; `ebitda` suma la amortización del estado de flujos y cuadra con el EBITDA de la tabla de diez años [23]. `resultado_financiero` = BAI − EBIT: en FY2025, 43.722 M = intereses 7.537 + dividendos 3.370 + participadas 30.531 + otros 6.110 − gastos no operativos 3.826 [1]. Partidas extraordinarias: +25.081 M en FY2018 (ganancia por traspaso de obligaciones de pensiones), −1.973 M en FY2019 y −1.224 M en FY2022 (deterioros) y −478 M en FY2021 [5, 7, 8]. Las participadas, BEIJING-FANUC Mechatronics y SHANGHAI-FANUC Robotics (50 % cada una) [24], van por puesta en equivalencia fuera del EBIT (`participadas_en_ebitda` = null): 30.531 M en FY2025 (13,4 % del BAI) y 11.371 M solo en el 1T FY26 [1, 11]. Valen 167.210 M en balance a mar-26 (155.976 M a mar-25) [25]; dividendos cobrados de ellas, unos 23.400 M en FY2025 (estimación propia: intereses y dividendos cobrados 34.318 M menos ingresos por intereses y dividendos 10.907 M) [1]. Split 5:1 el 1-abr-2023: BPA de FY2016-FY2021 y DPA de FY2016-FY2022 divididos entre 5; dividendo extraordinario de 525,90 JPY en FY2018 y 70,86 JPY en FY2019 (antes del split) [7, 8]. Sin acciones dilutivas.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196.363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24-abr-2026 (cierre de FY2025) el mensaje fue de demanda: los proyectos de robots de «varios miles de unidades» ligados a la IA física se estaban convirtiendo en pedidos por encima de lo previsto; EE. UU. reorientaba la inversión del automóvil del eléctrico a los híbridos y la combustión, y China adelantaba pedidos de CNC por la máquina herramienta para piezas de semiconductores de IA, centros de datos y humanoides [22]. Los analistas preguntaron por qué la guía de FY2026 era menor que cuatro veces los pedidos del 4T (respuesta: parte eran entregas futuras) y por qué la recompra de hasta 50.000 M de 2025 apenas se ejecutó (553 M, porque la cotización se mantuvo alta). La dirección admitió que su caja es elevada y aprobó otra de hasta 50.000 M [1, 22]. En julio el discurso pasó de la demanda a la oferta: parte del salto de los pedidos de FA (+63,8 %) son clientes que piden antes porque los plazos de entrega se han alargado, y en China algunos clientes se han ido a la competencia por esos plazos, aunque la empresa rehusó concluir que pierde cuota [21]. Justificó que el beneficio crezca menos que las ventas en la guía por el coste de componentes, el desfase en trasladarlo a precios y los aranceles de EE. UU., y anunció más inversión en capacidad para FA [21]. No dio cartera de pedidos ni cuantificó cuánto pedido es adelantado. Las cifras de cada trimestre salen de restar los acumulados de los Tanshin trimestrales; el 2T, el 3T y el 4T no se publican sueltos [1, 2, 11, 12, 13, 14, 15, 16, 17].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1.363.155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1.729.080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1.461.590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1.625.340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1.437.775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1.512.499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1.625.191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1.783.964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1.873.536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1.615.376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-539.079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1.705.556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1.937.031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425.422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-606.504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2.090.700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1.864.871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marca el ciclo de caja. Las existencias subieron de 164.268 M JPY (mar-21) a 362.546 M (mar-24) al acumular componentes durante la escasez de 2021-22, y bajaron a 292.186 M en mar-26. Esa liberación (52.489 M en FY2024 y 27.869 M en FY2025) sostuvo el flujo operativo [1, 2]. Los clientes crecen con las ventas (170.775 M, el 19,9 % de las ventas de FY2025). El patrimonio atribuido (1,86 billones JPY) es el 89 % del activo; la caja y los valores a corto (753.871 M) son el 36 % del activo y el 40 % del patrimonio. La caja vuelve a crecer desde FY2023 porque el reparto (dividendo del 60 % del beneficio y recompras pequeñas) queda por debajo del flujo libre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250.896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166.543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1.030.983</w:t>
      </w:r>
      <w:r>
        <w:t xml:space="preserve">, conversión </w:t>
      </w:r>
      <w:r>
        <w:rPr>
          <w:b/>
          <w:bCs/>
        </w:rPr>
        <w:t xml:space="preserve">73 %</w:t>
      </w:r>
      <w:r>
        <w:t xml:space="preserve"> del beneficio neto; adquisiciones 0, dividendos 946.081, recompras 154.428.</w:t>
      </w:r>
    </w:p>
    <w:p>
      <w:pPr>
        <w:spacing w:after="100"/>
      </w:pPr>
      <w:r>
        <w:t xml:space="preserve">La conversión del beneficio en caja es irregular. En FY2016-FY2018 un capex de 87.509-125.324 M JPY (14-20 % de las ventas), para ampliar las fábricas de robots y ROBOMACHINE, dejó el flujo libre entre el 27 % y el 40 % del beneficio [8, 9, 10]. En FY2021-22 la acumulación de existencias recortó el flujo operativo a 99.505 M en FY2022 (conversión del 31 %) [4]. En FY2024-25, con capex de 40.805 M y 21.181 M y existencias liberándose, el flujo libre fue de 214.468 M y 229.715 M, 1,4 veces el beneficio [1, 2]. Fanuc no separa el capex de mantenimiento del de crecimiento. Estimación propia: el de mantenimiento ronda la amortización (45-50 mil M anuales), así que el de FY2025 se quedó por debajo. La empresa anticipa más inversión para FA en FY2026 (7.400 M en el 1T) [18, 21]. Los intereses y dividendos cobrados (34.318 M en FY2025) van en el flujo operativo; no hay intereses pagados ni pagos de arrendamientos separados.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ShinNihon LLC (EY新日本有限責任監査法人)</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JGAAP, un solo segmento, sin deuda, sin fondo de comercio, sin I+D capitalizada (44.959 M JPY de gasto en FY2025) y sin acciones dilutivas [1, 25]. EY ShinNihon audita a Fanuc desde 1975 (51 ejercicios); los dos socios firmantes llevan siete años o menos [25]. Su informe de FY2025 es favorable sin salvedades [24]. El Tanshin no está auditado, pero sus cifras anuales coinciden con el balance y la cuenta auditados de la convocatoria [1, 24]. Los deterioros son pequeños (1.973 M en FY2019 y 1.224 M en FY2022) y la única partida extraordinaria relevante fue la ganancia de 25.081 M por el traspaso de obligaciones de pensiones en FY2018 [7, 8]. Lo que más pesa fuera del resultado operativo son las dos participadas chinas al 50 %: el 13,4 % del BAI de FY2025, sin consolidar, con un balance que no se publica [1]. Los informes del 1T y el 3T no traen estado de flujos (en Japón solo es obligatorio el semestral), así que el flujo trimestral no se puede seguir [11].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sin consolidar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BEIJING-FANUC y SHANGHAI-FANUC Robotics (50 % cada una) aportan 30.531 M JPY (13,4 % del BAI de FY2025) y 11.371 M solo en el 1T FY26, sin desglose de ventas ni de deuda [1, 11, 24].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51 años de mandato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ShinNihon desde 1975; los socios rotan (siete años o menos), pero la firma no cambia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Oscilación del inventario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pasaron de 164.268 M a 362.546 M y a 292.186 M en cinco años; explican gran parte de la diferencia entre beneficio y caja [1, 3,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de clientes subieron de 26.785 M a 35.173 M en FY2025, en línea con los pedidos adelantados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Reclasificaciones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Pequeñas reclasificaciones de gastos no operativos (diferencias de cambio, bajas de inmovilizado) en FY2019, FY2024 y FY2025; no afectan al resultado operativo [1, 2, 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657.499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826.648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898.717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1.139.224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3,9 % · </w:t>
      </w:r>
      <w:r>
        <w:rPr>
          <w:b/>
          <w:bCs/>
        </w:rPr>
        <w:t xml:space="preserve">WACC</w:t>
      </w:r>
      <w:r>
        <w:t xml:space="preserve">: 9,6 %.</w:t>
      </w:r>
    </w:p>
    <w:p>
      <w:pPr>
        <w:spacing w:after="100"/>
      </w:pPr>
      <w:r>
        <w:t xml:space="preserve">Fanuc crea valor, pero con poco margen y a ciclos. El ROIC del FY2025 es del 12,1 %, frente a un WACC del 9,58 %: 2,5 puntos de diferencia. En diez años osciló entre el 25,5 % (FY2017) y el 7,9 % (FY2019), y quedó por debajo del WACC en FY2019 y FY2023. Lo mueve el margen, no la rotación: el capital invertido rota apenas 0,43 veces porque el circulante es el 48,6 % de las ventas (201 días de existencias) [1]. El ROIC incremental de la década es solo del 3,9 %: el capital invertido pasó de 594.696 M a 1,13 billones de JPY y el beneficio operativo después de impuestos apenas creció. El ROE (9,3 %) está por debajo del coste de los fondos propios porque un tercio del activo es caja que rinde menos del 1 % [1]. Aun así, su ROIC de grupo dobla el de Yaskawa (5,9 %) y supera el de Mitsubishi Electric (8,4 %), según Stock Analysis [81, 91].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-712.268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-762.493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A 31-mar-2026: caja y depósitos 718.071 M JPY y valores negociables a corto 35.800 M, en total 753.871 M (en `caja`); de ellos, 615.075 M son efectivo y equivalentes según el estado de flujos y el resto, depósitos a más de tres meses [1]. A 30-jun-2026: 721.468 M + 40.800 M = 762.268 M [11]. Aparte, inversiones a largo plazo (investment securities) de 223.287 M a mar-26 y 231.110 M a jun-26: 167.210 M (a mar-26) son participadas no consolidadas por puesta en equivalencia y el resto, unos 56.077 M, acciones y otros valores [1, 11, 25]. No publica líneas de crédito.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covenants ni garantías relevantes publicadas. Pasivo neto por prestaciones definidas: 20.191 M JPY a mar-26 (31.208 M a mar-25), con un activo de 1.310 M; provisión de garantías, 8.870 M [1]. Pasivos por contrato (anticipos de clientes) de 35.173 M a mar-26, frente a 26.785 M un año antes, dentro de «otros pasivos corrientes» [25]: suben con los pedidos adelantados. La matriz aplica JGAAP, sin NIIF 16: los arrendamientos operativos no están en balance y no hay una línea de obligaciones por arrendamiento (las filiales extranjeras aplican NIIF 16 desde FY2019 sin importe material separado), por lo que `arrendamientos` = 0 [1, 7]. Participadas por puesta en equivalencia (BEIJING-FANUC Mechatronics y SHANGHAI-FANUC Robotics, 50 % cada una): 167.210 M en balance a mar-26, 30.531 M de resultado en FY2025 y unos 23.400 M de dividendos cobrados (estimación propia) [1, 24, 25]. Autocartera de 49,1 M de acciones a jun-26; la norma es amortizar lo que exceda el 5 % del capital emitido [1, 11].</w:t>
      </w:r>
    </w:p>
    <w:p>
      <w:pPr>
        <w:pStyle w:val="Heading1"/>
      </w:pPr>
      <w:r>
        <w:t xml:space="preserve">12. Asignación de capital</w:t>
      </w:r>
    </w:p>
    <w:p>
      <w:pPr>
        <w:pStyle w:val="Confianza"/>
        <w:spacing w:after="100"/>
      </w:pPr>
      <w:r>
        <w:t xml:space="preserve">Confianza: Alta</w:t>
      </w:r>
    </w:p>
    <w:p>
      <w:pPr>
        <w:spacing w:after="100"/>
      </w:pPr>
      <w:r>
        <w:t xml:space="preserve">Dividendo del 60 % del beneficio consolidado como política básica; recompras flexibles según la cotización y la inversión en crecimiento, y amortización anual de la autocartera que exceda el 5 % del capital emitido [1]. En FY2018-19 la política incluía además dividendos extraordinarios para llevar el retorno total medio de cinco años al 80 % (525,90 y 70,86 JPY por acción antes del split) [7, 8]. El 24-abr-2026 aprobó una recompra de hasta 10 M de acciones (1,07 %) o 50.000 M JPY entre mayo de 2026 y abril de 2027 [1]. La anterior, también de hasta 50.000 M, se ejecutó solo por 553 M [1, 22]. Dividendo de FY2025: 107,09 JPY (51,33 + 55,76)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Asignador prudente pero pasivo. En diez años no compró ninguna empresa y devolvió 946.081 M en dividendos y 154.428 M en recompras, más que todo el flujo libre de la década (1,03 billones) [1, 2, 3, 4, 5, 6, 7, 8, 9, 10]. El problema es que la caja no baja: 712.268 M después de la última recompra, el 12 % de la capitalización, con el ROE en el 9,3 %. Las recompras dependen del precio: la de 50.000 M de 2025 se quedó en 553 M «porque la cotización se mantuvo alta» y la de 2026 se completó entre julio y el 17-sep-2026 a un precio medio de unos 6.047 JPY (estimación propia: 49.999,8 M entre 8,27 M de acciones) [22, 60]. El ciclo de capex de FY2016-FY2018 (hasta el 19,7 % de las ventas) llegó justo antes de la caída de FY2019, y el de FY2025 (2,5 %) está por debajo de la amortización: la dirección ya anuncia más inversión en FA [21]. Sin activista en el capital [65], la presión viene del diálogo con gestoras, que preguntan por la caja y el ROE [67].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de la casa (entró en 1993); consejero desde 2008, presidente y COO en 2016 y CEO desde abril de 2019 [25]. Con él como CEO las ventas pasaron de 508.252 M JPY (FY2019) a 857.831 M JPY (FY2025) y el beneficio operativo de 88.350 M a 183.763 M JPY [1, 6]. Tiene 54.560 acciones, que suben unas 8.000 al año por las acciones restringidas (38.560 en 2024) [24, 57, 58].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 director general de Finanzas Corporativas y de la Secretaría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Fanuc en 1992, fue director financiero de Fanuc Europe, pasó por LIXIL y Permasteelisa (2010-2015) y volvió en 2015; CFO desde junio de 2022 y consejero desde junio de 2023 [25]. Tiene 13.270 acciones [24]. En FY2025 cobró 140 M JPY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Hitachi (presidente de Hitachi-GE Nuclear Energy) y presidente de la Japan Atomic Energy Association; consejero externo de Fanuc desde 2022 y presidente del consejo desde julio de 2025, cuando todas las presidencias del consejo y de sus comités pasaron a consejeros externos [24, 25, 67]. Tiene 500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FANUC America desde 1999 y su CEO desde julio de 2016; consejero de la matriz desde 2020 [25]. FANUC America facturó 228.485 M JPY en FY2025 (más del 10 % de las ventas del grupo) [25]. Fue el consejero mejor pagado en FY2025: 420 M JPY, 374 de ellos de la filial [25]. Tiene 4.780 acciones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Hiroshi Noda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Executive Managing Officer; director general de la División de I+D de FA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CNC y servos (FA) [23, 53].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Kenichiro Abe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I+D de robots [23, 53]. No es consejero, por lo que no se publican su participación ni su retribución.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Satoshi Takatsugi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Senior Managing Officer; director general de la División de I+D de ROBOMACHINE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 I+D de ROBODRILL, ROBOSHOT y ROBOCUT [23, 53]. No es consejero, por lo que no se publican su participación ni su retribución.</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guía anual al presentar resultados (COVID-19); solo la del primer semestre: ventas 197.900 y beneficio operativo 18.900 M JPY [7]. Primera guía anual en octubre de 2020: ventas 502.500, beneficio operativo 85.400 y beneficio neto 71.800 M JPY [66]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230.411 y beneficio operativo 32.321 M JPY [66]. Año: ventas 551.287, beneficio operativo 112.514 y beneficio neto 94.012 M JPY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657.100, beneficio operativo 148.400 y beneficio neto 120.500 M JPY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733.008, beneficio operativo 183.240 y beneficio neto 155.273 M JPY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825.500, beneficio operativo 197.300 y beneficio neto 166.200 M JPY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851.956, beneficio operativo 191.359 (un 3 % por debajo) y beneficio neto 170.587 M JPY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819.500, beneficio operativo 156.300 y beneficio neto 137.100 M JPY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795.274, beneficio operativo 141.919 (un 9 % por debajo) y beneficio neto 133.159 M JPY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746.400, beneficio operativo 121.000 y beneficio neto 107.300 M JPY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797.129, beneficio operativo 158.846 y beneficio neto 147.557 M JPY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guía anual en abril de 2025 (la empresa dijo que no podía calcularla razonablemente); primera guía el 25-7-2025: ventas 807.000, beneficio operativo 159.500 y beneficio neto 143.000 M JPY [2,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857.831, beneficio operativo 183.763 y beneficio neto 166.543 M JPY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la casa y estable, con poca exposición personal al capital: el CEO tiene un 0,006 % y lo que acumula son acciones restringidas [24, 25]. Fanuc da guía anual y semestral y la revisa cada trimestre, pero no la dio al presentar resultados en 2020 (COVID) ni en abril de 2025 [2, 7]. Contra la guía inicial batió en cuatro de seis años y falló en FY2023, con el beneficio operativo un 9 % por debajo [3, 4]. Para FY2026 subió en julio la guía de beneficio operativo de 212.200 a 218.000 M JPY [1, 11]. El único relevo de cúpula fue la salida en junio de 2025 de Yoshiharu Inaba, presidente del consejo desde 2016 y CEO de 2003 a 2016; la presidencia pasó a un externo [27, 67]. La sucesión la lleva la Comisión de Nombramientos y Retribuciones, sin plan publicado [52].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Kenji Yamaguchi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ejecutivo y CEO (President and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Ryuji Sasuga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Senior Managing Officer y director financiero (CFO)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J. Cicco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 de FANUC America Corporation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Hiroto Uozumi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Naoko Yamazaki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Yoko Takeda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Toshiya Okada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miembro a tiempo completo del Comité de Auditoría y Supervisión (ex directivo de la casa)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Hidetoshi Yokoi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independiente (catedrático emérito de la Universidad de Tokio)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Mieko Tomita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externa independiente (abogada, Nishi &amp; Partners)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 Auditoría y Supervisión; Comisión de 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Shigeo Igashima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 independiente (auditor de cuentas y asesor fiscal)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Comité de Auditoría y Supervisión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Toshiya Okada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 (fondos de pensiones e índices japoneses)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218,49 M de acciones a 31-3-2026; es un registro de custodia, no un inversor único [24,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Custodio nominal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96,28 M de acciones a 31-3-2026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Nomura Asset Management (con Nomura Securities)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8,30 % al 9,26 % (más 0,11 % de Nomura Securities) según el informe de cambio a 15-5-2026; la empresa no lo incluye entre los diez primeros porque no puede confirmar la titularidad real [52,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(grupo, varias entidades)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informe de gran participación a 31-5-2023; la suma de las trece entidades del grupo da un 8,3 % (estimación propia sumando los porcentajes declarados). No hay informes posteriores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Amova Asset Management y Sumitomo Mitsui Trust Asset Management (codetentores)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Gestoras de fondos (informe de gran participación)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4,13 % y 2,96 % según el informe de cambio a 15-9-2025 (antes 3,86 % y 2,92 %) [65]. Porcentaje sobre acciones emitidas (con autocartera) según los informes de gran participación; estas acciones suelen estar registradas a nombre de los custodios, así que se solapan con las dos primeras filas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Citibank N.A. - NY, depositario de los ADR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Depositario de ADR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27,71 M de acciones a 31-3-2026 [52]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49,22 M de acciones a 31-3-2026 (5,01 % del capital emitido); la política es amortizar cada año lo que supere el 5 %: 13,04 M de acciones amortizadas en mayo de 2025 y 0,11 M en mayo de 2026 [61, 62]. Recompras en mercado de hasta 50.000 M JPY aprobadas en abril de 2025 [63] y otras de 50.000 M JPY en abril de 2026 (hasta 10 M de acciones, plazo hasta abril de 2027), agotadas el 17-9-2026 con 8,27 M de acciones compradas [59, 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ejecutivos cobran fijo, un bonus anual en efectivo y acciones restringidas que no pueden vender hasta dejar la empresa [52]. El bonus se ancla al beneficio neto del año anterior, con techo en el 0,7 % de ese beneficio: el 80 % se modula con el margen ordinario y el ROE, y el 20 % con compromiso de la plantilla, puntuación ESG y emisiones [52]. </w:t>
      </w:r>
      <w:r>
        <w:rPr>
          <w:b/>
        </w:rPr>
        <w:t xml:space="preserve">No hay objetivo de beneficio</w:t>
      </w:r>
      <w:r>
        <w:t xml:space="preserve">: la empresa dice que el bonus no depende de cumplir ninguno [52]. Las acciones restringidas (hasta 350 M JPY al año) no llevan métricas de desempeño; en agosto de 2026 se entregaron 7.840 a tres consejeros [52, 69]. Hay recuperación de acciones por conducta indebida [52]. En FY2025 el CEO cobró 366 M JPY y Michael J. Cicco 420 M [25]. La junta no vota la retribución desde 2021 [52, 54, 55, 56].</w:t>
      </w:r>
    </w:p>
    <w:p>
      <w:pPr>
        <w:pStyle w:val="Heading2"/>
      </w:pPr>
      <w:r>
        <w:t xml:space="preserve">Operaciones vinculadas, estructura de control y defensas</w:t>
      </w:r>
    </w:p>
    <w:p>
      <w:pPr>
        <w:spacing w:after="100"/>
      </w:pPr>
      <w:r>
        <w:t xml:space="preserve">Fanuc no tiene accionista de control ni matriz, y los extranjeros superan el 30 % [52]. Los dos primeros accionistas son custodios nominales (Master Trust Bank, 23,4 %; Custody Bank, 10,3 %), no inversores con voto unitario [52]. Una sola clase de acciones, sin blindajes ni píldoras; los consejeros se eligen cada año y los del Comité de Auditoría cada dos [25, 52]. Ningún activista aparece en los informes de gran participación de 2023-2026, solo gestoras [65]; en el diálogo de FY2025 los accionistas preguntaron por la caja, el coste del capital y el ROE [67]. Las participaciones cruzadas suman 11 cotizadas por 51.839 M JPY (31.877 M un año antes, por precio), sin ventas en FY2025; la mayor es Fuji Electric (28.399 M), que también es accionista de Fanuc [25]. No constan operaciones vinculadas relevantes [52].</w:t>
      </w:r>
    </w:p>
    <w:p>
      <w:pPr>
        <w:pStyle w:val="Heading2"/>
      </w:pPr>
      <w:r>
        <w:t xml:space="preserve">Señales de alerta</w:t>
      </w:r>
    </w:p>
    <w:p>
      <w:pPr>
        <w:pStyle w:val="ListParagraph"/>
        <w:numPr>
          <w:ilvl w:val="0"/>
          <w:numId w:val="2"/>
        </w:numPr>
        <w:spacing w:after="60"/>
      </w:pPr>
      <w:r>
        <w:t xml:space="preserve">Pruebas de compatibilidad electromagnética no conformes en ROBOCUT para Europa: en abril de 2024 se suspendieron los envíos a Europa y se creó una comisión de investigación externa; el informe (noviembre-diciembre de 2024) confirmó la mala conducta y los envíos se reanudaron en julio-agosto de 2024 con medidas correctoras. La respuesta: proyecto de prevención liderado por el presidente y una División de Gestión de Calidad independiente desde abril de 2025 con poder para parar envíos [28, 64].</w:t>
      </w:r>
    </w:p>
    <w:p>
      <w:pPr>
        <w:pStyle w:val="ListParagraph"/>
        <w:numPr>
          <w:ilvl w:val="0"/>
          <w:numId w:val="2"/>
        </w:numPr>
        <w:spacing w:after="60"/>
      </w:pPr>
      <w:r>
        <w:t xml:space="preserve">El consejero del Comité de Auditoría Toshiya Okada, ex directivo de la casa, recibió un 9,7 % de votos en contra en la junta de 2025 (90,1 % a favor), el peor resultado individual de las tres últimas juntas [55].</w:t>
      </w:r>
    </w:p>
    <w:p>
      <w:pPr>
        <w:pStyle w:val="ListParagraph"/>
        <w:numPr>
          <w:ilvl w:val="0"/>
          <w:numId w:val="2"/>
        </w:numPr>
        <w:spacing w:after="60"/>
      </w:pPr>
      <w:r>
        <w:t xml:space="preserve">El voto a favor del presidente Yamaguchi fue del 95,3 % en 2024 y del 95,8 % en 2025, y subió al 99,3 % en 2026; el del entonces presidente del consejo Yoshiharu Inaba fue del 93,4 % en 2024, antes de su salida en 2025 [54, 55, 56].</w:t>
      </w:r>
    </w:p>
    <w:p>
      <w:pPr>
        <w:pStyle w:val="ListParagraph"/>
        <w:numPr>
          <w:ilvl w:val="0"/>
          <w:numId w:val="2"/>
        </w:numPr>
        <w:spacing w:after="60"/>
      </w:pPr>
      <w:r>
        <w:t xml:space="preserve">El bonus de los consejeros no tiene objetivo de beneficio y el incentivo en acciones no tiene métricas de desempeño: la retribución variable no premia de forma explícita el rendimiento sobre el capital [52].</w:t>
      </w:r>
    </w:p>
    <w:p>
      <w:pPr>
        <w:pStyle w:val="ListParagraph"/>
        <w:numPr>
          <w:ilvl w:val="0"/>
          <w:numId w:val="2"/>
        </w:numPr>
        <w:spacing w:after="60"/>
      </w:pPr>
      <w:r>
        <w:t xml:space="preserve">Las participaciones cruzadas (51.839 M JPY) no se redujeron en FY2025 pese a la política declarada de reducir las de «significado tenue» [25, 52].</w:t>
      </w:r>
    </w:p>
    <w:p>
      <w:pPr>
        <w:pStyle w:val="ListParagraph"/>
        <w:numPr>
          <w:ilvl w:val="0"/>
          <w:numId w:val="2"/>
        </w:numPr>
        <w:spacing w:after="60"/>
      </w:pPr>
      <w:r>
        <w:t xml:space="preserve">Nomura Asset Management ha ido subiendo su participación hasta el 9,26 % (mayo de 2026); es una gestora de fondos, no un activista declarado [52, 65].</w:t>
      </w:r>
    </w:p>
    <w:p>
      <w:pPr>
        <w:pStyle w:val="ListParagraph"/>
        <w:numPr>
          <w:ilvl w:val="0"/>
          <w:numId w:val="2"/>
        </w:numPr>
        <w:spacing w:after="60"/>
      </w:pPr>
      <w:r>
        <w:t xml:space="preserve">Auditor externo: Ernst &amp; Young ShinNihon LLC firma las cuentas de FY2025 [24]; no consta rotación reciente del auditor en los documentos revisados.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Fanuc para FY2026 (abr-2026 a mar-2027), revisada al alza con el primer trimestre el 31-jul-2026: ventas de 948.100 M JPY (antes 909.600 M; +4,2 %), beneficio de explotación de 218.000 M (antes 212.200 M; +2,7 %), beneficio ordinario de 271.200 M (antes 257.000 M; +5,5 %) y beneficio neto atribuido de 198.000 M (antes 184.900 M; +7,1 %), BPA de 212,18 JPY; supone 150 JPY/USD y 175 JPY/EUR de julio de 2026 a marzo de 2027 [11]. En estos documentos Fanuc no publica objetivos a medio plazo. El consenso va por delante de la guía: EBIT de 228.206 M frente a 218.000 M (+4,7 %) [71] y beneficio ordinario de 277.200 M frente a 271.200 M [76].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a 7-oct-2026, columna «2027» (ejercicio a mar-2027); 19 analistas en el consenso; no da el número por línea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a 7-oct-2026, columna «2028» (ejercicio a mar-2028)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268.778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a 7-oct-2026, columna «2029» (ejercicio a mar-2029)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960.771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969.483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276.885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1.035.109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1.069.146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1.092.417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307.914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317.961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7.278,89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4.600,00 – 8.700,00</w:t>
            </w:r>
          </w:p>
        </w:tc>
      </w:tr>
    </w:tbl>
    <w:p>
      <w:pPr>
        <w:spacing w:after="160" w:before="0"/>
      </w:pPr>
    </w:p>
    <w:p>
      <w:pPr>
        <w:pStyle w:val="Heading2"/>
      </w:pPr>
      <w:r>
        <w:t xml:space="preserve">Revisiones de estimaciones</w:t>
      </w:r>
    </w:p>
    <w:p>
      <w:pPr>
        <w:spacing w:after="100"/>
      </w:pPr>
      <w:r>
        <w:t xml:space="preserve">Solo una fuente gratuita da estimaciones completas (MarketScreener [71]); Investing coincide en el precio objetivo (7.278,9 JPY; máx. 8.700, mín. 4.600) y da 8 comprar, 10 mantener y 1 vender [73]; Kabuyoho da un objetivo de 7.363 JPY [76]. No hay serie gratuita de revisiones de BPA o EBITDA a 3 y 12 meses. Movimientos visibles [72]: en noviembre de 2025 BofA y Deutsche Bank bajaron a neutral/mantener (objetivo 5.300 JPY); en mayo de 2026 Jefferies subió el objetivo a 7.000 JPY (mantener); en agosto de 2026 HSBC subió a comprar (7.600 JPY). Goldman Sachs está en vender con 4.600 JPY y Nomura en comprar con 8.500 JPY [73]. Fanuc subió la guía el 31-jul-2026 [11].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Hechos para el comentario: en un año la acción ha dado un 39,6 % (rentabilidad total) frente al 32,6 % del ETF TOPIX y el 19,6 % del ETF TOPIX-17 Maquinaria, pero en lo que va de 2026 solo un 3,2 % frente al 25,4 % del TOPIX [70]. Rango de 52 semanas de 4.400 a 8.880 JPY; el precio de 6.220 JPY (6-oct) está un 30 % por debajo del máximo [70]. A cinco y diez años va muy por detrás del índice (8,9 % y 7,7 % anual frente a 19,5 % y 14,6 %) [70]. Beta de 1,47 frente al ETF TOPIX (60 meses) y volatilidad de un año del 53,1 % [70]. Posiciones cortas declaradas (umbral 0,5 %): solo Morgan Stanley MUFG, con el 0,51 % el 1-oct-2026 [103]. El 7-oct cerró a 6.164 JPY (−0,9 %) [76]. Los resultados del segundo trimestre de FY2026 están previstos para el 23-oct-2026 (fecha no confirmada aún en la web de Fanuc) [75, 76]; Fanuc, fundada en 1972 y con sede en Oshino-mura (Yamanashi), los publica en su web de inversores [77].</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Fanuc siempre ha cotizado caro: la mediana de diez años es de 17,1x EV/EBITDA y 29,2x PER de los últimos 12 meses, y hoy está en 19,4x y 32,3x (percentiles 80 y 70 de su propia historia, con primas del 14 % y el 11 %). Lo que ha cambiado no es el múltiplo sino el tipo de interés: el bono japonés a 10 años rinde hoy un 3,103 % [79], y al cierre de marzo rindió entre −0,05 % y 0,39 % de 2016 a 2023, un 1,50 % en 2025 y un 2,37 % en 2026 [106]. Un PER de 32x con el bono al 3 % implica una prima de riesgo mucho menor que la misma cifra con el bono al 0 %. Y la prima frente a la historia no se explica por crecimiento: el BPA creció un 3,4 % anual entre FY2016 y FY2025.</w:t>
      </w:r>
    </w:p>
    <w:p>
      <w:pPr>
        <w:pStyle w:val="Heading1"/>
      </w:pPr>
      <w:r>
        <w:t xml:space="preserve">18. Comparables cotizados</w:t>
      </w:r>
    </w:p>
    <w:p>
      <w:pPr>
        <w:pStyle w:val="Confianza"/>
        <w:spacing w:after="100"/>
      </w:pPr>
      <w:r>
        <w:t xml:space="preserve">Confianza: Media</w:t>
      </w:r>
    </w:p>
    <w:p>
      <w:pPr>
        <w:spacing w:after="100"/>
      </w:pPr>
      <w:r>
        <w:t xml:space="preserve">Hechos de método: capitalización y valor empresa de Stock Analysis al cierre del 7-oct-2026 (Rockwell, 6-oct) [81, 83, 85, 87, 89, 91, 93, 95]; ventas, EBITDA y BPA de los últimos y próximos 12 meses del mismo proveedor, MarketScreener [80, 82, 84, 86, 88, 90, 92, 94]. Conversión con el BCE del 6-oct-2026: 178,15 JPY/EUR y 158,09 JPY/USD (cruce con 1,1269 USD/EUR) [78]. LTM = último ejercicio cerrado (marzo de 2026 en las japonesas, febrero de 2026 en Yaskawa, 2025 en Nabtesco) y, en Siemens y Rockwell (ejercicio a septiembre), la estimación del ejercicio que acaba de cerrar (sep-2026, sin publicar). NTM = oct-2026 a sep-2027, ponderando los dos ejercicios estimados por meses (marzo: 6/12 y 6/12; Yaskawa: 5/12 y 7/12; Nabtesco: 3/12 y 9/12; Siemens y Rockwell: el ejercicio a sep-2027 entero). Crecimiento = NTM sobre LTM anualizado por los meses entre el fin de cada periodo (18; Yaskawa 19; Nabtesco 21; Siemens y Rockwell 12). Al valor empresa de Keyence se le restan 1.618.699 M de inversiones a largo plazo y al de SMC 77.140 M [96, 97]; en el resto no se ajusta. ROIC y rentabilidad por FCF, de Stock Analysis; DN/EBITDA = deuda neta de Stock Analysis entre EBITDA LTM de MarketScreener. Rockwell: BPA ajustado de MarketScreener.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Fanuc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5.752.965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Yaskawa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Keyence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Nabtesco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587.220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Harmonic Drive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Mitsubishi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37.598.558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Rockwell Automation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7.912.405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14,8x / 20,4x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7.491,83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18,4x / 25,0x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5.347,55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7.689,63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 / 23,3x / 31,6x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892.503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3,8x / 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3.388,92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4.812,23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10,9 + 0,46 × crecimiento; R² = 0,19. El crecimiento explica poco los múltiplos de estos comparables (R² &lt; 0,3): la regresión no se usa en la valoración.</w:t>
      </w:r>
    </w:p>
    <w:p>
      <w:pPr>
        <w:spacing w:after="100"/>
      </w:pPr>
      <w:r>
        <w:t xml:space="preserve">Fanuc cotiza a 16,3x EV/EBITDA y 27,1x PER de los próximos 12 meses, frente a medianas de 14,8x y 23,3x de los ocho comparables: una prima del 10-16 %. Por margen (EBITDA del 27,2 %) y ROIC (12,1 %) solo la supera Keyence (52,4 % y 22,4 %), y Rockwell en ROIC (21,4 %); está muy por encima de Yaskawa (12,6 % de margen), Nabtesco o Mitsubishi Electric [72, 74, 80, 82, 84, 86, 88, 90, 92, 94]. Pero su crecimiento de los próximos 12 meses (9,7 % anualizado) es la mediana del grupo, y Keyence y SMC llevan previsiones del 20-21 % que inflan el suyo. La regresión múltiplo-crecimiento no explica nada (R² de 0,19). Usamos las medianas NTM, que dan 5.747,02 JPY (EV/EBITDA) y 5.352,17 JPY (PER). Una prima de calidad sobre Yaskawa se justifica; una prima sobre la mediana con el mismo crecimiento y el ciclo en máximos, no. Harmonic Drive (32,1x EV/EBITDA NTM) está fuera de rango, pero no mueve la mediana.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Robotics (robots industriales de ABB)</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SoftBank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total de 5.375 M USD por el 100 %; ventas de 2.279 M USD y EBITDA de 313 M USD en 2024 (US GAAP, pro forma, sin auditar; con el EBITA operativo de 277 M USD, 19,4x) [46]. Cierre previsto a mediados o finales de 2026.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Hillenbrand (maquinaria de procesado y de inyección, Milacron)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Lone Star Funds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32,00 USD por acción, valor empresa ≈ 3.800 M USD; prima del 37 % sobre el cierre no afectado del 12-ago-2025 [98]. Múltiplos sobre ventas de 2.673,8 M USD y EBITDA ajustado de 388,0 M USD del ejercicio a sep-2025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 (software de simulación)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valor empresa ≈ 10.000 M USD, prima del 19 % [100]. La nota da unas ventas de ≈ 600 M EUR; el EV/ventas usa 1,0815 USD/EUR del BCE del 30-oct-2024 [47]. Software, no equipos: múltiplo de otra naturaleza.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National Instruments (NI, test y medida)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 USD por acción, valor de las acciones de 8.200 M USD (no publica valor empresa ni EBITDA); ventas de 1.660 M USD en 2022; prima del 49 % sobre el cierre del 12-ene-2023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(máquina herramienta)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(OPA hostil, retirada)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Nidec lanzó la OPA el 4-abr-2025 y la retiró el 9-may-2025, tras la emisión gratuita de derechos de suscripción que Makino aprobó como defensa [102]. Precio y prima no verificados en documento original.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3.413,04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2.959,51 – 9.704,56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dicen poco del valor de Fanuc. La única comparable de verdad es la compra de ABB Robotics por SoftBank (5.375 M USD; 2,36x ventas y 17,2x EBITDA de 2024), pendiente de cierre en el segundo semestre de 2026 [46]: está por debajo del 19,4x EBITDA al que ya cotiza Fanuc, así que no deja prima. Hillenbrand (9,8x EBITDA) es maquinaria de proceso y Altair es software (15,4x ventas) [98, 100]. Con menos de tres múltiplos de EBITDA, el motor valora por EV/ventas y la mediana (3.413,04 JPY) mezcla negocios distintos: peso cero. Fanuc no es un objetivo plausible: capitalización de 5,75 billones de JPY, capital disperso sin accionista de control y una caja que encarecería aún más la operación [25].</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+12 %: la guía elevada en julio da +10,5 % con un yen a 150 por dólar en julio-marzo, el 1T creció un 17,7 % y el consenso espera +13,0 % [11, 18, 72]. FY2027e +7 % y FY2028e +4 %, algo por debajo del consenso (+6,8 % y +5,5 %), porque parte de los pedidos del 1T son adelantados [21]. FY2029e −6 %: Fanuc ha tenido una caída cada tres o cuatro años (FY2018-FY2019, −12,5 % y −20 %; FY2023, −6,7 %) y el base la incluye, más suave. Después, del 7 % al 2,5 %. El crecimiento medio de la proyección es del 4,3 % anual, frente al 5,3 % de FY2016-FY2025 y al 9,1 % de las instalaciones mundiales de robots desde 2020 [33].</w:t>
      </w:r>
    </w:p>
    <w:p>
      <w:pPr>
        <w:keepNext/>
        <w:spacing w:after="100"/>
      </w:pPr>
      <w:r>
        <w:rPr>
          <w:b/>
          <w:bCs/>
        </w:rPr>
        <w:t xml:space="preserve">Márgenes.</w:t>
      </w:r>
    </w:p>
    <w:p>
      <w:pPr>
        <w:spacing w:after="100"/>
      </w:pPr>
      <w:r>
        <w:t xml:space="preserve">Margen EBITDA del 28,3 % en FY2026e (guía de margen operativo del 23,0 % más una amortización del 5,2 %) y del 28,8 % en FY2027e-FY2028e, en línea con el consenso (28,6-29,1 %) [11, 72]. En la caída de FY2029e baja al 26,5 % (en FY2019 fue del 26,4 % y en FY2023 del 24,0 %) y a largo plazo queda en el 28,5 %, la mediana de FY2016-FY2025. No proyectamos la vuelta al 32-36 % de FY2016-FY2018: el margen bruto ha bajado del 45,2 % al 38,3 % con la mezcla hacia robots, los componentes y la competencia china [1, 9].</w:t>
      </w:r>
    </w:p>
    <w:p>
      <w:pPr>
        <w:keepNext/>
        <w:spacing w:after="100"/>
      </w:pPr>
      <w:r>
        <w:rPr>
          <w:b/>
          <w:bCs/>
        </w:rPr>
        <w:t xml:space="preserve">Inversión y circulante.</w:t>
      </w:r>
    </w:p>
    <w:p>
      <w:pPr>
        <w:spacing w:after="100"/>
      </w:pPr>
      <w:r>
        <w:t xml:space="preserve">Capex del 4,0 % de las ventas en FY2026e, el 4,5 % en FY2027e y el 5,0 % después, por encima del 2,5 % de FY2025 porque la dirección anuncia inversión en capacidad de FA [21]; la amortización baja del 5,2 % al 4,8 %, de modo que en el último año el capex la supera. El circulante comercial se queda en el 46-48 % de las ventas (48,6 % en FY2025; entre el 35,5 % y el 59,8 % en diez años): cada 100 JPY de ventas nuevas inmovilizan unos 47 JPY. Tipo impositivo del 28 %: el 25,5 % contable está rebajado por las participadas, que tributan en China, y el tipo legal japonés ronda el 30 %.</w:t>
      </w:r>
    </w:p>
    <w:p>
      <w:pPr>
        <w:keepNext/>
        <w:spacing w:after="100"/>
      </w:pPr>
      <w:r>
        <w:rPr>
          <w:b/>
          <w:bCs/>
        </w:rPr>
        <w:t xml:space="preserve">Coste del capital.</w:t>
      </w:r>
    </w:p>
    <w:p>
      <w:pPr>
        <w:spacing w:after="100"/>
      </w:pPr>
      <w:r>
        <w:t xml:space="preserve">Sin deuda, el WACC es el coste de los fondos propios: 9,58 %. Tasa libre: bono japonés a 10 años del 3,103 % el 6-oct-2026 (Ministerio de Finanzas) [79]. Beta de 1,26: la semanal de cinco años frente al ETF del TOPIX es 1,39 (estimación propia con los históricos de Yahoo; la mensual de 60 meses, 1,47) y se ajusta a la media con Blume (0,67 × 1,39 + 0,33) [70]; Stock Analysis da 0,94 frente a otro índice [74]. Prima de mercado del 5,14 % para Japón (Damodaran, enero de 2026, con la prima país) [104]. Sin prima adicional: Fanuc no tiene deuda ni riesgo de tamaño.</w:t>
      </w:r>
    </w:p>
    <w:p>
      <w:pPr>
        <w:keepNext/>
        <w:spacing w:after="100"/>
      </w:pPr>
      <w:r>
        <w:rPr>
          <w:b/>
          <w:bCs/>
        </w:rPr>
        <w:t xml:space="preserve">Valor terminal.</w:t>
      </w:r>
    </w:p>
    <w:p>
      <w:pPr>
        <w:spacing w:after="100"/>
      </w:pPr>
      <w:r>
        <w:t xml:space="preserve">Crecimiento a perpetuidad del 2,0 % en yenes: crecimiento real cercano al 0,5 % más una inflación esperada del 1,5 %, coherente con un bono al 3,1 %. El múltiplo de salida de 15x (contraste) está en la mediana NTM de los comparables (14,8x); el Gordon implica 7,4x, y el múltiplo de 15x implicaría un crecimiento perpetuo del 5,69 %, imposible en yenes. Usamos Gordon.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1.295.444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89.674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2.744.387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5.538.024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1.075.208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1.152.838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2.228.047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712.268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3.278.508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3.544,66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4.049,19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3.715,23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3.331,68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3.408,40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3.647,59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3.898,85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4.036,02</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(WACC: 9,6 %)</w:t>
            </w:r>
          </w:p>
        </w:tc>
      </w:tr>
    </w:tbl>
    <w:p>
      <w:pPr>
        <w:spacing w:after="160" w:before="0"/>
      </w:pPr>
    </w:p>
    <w:p>
      <w:pPr>
        <w:spacing w:after="100"/>
      </w:pPr>
      <w:r>
        <w:t xml:space="preserve">El DCF da 3.544,66 JPY por acción, un 43,0 % por debajo del precio, con el valor terminal en el 52 % del valor empresa. El DCF inverso es la clave: con nuestros flujos, el precio de 6.220 JPY equivale a una rentabilidad anual del 5,6 %, frente al 9,58 % que exigimos, o a crecer un 21,6 % al año durante diez años en lugar del 4,3 %, o a un margen EBITDA del 52,5 %, el de Keyence. No es un problema de cifras: nuestras ventas y nuestro EBITDA quedan entre un 0,7 % y un 3,2 % por debajo del consenso de FY2026e-FY2028e. Es un problema de tasa: el precio descuenta unos 2,5 puntos de rentabilidad sobre el bono japonés para una cíclica con beta superior a uno. Ni con un WACC del 8,6 % y un crecimiento terminal del 3,0 % (4.227,27 JPY) el DCF llega al precio. Para pagar 6.220 JPY hay que creer que el ciclo de la IA física no tendrá caída y que los márgenes volverán a los de FY2016-FY2018.</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pedidos del 1T FY26 (+36,9 %, book-to-bill de 1,22) resultan ser en buena parte adelantados por los plazos de entrega, como admite la propia dirección [21]: cuando los plazos se normalizan, los clientes dejan de pedir y FY2027e cae como FY2019 (ventas −20 %, margen EBIT del 17,4 %) [7]. China (26,6 % de las ventas) sigue pasándose a marcas locales [21, 32] y la Sección 232 encarece la exportación a EE. UU. [51]. Crecimiento 1,5 puntos por debajo del base cada año, margen 1,5 puntos menor, WACC medio punto más alto y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elevada de FY2026 se cumple con algo de holgura (ventas +12 % frente al +10,5 % de la guía, porque el yen está en 158 por dólar y la guía supone 150) y el margen EBITDA sube al 28,3-28,8 %, en línea con el consenso [11, 72]. En FY2029e llega la corrección cíclica, más suave que la de FY2019 (ventas −6 %, margen del 26,5 %), y después el crecimiento converge al 2,5 % con el margen en el 28,5 %, la mediana de diez años.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4.636,51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física» convierte los proyectos de «varios miles de unidades» en una nueva ola de robots fuera del automóvil y el ciclo de máquina herramienta para semiconductores, servidores y humanoides se alarga [22, 49, 50]. Fanuc vuelve a márgenes de FY2021 (EBITDA del 31 %) y crece tres puntos más cada año que en el base; WACC medio punto menor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3.635,36 JPY (-41,6 %).</w:t>
      </w:r>
    </w:p>
    <w:p>
      <w:pPr>
        <w:spacing w:after="100"/>
      </w:pPr>
      <w:r>
        <w:t xml:space="preserve">La asimetría es negativa (−0,47x): incluso el alcista (4.636,51 JPY) queda un 25,5 % por debajo del precio, y el bajista (2.815,59 JPY) pierde un 54,7 %. El bajista no es cosmético: es FY2019 repetido, con una caída de ventas del 20 % y el margen operativo en el 17,4 %, y llegó justo después del máximo de FY2017 [7, 8, 9]. El valor ponderado es de 3.635,36 JPY. Lo que el precio necesita está fuera del alcista: crecer bastante más de siete puntos al año por encima del base, o una tasa de descuento cuatro puntos menor.</w:t>
      </w:r>
    </w:p>
    <w:p>
      <w:pPr>
        <w:pStyle w:val="Heading1"/>
      </w:pPr>
      <w:r>
        <w:t xml:space="preserve">22. Suma de partes</w:t>
      </w:r>
    </w:p>
    <w:p>
      <w:pPr>
        <w:pStyle w:val="Confianza"/>
        <w:spacing w:after="100"/>
      </w:pPr>
      <w:r>
        <w:t xml:space="preserve">Confianza: Alta</w:t>
      </w:r>
    </w:p>
    <w:p>
      <w:pPr>
        <w:spacing w:after="100"/>
      </w:pPr>
      <w:r>
        <w:t xml:space="preserve">Fanuc declara un único segmento: no publica resultado por división, solo ventas de FA, ROBOT, ROBOMACHINE y Servicio [1]. Sin márgenes por división, una suma de partes sería una suposición sobre otra suposición; la valoración se hace sobre 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JPY) · precio actual 6.22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7.278,89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5.747,02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7.491,83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5.352,17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9.704,56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3.992,52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6.251,10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objetivo ponderado:</w:t>
      </w:r>
      <w:r>
        <w:t xml:space="preserve"> 4.460,49 JPY (-28,3 % sobre 6.220,00).</w:t>
      </w:r>
    </w:p>
    <w:p>
      <w:pPr>
        <w:spacing w:after="100"/>
      </w:pPr>
      <w:r>
        <w:t xml:space="preserve">Puente a 30-jun-2026 [11]: sin deuda ni arrendamientos (JGAAP). Caja de 712.268 M: 721.468 M de efectivo y 40.800 M de valores a corto, menos los 49.999,8 M de la recompra de julio-septiembre [60]. Pensiones netas de impuestos: 13.675 M (19.536 M al 30 %). Minoritarios a valor contable (17.342 M). </w:t>
      </w:r>
      <w:r>
        <w:rPr>
          <w:b/>
        </w:rPr>
        <w:t xml:space="preserve">Participadas</w:t>
      </w:r>
      <w:r>
        <w:t xml:space="preserve"> (Shanghai-FANUC Robotics y Beijing-FANUC Mechatronics, al 50 %): valen 167.210 M en libros, pero ganaron 30.531 M en FY2025 y 11.371 M solo en el 1T FY26 [1, 11, 25]; las valoramos a 10x el resultado de FY2025 (305.310 M), con un descuento grande frente al PER de 27,1x de Fanuc por ser empresas conjuntas sin control en China. Otras inversiones a largo (participaciones cruzadas y bonos): 63.900 M que suman valor [25]. Pesos: DCF 40 %, comparables 45 %, escenarios 15 % y transacciones 0 % (tres operaciones heterogéneas). El DCF mide lo que importa en una cíclica con el bono al 3 %; los comparables pesan casi igual porque reflejan dónde puede cotizar Fanuc si el sector sigue con tasas implícitas bajas. La dispersión es grande, de 3.544,66 JPY por DCF a 5.549,6 por comparables, pero ningún método llega al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 (previsto)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(julio-septiembre)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FA tras el +63,8 % del 1T y margen frente al 23,0 % de la guía; primer estado de flujos desde marzo [75]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26-31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JIMTOF 2026, feria de máquina herramienta de Tokio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 la demanda de CNC y de los plazos de entrega del sector [105]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2026 (pendiente)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ABB Robotics a SoftBank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competidor con un dueño dispuesto a invertir en robótica con IA; referencia de 17,2x EBITDA [46]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 (plazo legal vencido en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EE. UU. sobre la Sección 232 (robots y maquinaria industrial)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a la importación de robots y CNC; las Américas son el 27,1 % de las ventas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book-to-bill baja de 1,0, confirmación de que los pedidos estaban adelantados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Finales de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FY2026, guía de FY2027 y posible nueva recompra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dirá si el ciclo sigue; una recompra mayor de 50.000 M atacaría la caja ociosa [22, 59]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 el +36,9 % del 1T se deshace cuando se normalizan los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sobre el DCF base (bajista: 2.815,59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semiconductores, servidores y humanoides; servicio (16,5 % de las ventas)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trimestral por debajo de 1,0 o pedidos JMTBA a China en negativo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el tipo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si el PER converge a la mediana de comparables (5.352,17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y dividendo del 60 % del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japonés a 10 años por encima del 3,5 % sin revisión al alza del BPA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pérdida de cuota frente a marcas locales y clientes que se van por plazos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dos puntos menos de crecimiento anual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y servicio de por vida; participadas al 50 % en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China por debajo del 25 % de las ventas con el mercado creciendo; marcas locales por encima del 60 % de las instalaciones chinas [32]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componentes, aranceles y desfase en trasladar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de margen EBITDA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en CNC; segunda y tercera fuente de componentes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trimestral por debajo del 21 %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por la Sección 232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 arancel no trasladado sobre la parte importada de las Américas)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Montaje y servicio en EE. UU.; competidores igual de expuestos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Proclamación presidencial sobre robots y maquinaria industrial [51]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Yen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Fanuc no publica su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ya supone 150 JPY/USD frente a 158 de contado [11, 78]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debajo de 145 JPY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ociosa y ROE por debajo del coste del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12 % de la capitalización rinde menos del 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50.000 M completada en septiembre [60]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por encima de 800.000 M en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Disrupción del robot por la IA física (software abierto, humanoides, competidores con NVIDIA)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 o bajista según quién capture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Alianzas con NVIDIA, Hitachi y Fujitsu y apertura a ROS 2 [48, 49, 50]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grandes proyectos de robots en EE. UU.</w:t>
            </w:r>
          </w:p>
        </w:tc>
      </w:tr>
    </w:tbl>
    <w:p>
      <w:pPr>
        <w:spacing w:after="160" w:before="0"/>
      </w:pPr>
    </w:p>
    <w:p>
      <w:pPr>
        <w:pStyle w:val="Heading2"/>
      </w:pPr>
      <w:r>
        <w:t xml:space="preserve">Pre-mortem</w:t>
      </w:r>
    </w:p>
    <w:p>
      <w:pPr>
        <w:spacing w:after="100"/>
      </w:pPr>
      <w:r>
        <w:t xml:space="preserve">Octubre de 2029: la acción ha caído un 40 %, hasta unos 3.700 JPY. Lo que pasó: los pedidos del 1T FY26 (+36,9 %) eran, como avisó la propia dirección, pedidos adelantados por plazos de entrega largos [21]. En el 3T FY2026 el book-to-bill bajó de 1,0; en FY2027 las ventas cayeron un 15 % y el margen operativo volvió al 18 %, como en FY2023. China, que pesaba un 30 % en el 1T, siguió pasando a fabricantes locales, que ya hacían el 55 % de las instalaciones de su país [32]. A la vez, el bono japonés subió al 3,5 % y el mercado dejó de pagar 30 veces beneficios por una cíclica cuyo BPA creció un 3,4 % anual durante una década: el PER bajó a la mediana del sector (23x) sobre un beneficio un 20 % menor. La IA física sí llegó, pero los proyectos de «varios miles de unidades» se los repartieron SoftBank-ABB, los fabricantes chinos y los integradores con software abierto. Lo que lo habría anticipado: el book-to-bill trimestral, los pedidos JMTBA a China y la diferencia entre el PER de Fanuc y el rendimiento del bono.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(desde 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26,6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tercer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(primer año)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Compromiso con proveedores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Supplier Engagement Leader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 FTSE4Good, FTSE Blossom Japan y su índice sectorial relativo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Fanuc revisó su materialidad en noviembre de 2024 con cinco asuntos: responsabilidad de suministro, cambio climático, tecnología orientada al cliente, fiabilidad y seguridad del producto, y desarrollo de las personas [23]. Los que mueven cifras son dos. </w:t>
      </w:r>
      <w:r>
        <w:rPr>
          <w:b/>
        </w:rPr>
        <w:t xml:space="preserve">Suministro</w:t>
      </w:r>
      <w:r>
        <w:t xml:space="preserve">: una interrupción para fábricas de clientes, porque sus CNC y robots están en las líneas de producción [23]; en 2026 los plazos se alargaron y cedió clientes en China [21]. </w:t>
      </w:r>
      <w:r>
        <w:rPr>
          <w:b/>
        </w:rPr>
        <w:t xml:space="preserve">Clima</w:t>
      </w:r>
      <w:r>
        <w:t xml:space="preserve">: las emisiones del uso de sus productos (alcance 3, categoría 11) superan con mucho a las propias; las de alcance 1 y 2 fueron de 121.000 t de CO₂ [23]. Objetivos: −42 % en alcance 1 y 2 en el FY2030 frente al FY2020, neutralidad en el FY2050 y −12,3 % en la categoría 11 en el FY2030 [23]. La eficiencia energética de servos y robots es a la vez argumento comercial [1].</w:t>
      </w:r>
    </w:p>
    <w:p>
      <w:pPr>
        <w:pStyle w:val="Heading2"/>
      </w:pPr>
      <w:r>
        <w:t xml:space="preserve">Controversias</w:t>
      </w:r>
    </w:p>
    <w:p>
      <w:pPr>
        <w:spacing w:after="100"/>
      </w:pPr>
      <w:r>
        <w:rPr>
          <w:b/>
        </w:rPr>
        <w:t xml:space="preserve">ROBOCUT (2024-25)</w:t>
      </w:r>
      <w:r>
        <w:t xml:space="preserve">: el 24 de abril de 2024 Fanuc comunicó que las máquinas ROBOCUT para Europa podían haberse ensayado de forma no conforme con las normas armonizadas de la Directiva de compatibilidad electromagnética; suspendió los envíos a Europa, los reanudó con contramedidas en julio y agosto de 2024 y recibió el informe del comité especial externo el 21 de noviembre de 2024, con medidas de cumplimiento, auditoría de calidad independiente y personal [28]. No hemos encontrado sanciones asociadas ni otros litigios relevantes en sus comunicaciones de los últimos tres años [30].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adelantados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281,9 mil M de pedidos del 1T FY26 tiene entrega más allá de seis meses, y cuál es la cartera de pedidos al 30 de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Distingue un ciclo real de un adelanto: el bajista vale un 54,7 % menos que el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por división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FA, ROBOT y ROBOMACHINE? ¿Explica la mezcla hacia robots la caída del margen bruto del 45,2 % al 38,3 %?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márgenes por división no se puede saber si el crecimiento de robots diluye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nivel de caja considera necesario la dirección y qué hará con los 712.268 M si las recompras siguen atadas al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12 % de la capitalización rinde menos del 1 % y deja el ROE en el 9,3 %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Participadas chinas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balance y el reparto de dividendos de Shanghai-FANUC y Beijing-FANUC, y qué explica que su resultado casi se duplicara en el 1T FY26?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Valoradas a 10x valen 305.310 M; a valor contable, 167.210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CNC y robots se han perdido en China por los plazos, y en qué aplicaciones?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30 % de las ventas del 1T y las marcas locales ya tienen el 55 % de su mercado de robots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Sensibilidad al yen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beneficio operativo gana o pierde Fanuc por cada yen de movimiento frente al dólar y al euro?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supone 150 JPY/USD y el contado está en 158; la sensibilidad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física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se cobra el software de IA física (licencia, suscripción o dentro del robot) y qué parte de los pedidos de robots de FY2025 viene de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el precio descuenta y la empresa no lo separa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bonus no tiene objetivo de beneficio ni las acciones restringidas métricas de rentabilidad, con el ROE por debajo del coste del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retribución variable no premia el uso del capital [25]</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2 explicados. Fuentes: 107 (66 primarias); citas distintas en el texto: 107.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48,6 % real: genera una variación de circulante de 34.863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0,19: el crecimiento no explica los múltiplos de estos comparables; no uses el valor de la regresión. Explicación: R² de 0,19: el crecimiento no explica los múltiplos de estos comparables (Keyence y Harmonic Drive cotizan por calidad y por el ciclo de robots, no por crecimiento). No se usa la regresión; la valoración por comparables usa las medianas de EV/EBITDA y PER de los próximos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(19,9x → 14,3x), Nabtesco (14,7x → 10,5x), Harmonic Drive Systems (62,7x → 32,1x), Mitsubishi Electric (15,6x → 10,9x): el salto implica un crecimiento del EBITDA que no cuadra con el de las ventas. ¿EBITDA de proveedores distintos, o un cambio de perímetro? Explicación: En las japonesas con ejercicio a marzo (y Yaskawa a febrero) el LTM es el ejercicio cerrado en marzo de 2026 y el NTM es octubre de 2026 a septiembre de 2027: hay 18-21 meses entre los dos y caen en plena recuperación de pedidos, con apalancamiento operativo (Yaskawa, Nabtesco, Mitsubishi Electric) y, en Harmonic Drive, una base de EBITDA deprimida. Ambos datos son del mismo proveedor (MarketScreener). La síntesis solo usa los múltiplos NTM y el PER NTM.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107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Tanshin FY2025: un solo segmento; 2) presentaciones de resultados e Integrated Report 2025: solo ventas y pedidos por división; 3) Securities Report japonés FY2025: un solo segmento, sin resultado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cartera de pedidos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Tanshin FY2025 y 1T FY26: no la publican; 2) presentaciones y resúmenes de las conferencias: no hay cartera y la dirección no cuantifica los pedidos adelantados; 3) derivarla como pedidos acumulados menos ventas: sin punto de partida publicado no es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geografias: China y Asia sin China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solo Asia (352.599 M); 2) Integrated Report: no separa China en FY2025; 3) suma de las ventas trimestrales por región de las presentaciones (China 228,4 mil M; resto de Asia 124,3 mil M), que cuadra con el total de Asia del Tanshin con 0,1 mil M de diferencia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ltm.fcf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1T FY26: sin estado de flujos (en Japón solo el semestral); 2) presentación del 1T: solo capex (7.400 M); 3) derivarlo: no hay flujo operativo trimestral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items[].vs_consenso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y Q&amp;A: no citan consenso; 2) web de inversores: no publica consenso (QUICK e IFIS son de pago); 3) prensa gratuita: no se buscó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e Integrated Report 2025: no mencionan rating; 2) informe de gobierno corporativo y convocatoria de la junta: tampoco; 3) agencias (R&amp;I, JCR, S&amp;P, Moody’s): no consultadas; la empresa no tiene deuda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cuenta[].acciones_diluidas FY2016-FY2020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de cada año: dan acciones medias antes del split; 2) Tanshin FY2021 en adelante: reexpresadas solo desde FY2021; 3) derivadas como beneficio neto / BPA reexpresado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cobrados de participadas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FY2025: no los desglosa; 2) Securities Report (nota de balance): da el valor contable, 167.210 M, pero no los dividendos; 3) diferencia entre intereses y dividendos cobrados (34.318 M) e ingresos por intereses y dividendos (10.907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(Fanuc en CNC y en robots) y cuota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Integrated Report 2025 y Tanshin FY2025: solo «top-level global market share (FANUC estimate)», sin cifra; 2) estudios de mercado de controles CNC (GMI, QYResearch vía GII): páginas 410 o sin cifra verificable, y los resúmenes de buscador dan 50-60 % sin documento original; 3) Morningstar y prensa: «top global market share» sin porcentaje; la IFR no publica cuotas por fabricante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World Robotics 2025 y 2026 (notas de prensa): no publica cuotas por fabricante; 2) estudios de mercado de CNC: top-5 del 78,5 % en 2023 solo en un resumen de buscador, página original no accesible (410); 3) no derivable sin las unidades de robots de cada fabricante (Fanuc no las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del beneficio al yen (JPY de resultado por cada yen frente a USD/EUR)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Material FY2025 y 1T FY2026 y Tanshin FY2025 y 1T FY2026: solo dan los tipos supuestos (150 JPY/USD y 175 JPY/EUR de julio a marzo) y el puente del resultado sin línea de divisa; 2) resúmenes de preguntas y respuestas FY2025 y 1T FY2026 e Integrated Report 2025: sin sensibilidad; 3) no derivable con rigor sin la estructura de costes por divisa; solo se sabe que el 87 % de las ventas es exterior y el 79 % del inmovilizado está en Japón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 ventas y EBIT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prensa de KUKA: la nota de cifras de 2025 no existe (la URL redirige a la lista de noticias); 2) búsqueda de las cuentas de Midea (segmento de robótica y automatización) y del Geschäftsbericht 2025: no localizados; 3) prensa: solo cifras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2024 y se dice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valor del mercado de CNC y de robots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IFR: desde hace años no publica el valor de mercado en sus notas de prensa (la presentación de 2025 es imagen); 2) estudios de mercado de controladores CNC: originales no accesibles (410) y cifras que no cuadran entre sí; 3) se sustituye por la producción y el consumo mundiales de máquina herramienta de la VDW (estimación propia del total a partir de la cuota de China)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Controles a la exportación (Japón/EE. UU.) sobre CNC y robots hacia China y Rusia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y Q&amp;A de Fanuc: solo mencionan aranceles de EE. UU.; 2) Integrated Report 2025: riesgos genéricos geopolíticos; 3) no buscado en el METI ni en prensa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Fanuc frente a los competidores durante varios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los competidores: solo se han tomado ingresos y margen del último ejercicio; 2) el ROIC de Fanuc lo calcula el motor con las cuentas del subagente A; 3) comparación de márgenes de explotación usada como evidencia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(compras y ventas de consejeros y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EDINET: en Japón no hay registro público de operaciones de directivos tipo Form 4 (los informes del art. 163 de la ley del mercado de valores no se publican en EDINET); 2) participaciones de los consejeros en las convocatorias de 2024, 2025 y 2026 (Yamaguchi 38.560, 46.430 y 54.560 acciones): las subidas cuadran con las acciones restringidas, no con compras en mercado; 3) aviso de entrega de acciones restringidas de julio de 2026 (7.840 acciones a 3 consejeros y 17.380 a 11 directivos, a 6.873 JPY): es retribución, no compras ni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extraordinarios con los votos de las juntas de 2024, 2025 y 2026 (EDINET): solo se votaron dividendo y consejeros; 2) convocatorias de 2024-2026: ninguna propuesta de retribución; 3) informe de gobierno: el techo retributivo vigente se aprobó en la junta de junio de 2021 y Japón no exige voto anual sobre la retribución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páginas 7-9 vistas como imagen (el texto del PDF japonés no está codificado y la sección de plantilla no aparece en esas páginas); 2) Integrated Report 2025 y convocatoria de 2026: sin salario medio ni gasto de personal; 3) Kessan Tanshin FY2025: no desglosa gastos de personal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fecha de entrada y trayectoria medible de los responsables de FA, ROBOT y ROBOMACHINE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Resoluciones de las juntas 2024-2026: solo listan cargos de los managing officers, sin división; 2) Integrated Report 2025: da la división de cada uno (I+D de FA, ROBOT y ROBOMACHINE) pero no participación ni fecha; 3) búsqueda web: devuelve nombres antiguos (Kiyonori Inaba, Hiroyuki Uchida) que no cuadran con los documentos de 2025-2026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 sin texto); 2) Wayback Machine de la página de MarketScreener a 7-jul-2026 y 7-oct-2025 (sin capturas); 3) Minkabu, consenso con histórico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describen los cambios de recomendación y de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analistas por estimación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(fila vacía); 2) Investing (sin desglose por línea); 3) Minkabu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número del consenso de recomendación (19)</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saldo de crédito (compras y ventas a crédito) de la JPX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Kabutan (403); 2) Matsui Securities (no lo muestra); 3) Kabuyoho (no lo muestra)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la posición corta declarada (≥ 0,5 %) de karauri.net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y prima de la OPA de Nidec sobre Makino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Makino del 9-may-2025 (no da el precio); 2) Business Wire (403); 3) Nasdaq (tiempo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(prima_pct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 Altair y de NI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Siemens (solo ventas); 2) 8-K de NI (no publica EBITDA ni valor empresa); 3) búsqueda de un múltiplo oficial (no existe)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Midea–KUKA, Teradyne–Universal Robots/MiR, Rockwell–Clearpath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Midea–KUKA (2016-17) y Teradyne–UR/MiR (2015-18) quedan fuera de la ventana de 5-7 años; 2) la exclusión de KUKA de 2022 no se buscó por tiempo; 3) Rockwell–Clearpath (2023) no publicó importe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empleados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Corporate Outline de Fanuc (no da la plantilla); 2) Securities Report (texto japonés ilegible con pdftotext); 3) Stock Analysis: 10.040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Tomado de Stock Analysis [74]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las divisiones comparables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Yaskawa, ABB, Siemens y Mitsubishi Electric: no publican el ROIC de la división comparable; 2) Stock Analysis da el ROIC del grupo (Yaskawa 5,9 %, Mitsubishi Electric 8,4 %, Siemens 6,6 %) pero no el de la división de automatización; 3) cálculo propio por división imposible sin capital invertido por segmento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compara con el ROIC de grupo de los comparables, marcado como tal</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FY2025 (Kessan Tanshin,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https://www.fanuc.co.jp/en/ir/announce/pdf/2026/financialresult202603_e.pdf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Annual Financial Results FY2024 (Kessan Tanshin,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https://www.fanuc.co.jp/en/ir/announce/pdf/2025/financialresult202503_e.pdf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FY2023 (Kessan Tanshin, cerrado el 31-mar-2024)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FY2022 (Kessan Tanshin, cerrado el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https://www.fanuc.co.jp/en/ir/announce/pdf/2023/financialresult202303_e.pdf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FY2021 (Kessan Tanshin, cerrado el 31-mar-2022)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https://www.fanuc.co.jp/en/ir/announce/pdf/2022/financialresult202203_e.pdf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FY2020 (Kessan Tanshin, cerrado el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https://www.fanuc.co.jp/en/ir/announce/pdf/2021/financialresult202103_e.pdf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FY2019 (Kessan Tanshin, cerrado el 31-mar-2020)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FY2018 (Kessan Tanshin, cerrado el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https://www.fanuc.co.jp/en/ir/announce/pdf/2019/financialresult201903_e.pdf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FY2017 (Kessan Tanshin, cerrado el 31-mar-2018)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https://www.fanuc.co.jp/en/ir/announce/pdf/2018/financialresult201803_e.pdf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Financial Results FY2016 (Kessan Tanshin, cerrado el 31-mar-2017)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https://www.fanuc.co.jp/en/ir/announce/pdf/2017/financialresult201703_e.pdf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2026 (Kessan Tanshin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2025 (Kessan Tanshin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https://www.fanuc.co.jp/en/ir/announce/pdf/2026/financialresult202512_e.pdf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2025 (Kessan Tanshin 2T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2025 (Kessan Tanshin 1T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https://www.fanuc.co.jp/en/ir/announce/pdf/2025/financialresult202506_e.pdf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Nine Months Ended December 31, 2024 (Kessan Tanshin 3T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https://www.fanuc.co.jp/en/ir/announce/pdf/2025/financialresult202412_e.pdf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Six Months Ended September 30, 2024 (Kessan Tanshin 2T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Three Months Ended June 30, 2024 (Kessan Tanshin 1T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https://www.fanuc.co.jp/en/ir/announce/pdf/2024/financialresult202406_e.pdf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Three Months Ended June 30, 2026 (presentación de resultados 1T FY2026: ventas y pedidos por división y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2026 (presentación de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https://www.fanuc.co.jp/en/ir/announce/pdf/2026/reference202603_e.pdf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the Year Ended March 31, 2025 (presentación de resultados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https://www.fanuc.co.jp/en/ir/announce/pdf/2025/reference202503_e.pdf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First Quarter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Q&amp;A Summary of the Telephone Conference on Financial Results for the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https://www.fanuc.co.jp/en/ir/announce/pdf/2026/qasummary202603_e.pdf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Integrated Report 2025 (tabla de diez años y datos corporativos)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https://www.fanuc.co.jp/en/ir/annualreport/pdf/integratedreport2025_e.pdf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57th Ordinary General Meeting of Shareholders (informe de gestión e informes del auditor,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Yukashoken Hokokusho (Securities Report) del 57.º ejercicio, cerrado el 31-mar-2026 (original japonés; notas de balance y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 EDINET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https://www.fanuc.co.jp/ja/ir/securitiesreport/pdf/securitiesreport57_202603.pdf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55th Annual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changes in Directors (23 de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Receipt of the Special Investigation Committee Report and Our Actions Going Forward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https://www.fanuc.co.jp/en/ir/announce_other/pdf/2024/notice20241212_e.pdf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2013 (Ten-Year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https://fanuc.co.jp/en/ir/annualreport/pdf/annualreport2013_e.pdf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What's new (lista de notas de prensa y comunicaciones 2021-2026)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https://www.fanuc.co.jp/en/whatsnew/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(artículo enciclopédico)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https://en.wikipedia.org/wiki/FANUC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Installs 59 Percent of World's Industrial Robots (World Robotics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https://ifr.org/downloads/press_docs/EN-2026-SEP-24-IFR_Press_Release_WR-CHINA.pdf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Five Million Robots now Operate in Factories Globally (World Robotics 2026) y gráfico de instalaciones anuales 2015-2025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https://ifr.org/ifr-press-releases/five-million-robots-now-operate-in-factories-globally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Robot Demand in Factories Doubles over 10 Years (World Robotics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Federation of Robotics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https://ifr.org/ifr-press-releases/news/global-robot-demand-in-factories-doubles-over-10-years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 Release No. FY26-5: Monthly Machine Tool Orders (July 2026) y estadísticas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Builders' Association (JMTBA)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https://www.jmtba.or.jp/english/wjmtbap/wp-content/uploads/2026/09/JMTBA-NOTES-2026-08.pdf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Machine Tool Orders Surge 65.4% in August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https://tradingeconomics.com/japan/machine-tool-orders/news/582279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Factory Activity Returns to Growth (PMI manufacturero NBS,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https://tradingeconomics.com/china/business-confidence/news/587902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machine tool industry leveling off – China further dominating production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VDW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https://vdw.de/en/german-machine-tool-industry-leveling-off-china-further-dominating-production/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February 28,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https://www.yaskawa-global.com/wp-content/uploads/2026/04/20260410_en.pdf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Full Year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Financial Information (nota 3, operaciones interrumpidas)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https://library.e.abb.com/public/efa424a5e55545ef99275bfafc6ff638/ABB-Q4-2025-financial-information.pdf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Fiscal 2026 (ejercicio a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https://www.mitsubishielectric.com/en/pr/2026/pdf/0428_co1.pdf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Challenging financial year 2024 for KUKA – Focus on easier automation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KUKA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https://www.kuka.com/en-de/company/press/news/2025/04/kuka-finanzzahlen-2024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Teradyne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https://www.sec.gov/Archives/edgar/data/97210/000119312526059002/ter-20251231.htm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ABB Ltd's Robotics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SoftBank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https://group.softbank/en/news/press/20251008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 New Technology: Open Platforms &amp; Physical AI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https://www.fanuc.co.jp/en/product/new_product/2025/202512_robot_physicalai.html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Strengthens Collaboration with NVIDIA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https://www.fanuc.co.jp/en/profile/pr/newsrelease/2026/notice20260515.html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Hitachi and FANUC enter strategic partnership toward joint commercialization of physical AI implementation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 Hitachi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https://www.fanuc.co.jp/en/profile/pr/newsrelease/2026/notice20260930.html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Section 232 Investigation of Robotics &amp; Industrial Machinery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Sandler, Travis &amp; Rosenberg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https://www.strtrade.com/trade-news-resources/tariff-actions-resources/section-232-investigation-robotics-industrial-machinery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(última actualización 30-6-2026)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https://www.fanuc.co.jp/en/ir/corporategovernancereport/pdf/corporategovernancereport.pdf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57th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https://www.fanuc.co.jp/en/ir/meeting/pdf/generalmeeting57resolution_e.pdf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25-6-2026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(S100YLIG)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https://disclosure2dl.edinet-fsa.go.jp/searchdocument/pdf/S100YLIG.pdf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(S100W9YH)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https://disclosure2dl.edinet-fsa.go.jp/searchdocument/pdf/S100W9YH.pdf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臨時報告書 (Extraordinary Report): resultados de la votación de la junta del 27-6-2024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vía EDINET (S100TZ4P)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https://disclosure2dl.edinet-fsa.go.jp/searchdocument/pdf/S100TZ4P.pdf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56th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https://www.fanuc.co.jp/en/ir/meeting/pdf/generalmeeting56convocation_e.pdf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of the 55th Ordinary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https://www.fanuc.co.jp/en/ir/meeting/pdf/generalmeeting55resolution_e.pdf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24-4-2026)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the Status and Conclusion of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https://www.fanuc.co.jp/en/ir/announce_other/pdf/2026/notice20260918_e.pdf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https://www.fanuc.co.jp/en/ir/announce_other/pdf/2026/notice20260424-03_e.pdf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the Cancellation of Treasury Shares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https://www.fanuc.co.jp/en/ir/announce_other/pdf/2025/notice20250423-04_e.pdf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Share Buyback (consejo del 23-4-2025)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https://www.fanuc.co.jp/en/ir/announce_other/pdf/2025/notice20250423-03_e.pdf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FANUC's Actions Based on the Special Investigation Committee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https://www.fanuc.co.jp/en/ir/announce_other/pdf/2025/notice20250325_e.pdf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ファナック（6954）の大量保有（5%ルール）: informes de gran participación presentados en EDINET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https://irbank.net/E01946/share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del primer semestre de FY2020 (abril-septiembre de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https://www.fanuc.co.jp/en/ir/announce/pdf/2020/financialresult202009_e.pdf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Communication with Shareholders and Investors: diálogo con accionistas en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https://www.fanuc.co.jp/en/sustainability/governance/shareholder.html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Concerning Financial Forecasts (guía de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https://www.fanuc.co.jp/en/ir/announce_other/pdf/2025/notice20250725-01_e.pdf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Disposal of Treasury Stock as Restricted Stock Remuneration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https://www.fanuc.co.jp/en/ir/announce_other/pdf/2026/notice20260723_e.pdf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6954.T, 1305.T (ETF TOPIX) y 1624.T (ETF TOPIX-17 Maquinaria),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https://finance.yahoo.com/quote/6954.T/history/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https://www.marketscreener.com/quote/stock/FANUC-CORPORATION-6492019/consensus/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 (6954):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https://www.investing.com/equities/fanuc-corp.-consensus-estimates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(TYO:6954)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https://stockanalysis.com/quote/tyo/6954/statistics/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決算発表予定日</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Kabutore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https://www.kabutore.biz/kessan/yotei_kobetsu.html?code=6954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ファナック(6954) レポート (株予報)</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Kabuyoho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https://kabuyoho.jp/reportTop?bcode=6954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https://www.fanuc.co.jp/en/profile/outline.html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(eurofxref-daily),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benchmark yields), octubre de 2026 (jgbcme.csv)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https://www.marketscreener.com/quote/stock/YASKAWA-ELECTRIC-CORPORAT-6492333/finances/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Yaskawa Electric (6506.T)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https://stockanalysis.com/quote/tyo/6506/statistics/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https://www.marketscreener.com/quote/stock/KEYENCE-CORPORATION-6492212/finances/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(6861.T)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https://www.marketscreener.com/quote/stock/SMC-CORPORATION-6492069/finances/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(6273.T)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https://www.marketscreener.com/quote/stock/NABTESCO-CORPORATION-6496668/finances/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Nabtesco (6268.T)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https://stockanalysis.com/quote/tyo/6268/statistics/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https://www.marketscreener.com/quote/stock/HARMONIC-DRIVE-SYSTEMS-IN-13655246/finances/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Harmonic Drive Systems (6324.T)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https://stockanalysis.com/quote/tyo/6324/statistics/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https://www.marketscreener.com/quote/stock/MITSUBISHI-ELECTRIC-CORPO-6491287/finances/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Mitsubishi Electric (6503.T)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https://www.marketscreener.com/quote/stock/SIEMENS-AG-56358595/finances/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(SIE.DE)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datos financieros y estimaciones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https://www.marketscreener.com/quote/stock/ROCKWELL-AUTOMATION-INC-14277/finances/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Rockwell Automation (ROK)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https://stockanalysis.com/stocks/rok/statistics/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Keyence (TYO:6861) Balance sheet, trimestral (20-jun-2026)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https://stockanalysis.com/quote/tyo/6861/financials/balance-sheet/?p=quarterly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SMC (TYO:6273) Balance sheet, trimestral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https://stockanalysis.com/quote/tyo/6273/financials/balance-sheet/?p=quarterly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Announces Agreement to Be Acquired by Lone Star for $32.00 Per Share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https://www.sec.gov/Archives/edgar/data/1417398/000119312525239558/d19460dex991.htm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Fiscal 2025 Fourth Quarter and Full Year Results (Form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Hillenbrand,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https://www.sec.gov/Archives/edgar/data/1417398/000162828025053194/exhibit9912025930.htm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to acquire Altair Engineering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https://assets.new.siemens.com/siemens/assets/api/uuid:b8927464-14ca-4a7c-a581-686169630351/HQCOPR202410307031EN.pdf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to Acquire NI (Form 8-K de National Instruments,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Instruments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https://www.sec.gov/Archives/edgar/data/935494/000114036123017910/brhc20051360_ex99-1.htm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Regarding Withdrawal of Tender Offer for Shares of the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Makino Milling Machine Co.,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https://ir.makino.co.jp/en/news/pdf/2025/20250509.pdf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Fanuc (6954): posiciones cortas declaradas (karauri), a partir de los informes publicados por la JPX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karauri.net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https://karauri.net/6954/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2026 The 33rd Japan International Machine Tool Fair: outline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JIMTOF (JMTBA y Tokyo Big Sight)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https://www.jimtof.org/en/outline.html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of Interest Rate (JGB benchmark yields), serie diaria desde 1974 (jgbcme_all.csv)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Ministry of Finance Japan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https://www.mof.go.jp/english/policy/jgbs/reference/interest_rate/historical/jgbcme_all.csv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86,1 %</w:t>
      </w:r>
      <w:r>
        <w:t xml:space="preserve"> · Secciones con menos del 60 % de campos cubiertos: </w:t>
      </w:r>
      <w:r>
        <w:rPr>
          <w:b/>
          <w:bCs/>
        </w:rPr>
        <w:t xml:space="preserve">capital, balance</w:t>
      </w:r>
      <w:r>
        <w:t xml:space="preserve"> · Generado el 7 oct 2026.</w:t>
      </w:r>
    </w:p>
    <w:p>
      <w:pPr>
        <w:pStyle w:val="Nota"/>
        <w:spacing w:after="100"/>
      </w:pPr>
      <w:r>
        <w:t xml:space="preserve">Una sola línea: Bolsa de Tokio (Prime), código 6954; los ADR de Citibank (2,97 % del capital) no se usan [25]. Cuentas en JPY y JGAAP, sin NIIF 16: los arrendamientos operativos no están en balance, así que la deuda, el EBITDA y el capex no llevan alquileres; el efecto es pequeño en una empresa con fábricas propias en Japón. </w:t>
      </w:r>
      <w:r>
        <w:rPr>
          <w:b/>
        </w:rPr>
        <w:t xml:space="preserve">Ejercicio a marzo con la etiqueta de Fanuc</w:t>
      </w:r>
      <w:r>
        <w:t xml:space="preserve">: «FY2025» es abril de 2025 a marzo de 2026 (etiqueta de inicio), y los trimestres se nombran con ella («1T FY26» = abril-junio de 2026). Split 5:1 del 1-abr-2023: BPA, DPA y acciones de años anteriores reexpresados [4]. Precio: cierre del 6-oct-2026 (6.220 JPY); el del 7 no estaba publicado al calcular [70]. </w:t>
      </w:r>
      <w:r>
        <w:rPr>
          <w:b/>
        </w:rPr>
        <w:t xml:space="preserve">Acciones</w:t>
      </w:r>
      <w:r>
        <w:t xml:space="preserve">: 924,914 M a 17-sep-2026 = 933,158 M del 30-jun menos los 8,27 M de la recompra de julio-septiembre más 25.220 cedidas como retribución en acciones [11, 60, 69]; por coherencia, a la caja del puente se le restan los 49.999,8 M pagados en esa recompra. El primer y el tercer trimestre no traen estado de flujos (en Japón solo es obligatorio el semestral), por lo que no hay flujo libre de los últimos 12 meses [11]. Fanuc declara un único segmento: no hay resultado por división. El Securities Report japonés no se extrae como texto con las herramientas del repo (faltan los datos de caracteres de poppler); sus páginas se leyeron como imagen. Consenso de una sola fuente con estimaciones completas (MarketScreener), contrastado en recomendaciones y precio objetivo con Investing y Kabuyoho [72, 73, 76].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FANUC CORPORATION (6954)</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6.220,00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(3.325,03 – 3.828,48)</c:v>
                </c:pt>
                <c:pt idx="6">
                  <c:v>Escenarios (bajista – alcista) (2.815,59 – 4.636,51)</c:v>
                </c:pt>
                <c:pt idx="7">
                  <c:v>DCF con la prima implícita del mercado (4,2 %)</c:v>
                </c:pt>
                <c:pt idx="8">
                  <c:v>Precio actual (6.220,00)</c:v>
                </c:pt>
              </c:strCache>
            </c:strRef>
          </c:cat>
          <c:val>
            <c:numRef>
              <c:f>Hoja1!$B$2:$B$10</c:f>
              <c:numCache>
                <c:formatCode>#,##0</c:formatCode>
                <c:ptCount val="9"/>
                <c:pt idx="0">
                  <c:v>4400</c:v>
                </c:pt>
                <c:pt idx="1">
                  <c:v>4600</c:v>
                </c:pt>
                <c:pt idx="2">
                  <c:v>4531.88</c:v>
                </c:pt>
                <c:pt idx="3">
                  <c:v>5001.87</c:v>
                </c:pt>
                <c:pt idx="4">
                  <c:v>2959.51</c:v>
                </c:pt>
                <c:pt idx="5">
                  <c:v>3325.03</c:v>
                </c:pt>
                <c:pt idx="6">
                  <c:v>2815.59</c:v>
                </c:pt>
                <c:pt idx="7">
                  <c:v>3784.46</c:v>
                </c:pt>
                <c:pt idx="8">
                  <c:v>6188.9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(3.325,03 – 3.828,48)</c:v>
                </c:pt>
                <c:pt idx="6">
                  <c:v>Escenarios (bajista – alcista) (2.815,59 – 4.636,51)</c:v>
                </c:pt>
                <c:pt idx="7">
                  <c:v>DCF con la prima implícita del mercado (4,2 %)</c:v>
                </c:pt>
                <c:pt idx="8">
                  <c:v>Precio actual (6.220,00)</c:v>
                </c:pt>
              </c:strCache>
            </c:strRef>
          </c:cat>
          <c:val>
            <c:numRef>
              <c:f>Hoja1!$C$2:$C$10</c:f>
              <c:numCache>
                <c:formatCode>#,##0</c:formatCode>
                <c:ptCount val="9"/>
                <c:pt idx="0">
                  <c:v>4480</c:v>
                </c:pt>
                <c:pt idx="1">
                  <c:v>4100</c:v>
                </c:pt>
                <c:pt idx="2">
                  <c:v>2959.95</c:v>
                </c:pt>
                <c:pt idx="3">
                  <c:v>2268.3599999999997</c:v>
                </c:pt>
                <c:pt idx="4">
                  <c:v>6745.049999999999</c:v>
                </c:pt>
                <c:pt idx="5">
                  <c:v>503.4499999999998</c:v>
                </c:pt>
                <c:pt idx="6">
                  <c:v>1820.92</c:v>
                </c:pt>
                <c:pt idx="7">
                  <c:v>451.8299999999999</c:v>
                </c:pt>
                <c:pt idx="8">
                  <c:v>62.20000000000073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FA (CNC y servomotores)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175016</c:v>
                </c:pt>
                <c:pt idx="1">
                  <c:v>222254</c:v>
                </c:pt>
                <c:pt idx="2">
                  <c:v>211088</c:v>
                </c:pt>
                <c:pt idx="3">
                  <c:v>143247</c:v>
                </c:pt>
                <c:pt idx="4">
                  <c:v>149240</c:v>
                </c:pt>
                <c:pt idx="5">
                  <c:v>226165</c:v>
                </c:pt>
                <c:pt idx="6">
                  <c:v>250113</c:v>
                </c:pt>
                <c:pt idx="7">
                  <c:v>180384</c:v>
                </c:pt>
                <c:pt idx="8">
                  <c:v>194824</c:v>
                </c:pt>
                <c:pt idx="9">
                  <c:v>208478</c:v>
                </c:pt>
              </c:numCache>
            </c:numRef>
          </c:val>
        </c:ser>
        <c:ser>
          <c:idx val="1"/>
          <c:order val="1"/>
          <c:tx>
            <c:strRef>
              <c:f>Hoja1!$C$1</c:f>
              <c:strCache>
                <c:ptCount val="1"/>
                <c:pt idx="0">
                  <c:v>ROBOT</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190043</c:v>
                </c:pt>
                <c:pt idx="1">
                  <c:v>227827</c:v>
                </c:pt>
                <c:pt idx="2">
                  <c:v>217526</c:v>
                </c:pt>
                <c:pt idx="3">
                  <c:v>202491</c:v>
                </c:pt>
                <c:pt idx="4">
                  <c:v>210024</c:v>
                </c:pt>
                <c:pt idx="5">
                  <c:v>268478</c:v>
                </c:pt>
                <c:pt idx="6">
                  <c:v>356984</c:v>
                </c:pt>
                <c:pt idx="7">
                  <c:v>380944</c:v>
                </c:pt>
                <c:pt idx="8">
                  <c:v>329566</c:v>
                </c:pt>
                <c:pt idx="9">
                  <c:v>378610</c:v>
                </c:pt>
              </c:numCache>
            </c:numRef>
          </c:val>
        </c:ser>
        <c:ser>
          <c:idx val="2"/>
          <c:order val="2"/>
          <c:tx>
            <c:strRef>
              <c:f>Hoja1!$D$1</c:f>
              <c:strCache>
                <c:ptCount val="1"/>
                <c:pt idx="0">
                  <c:v>ROBOMACHINE</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93939</c:v>
                </c:pt>
                <c:pt idx="1">
                  <c:v>190182</c:v>
                </c:pt>
                <c:pt idx="2">
                  <c:v>115056</c:v>
                </c:pt>
                <c:pt idx="3">
                  <c:v>74912</c:v>
                </c:pt>
                <c:pt idx="4">
                  <c:v>114518</c:v>
                </c:pt>
                <c:pt idx="5">
                  <c:v>144633</c:v>
                </c:pt>
                <c:pt idx="6">
                  <c:v>132788</c:v>
                </c:pt>
                <c:pt idx="7">
                  <c:v>103388</c:v>
                </c:pt>
                <c:pt idx="8">
                  <c:v>137588</c:v>
                </c:pt>
                <c:pt idx="9">
                  <c:v>129600</c:v>
                </c:pt>
              </c:numCache>
            </c:numRef>
          </c:val>
        </c:ser>
        <c:ser>
          <c:idx val="3"/>
          <c:order val="3"/>
          <c:tx>
            <c:strRef>
              <c:f>Hoja1!$E$1</c:f>
              <c:strCache>
                <c:ptCount val="1"/>
                <c:pt idx="0">
                  <c:v>Servicio</c:v>
                </c:pt>
              </c:strCache>
            </c:strRef>
          </c:tx>
          <c:spPr>
            <a:solidFill>
              <a:srgbClr val="EDA100"/>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77944</c:v>
                </c:pt>
                <c:pt idx="1">
                  <c:v>86333</c:v>
                </c:pt>
                <c:pt idx="2">
                  <c:v>91898</c:v>
                </c:pt>
                <c:pt idx="3">
                  <c:v>87602</c:v>
                </c:pt>
                <c:pt idx="4">
                  <c:v>77505</c:v>
                </c:pt>
                <c:pt idx="5">
                  <c:v>93732</c:v>
                </c:pt>
                <c:pt idx="6">
                  <c:v>112071</c:v>
                </c:pt>
                <c:pt idx="7">
                  <c:v>130558</c:v>
                </c:pt>
                <c:pt idx="8">
                  <c:v>135151</c:v>
                </c:pt>
                <c:pt idx="9">
                  <c:v>141143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FA (CNC y servomotores)</c:v>
                </c:pt>
                <c:pt idx="1">
                  <c:v>ROBOT</c:v>
                </c:pt>
                <c:pt idx="2">
                  <c:v>ROBOMACHINE</c:v>
                </c:pt>
                <c:pt idx="3">
                  <c:v>Servicio</c:v>
                </c:pt>
              </c:strCache>
            </c:strRef>
          </c:cat>
          <c:val>
            <c:numRef>
              <c:f>Hoja1!$B$2:$B$5</c:f>
              <c:numCache>
                <c:formatCode>General</c:formatCode>
                <c:ptCount val="4"/>
                <c:pt idx="0">
                  <c:v>24.3</c:v>
                </c:pt>
                <c:pt idx="1">
                  <c:v>44.1</c:v>
                </c:pt>
                <c:pt idx="2">
                  <c:v>15.1</c:v>
                </c:pt>
                <c:pt idx="3">
                  <c:v>16.5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China)</c:v>
                </c:pt>
                <c:pt idx="1">
                  <c:v>China</c:v>
                </c:pt>
                <c:pt idx="2">
                  <c:v>Américas</c:v>
                </c:pt>
                <c:pt idx="3">
                  <c:v>Europa</c:v>
                </c:pt>
                <c:pt idx="4">
                  <c:v>Japón</c:v>
                </c:pt>
                <c:pt idx="5">
                  <c:v>Otros</c:v>
                </c:pt>
              </c:strCache>
            </c:strRef>
          </c:cat>
          <c:val>
            <c:numRef>
              <c:f>Hoja1!$B$2:$B$7</c:f>
              <c:numCache>
                <c:formatCode>0"%"</c:formatCode>
                <c:ptCount val="6"/>
                <c:pt idx="0">
                  <c:v>14.5</c:v>
                </c:pt>
                <c:pt idx="1">
                  <c:v>26.6</c:v>
                </c:pt>
                <c:pt idx="2">
                  <c:v>27.1</c:v>
                </c:pt>
                <c:pt idx="3">
                  <c:v>17.8</c:v>
                </c:pt>
                <c:pt idx="4">
                  <c:v>12.9</c:v>
                </c:pt>
                <c:pt idx="5">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robots industriales instalados al año (IFR))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2028e</c:v>
                </c:pt>
              </c:strCache>
            </c:strRef>
          </c:cat>
          <c:val>
            <c:numRef>
              <c:f>Hoja1!$B$2:$B$9</c:f>
              <c:numCache>
                <c:formatCode>#,##0</c:formatCode>
                <c:ptCount val="8"/>
                <c:pt idx="0">
                  <c:v>387</c:v>
                </c:pt>
                <c:pt idx="1">
                  <c:v>390</c:v>
                </c:pt>
                <c:pt idx="2">
                  <c:v>526</c:v>
                </c:pt>
                <c:pt idx="3">
                  <c:v>553</c:v>
                </c:pt>
                <c:pt idx="4">
                  <c:v>541</c:v>
                </c:pt>
                <c:pt idx="5">
                  <c:v>542</c:v>
                </c:pt>
                <c:pt idx="6">
                  <c:v>603</c:v>
                </c:pt>
                <c:pt idx="7">
                  <c:v>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Fanuc</c:v>
                </c:pt>
                <c:pt idx="1">
                  <c:v>Yaskawa Electric</c:v>
                </c:pt>
                <c:pt idx="2">
                  <c:v>ABB Robotics (división de ABB, en venta a SoftBank)</c:v>
                </c:pt>
                <c:pt idx="3">
                  <c:v>KUKA (grupo Midea)</c:v>
                </c:pt>
                <c:pt idx="4">
                  <c:v>Siemens Digital Industries</c:v>
                </c:pt>
                <c:pt idx="5">
                  <c:v>Mitsubishi Electric, sistemas de automatización industrial</c:v>
                </c:pt>
                <c:pt idx="6">
                  <c:v>Teradyne Robotics (Universal Robots y MiR)</c:v>
                </c:pt>
              </c:strCache>
            </c:strRef>
          </c:cat>
          <c:val>
            <c:numRef>
              <c:f>Hoja1!$B$2:$B$8</c:f>
              <c:numCache>
                <c:formatCode>0.0"%"</c:formatCode>
                <c:ptCount val="7"/>
                <c:pt idx="0">
                  <c:v>21.4</c:v>
                </c:pt>
                <c:pt idx="1">
                  <c:v>8.7</c:v>
                </c:pt>
                <c:pt idx="2">
                  <c:v>12.6</c:v>
                </c:pt>
                <c:pt idx="3">
                  <c:v>2.1</c:v>
                </c:pt>
                <c:pt idx="4">
                  <c:v>14.9</c:v>
                </c:pt>
                <c:pt idx="5">
                  <c:v>9.6</c:v>
                </c:pt>
                <c:pt idx="6">
                  <c:v>-32.2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536942</c:v>
                </c:pt>
                <c:pt idx="1">
                  <c:v>726596</c:v>
                </c:pt>
                <c:pt idx="2">
                  <c:v>635568</c:v>
                </c:pt>
                <c:pt idx="3">
                  <c:v>508252</c:v>
                </c:pt>
                <c:pt idx="4">
                  <c:v>551287</c:v>
                </c:pt>
                <c:pt idx="5">
                  <c:v>733008</c:v>
                </c:pt>
                <c:pt idx="6">
                  <c:v>851956</c:v>
                </c:pt>
                <c:pt idx="7">
                  <c:v>795274</c:v>
                </c:pt>
                <c:pt idx="8">
                  <c:v>797129</c:v>
                </c:pt>
                <c:pt idx="9">
                  <c:v>857831</c:v>
                </c:pt>
                <c:pt idx="10">
                  <c:v>960771</c:v>
                </c:pt>
                <c:pt idx="11">
                  <c:v>1028025</c:v>
                </c:pt>
                <c:pt idx="12">
                  <c:v>1069146</c:v>
                </c:pt>
                <c:pt idx="13">
                  <c:v>1004997</c:v>
                </c:pt>
                <c:pt idx="14">
                  <c:v>1075347</c:v>
                </c:pt>
                <c:pt idx="15">
                  <c:v>1134491</c:v>
                </c:pt>
                <c:pt idx="16">
                  <c:v>1185543</c:v>
                </c:pt>
                <c:pt idx="17">
                  <c:v>1227037</c:v>
                </c:pt>
                <c:pt idx="18">
                  <c:v>1263848</c:v>
                </c:pt>
                <c:pt idx="19">
                  <c:v>1295444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179747</c:v>
                </c:pt>
                <c:pt idx="1">
                  <c:v>263794</c:v>
                </c:pt>
                <c:pt idx="2">
                  <c:v>203006</c:v>
                </c:pt>
                <c:pt idx="3">
                  <c:v>134263</c:v>
                </c:pt>
                <c:pt idx="4">
                  <c:v>157616</c:v>
                </c:pt>
                <c:pt idx="5">
                  <c:v>230317</c:v>
                </c:pt>
                <c:pt idx="6">
                  <c:v>240548</c:v>
                </c:pt>
                <c:pt idx="7">
                  <c:v>190920</c:v>
                </c:pt>
                <c:pt idx="8">
                  <c:v>205294</c:v>
                </c:pt>
                <c:pt idx="9">
                  <c:v>231545</c:v>
                </c:pt>
                <c:pt idx="10">
                  <c:v>271898</c:v>
                </c:pt>
                <c:pt idx="11">
                  <c:v>296071</c:v>
                </c:pt>
                <c:pt idx="12">
                  <c:v>307914</c:v>
                </c:pt>
                <c:pt idx="13">
                  <c:v>266324</c:v>
                </c:pt>
                <c:pt idx="14">
                  <c:v>301097</c:v>
                </c:pt>
                <c:pt idx="15">
                  <c:v>323330</c:v>
                </c:pt>
                <c:pt idx="16">
                  <c:v>337880</c:v>
                </c:pt>
                <c:pt idx="17">
                  <c:v>349706</c:v>
                </c:pt>
                <c:pt idx="18">
                  <c:v>360197</c:v>
                </c:pt>
                <c:pt idx="19">
                  <c:v>369202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43.5</c:v>
                </c:pt>
                <c:pt idx="1">
                  <c:v>45.2</c:v>
                </c:pt>
                <c:pt idx="2">
                  <c:v>41.8</c:v>
                </c:pt>
                <c:pt idx="3">
                  <c:v>35.8</c:v>
                </c:pt>
                <c:pt idx="4">
                  <c:v>36.6</c:v>
                </c:pt>
                <c:pt idx="5">
                  <c:v>40.3</c:v>
                </c:pt>
                <c:pt idx="6">
                  <c:v>38.2</c:v>
                </c:pt>
                <c:pt idx="7">
                  <c:v>34.7</c:v>
                </c:pt>
                <c:pt idx="8">
                  <c:v>37</c:v>
                </c:pt>
                <c:pt idx="9">
                  <c:v>38.3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33.5</c:v>
                </c:pt>
                <c:pt idx="1">
                  <c:v>36.3</c:v>
                </c:pt>
                <c:pt idx="2">
                  <c:v>31.9</c:v>
                </c:pt>
                <c:pt idx="3">
                  <c:v>26.4</c:v>
                </c:pt>
                <c:pt idx="4">
                  <c:v>28.6</c:v>
                </c:pt>
                <c:pt idx="5">
                  <c:v>31.4</c:v>
                </c:pt>
                <c:pt idx="6">
                  <c:v>28.2</c:v>
                </c:pt>
                <c:pt idx="7">
                  <c:v>24</c:v>
                </c:pt>
                <c:pt idx="8">
                  <c:v>25.8</c:v>
                </c:pt>
                <c:pt idx="9">
                  <c:v>27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28.5</c:v>
                </c:pt>
                <c:pt idx="1">
                  <c:v>31.6</c:v>
                </c:pt>
                <c:pt idx="2">
                  <c:v>25.7</c:v>
                </c:pt>
                <c:pt idx="3">
                  <c:v>17.4</c:v>
                </c:pt>
                <c:pt idx="4">
                  <c:v>20.4</c:v>
                </c:pt>
                <c:pt idx="5">
                  <c:v>25</c:v>
                </c:pt>
                <c:pt idx="6">
                  <c:v>22.5</c:v>
                </c:pt>
                <c:pt idx="7">
                  <c:v>17.8</c:v>
                </c:pt>
                <c:pt idx="8">
                  <c:v>19.9</c:v>
                </c:pt>
                <c:pt idx="9">
                  <c:v>21.4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23.8</c:v>
                </c:pt>
                <c:pt idx="1">
                  <c:v>25</c:v>
                </c:pt>
                <c:pt idx="2">
                  <c:v>24.3</c:v>
                </c:pt>
                <c:pt idx="3">
                  <c:v>14.4</c:v>
                </c:pt>
                <c:pt idx="4">
                  <c:v>17.1</c:v>
                </c:pt>
                <c:pt idx="5">
                  <c:v>21.2</c:v>
                </c:pt>
                <c:pt idx="6">
                  <c:v>20</c:v>
                </c:pt>
                <c:pt idx="7">
                  <c:v>16.7</c:v>
                </c:pt>
                <c:pt idx="8">
                  <c:v>18.5</c:v>
                </c:pt>
                <c:pt idx="9">
                  <c:v>19.4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 FY24</c:v>
                </c:pt>
                <c:pt idx="1">
                  <c:v>3T FY24</c:v>
                </c:pt>
                <c:pt idx="2">
                  <c:v>4T FY24</c:v>
                </c:pt>
                <c:pt idx="3">
                  <c:v>1T FY25</c:v>
                </c:pt>
                <c:pt idx="4">
                  <c:v>2T FY25</c:v>
                </c:pt>
                <c:pt idx="5">
                  <c:v>3T FY25</c:v>
                </c:pt>
                <c:pt idx="6">
                  <c:v>4T FY25</c:v>
                </c:pt>
                <c:pt idx="7">
                  <c:v>1T FY26</c:v>
                </c:pt>
              </c:strCache>
            </c:strRef>
          </c:cat>
          <c:val>
            <c:numRef>
              <c:f>Hoja1!$B$2:$B$9</c:f>
              <c:numCache>
                <c:formatCode>0.0"%"</c:formatCode>
                <c:ptCount val="8"/>
                <c:pt idx="0">
                  <c:v>-2.1</c:v>
                </c:pt>
                <c:pt idx="1">
                  <c:v>-0.4</c:v>
                </c:pt>
                <c:pt idx="2">
                  <c:v>6.7</c:v>
                </c:pt>
                <c:pt idx="3">
                  <c:v>0.6</c:v>
                </c:pt>
                <c:pt idx="4">
                  <c:v>9.5</c:v>
                </c:pt>
                <c:pt idx="5">
                  <c:v>9.5</c:v>
                </c:pt>
                <c:pt idx="6">
                  <c:v>10.6</c:v>
                </c:pt>
                <c:pt idx="7">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82</c:v>
                </c:pt>
                <c:pt idx="1">
                  <c:v>88</c:v>
                </c:pt>
                <c:pt idx="2">
                  <c:v>61</c:v>
                </c:pt>
                <c:pt idx="3">
                  <c:v>61</c:v>
                </c:pt>
                <c:pt idx="4">
                  <c:v>85</c:v>
                </c:pt>
                <c:pt idx="5">
                  <c:v>75</c:v>
                </c:pt>
                <c:pt idx="6">
                  <c:v>70</c:v>
                </c:pt>
                <c:pt idx="7">
                  <c:v>72</c:v>
                </c:pt>
                <c:pt idx="8">
                  <c:v>72</c:v>
                </c:pt>
                <c:pt idx="9">
                  <c:v>73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142</c:v>
                </c:pt>
                <c:pt idx="1">
                  <c:v>138</c:v>
                </c:pt>
                <c:pt idx="2">
                  <c:v>154</c:v>
                </c:pt>
                <c:pt idx="3">
                  <c:v>160</c:v>
                </c:pt>
                <c:pt idx="4">
                  <c:v>172</c:v>
                </c:pt>
                <c:pt idx="5">
                  <c:v>208</c:v>
                </c:pt>
                <c:pt idx="6">
                  <c:v>243</c:v>
                </c:pt>
                <c:pt idx="7">
                  <c:v>255</c:v>
                </c:pt>
                <c:pt idx="8">
                  <c:v>223</c:v>
                </c:pt>
                <c:pt idx="9">
                  <c:v>201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43</c:v>
                </c:pt>
                <c:pt idx="1">
                  <c:v>48</c:v>
                </c:pt>
                <c:pt idx="2">
                  <c:v>36</c:v>
                </c:pt>
                <c:pt idx="3">
                  <c:v>30</c:v>
                </c:pt>
                <c:pt idx="4">
                  <c:v>46</c:v>
                </c:pt>
                <c:pt idx="5">
                  <c:v>41</c:v>
                </c:pt>
                <c:pt idx="6">
                  <c:v>39</c:v>
                </c:pt>
                <c:pt idx="7">
                  <c:v>30</c:v>
                </c:pt>
                <c:pt idx="8">
                  <c:v>27</c:v>
                </c:pt>
                <c:pt idx="9">
                  <c:v>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34204</c:v>
                </c:pt>
                <c:pt idx="1">
                  <c:v>72974</c:v>
                </c:pt>
                <c:pt idx="2">
                  <c:v>52414</c:v>
                </c:pt>
                <c:pt idx="3">
                  <c:v>69443</c:v>
                </c:pt>
                <c:pt idx="4">
                  <c:v>96228</c:v>
                </c:pt>
                <c:pt idx="5">
                  <c:v>91218</c:v>
                </c:pt>
                <c:pt idx="6">
                  <c:v>52439</c:v>
                </c:pt>
                <c:pt idx="7">
                  <c:v>117880</c:v>
                </c:pt>
                <c:pt idx="8">
                  <c:v>214468</c:v>
                </c:pt>
                <c:pt idx="9">
                  <c:v>229715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127697</c:v>
                </c:pt>
                <c:pt idx="1">
                  <c:v>181957</c:v>
                </c:pt>
                <c:pt idx="2">
                  <c:v>154163</c:v>
                </c:pt>
                <c:pt idx="3">
                  <c:v>73371</c:v>
                </c:pt>
                <c:pt idx="4">
                  <c:v>94012</c:v>
                </c:pt>
                <c:pt idx="5">
                  <c:v>155273</c:v>
                </c:pt>
                <c:pt idx="6">
                  <c:v>170587</c:v>
                </c:pt>
                <c:pt idx="7">
                  <c:v>133159</c:v>
                </c:pt>
                <c:pt idx="8">
                  <c:v>147557</c:v>
                </c:pt>
                <c:pt idx="9">
                  <c:v>166543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19.5</c:v>
                </c:pt>
                <c:pt idx="1">
                  <c:v>25.5</c:v>
                </c:pt>
                <c:pt idx="2">
                  <c:v>15.7</c:v>
                </c:pt>
                <c:pt idx="3">
                  <c:v>7.9</c:v>
                </c:pt>
                <c:pt idx="4">
                  <c:v>10</c:v>
                </c:pt>
                <c:pt idx="5">
                  <c:v>15.2</c:v>
                </c:pt>
                <c:pt idx="6">
                  <c:v>14.1</c:v>
                </c:pt>
                <c:pt idx="7">
                  <c:v>9.3</c:v>
                </c:pt>
                <c:pt idx="8">
                  <c:v>10.6</c:v>
                </c:pt>
                <c:pt idx="9">
                  <c:v>12.1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9.6</c:v>
                </c:pt>
                <c:pt idx="1">
                  <c:v>9.6</c:v>
                </c:pt>
                <c:pt idx="2">
                  <c:v>9.6</c:v>
                </c:pt>
                <c:pt idx="3">
                  <c:v>9.6</c:v>
                </c:pt>
                <c:pt idx="4">
                  <c:v>9.6</c:v>
                </c:pt>
                <c:pt idx="5">
                  <c:v>9.6</c:v>
                </c:pt>
                <c:pt idx="6">
                  <c:v>9.6</c:v>
                </c:pt>
                <c:pt idx="7">
                  <c:v>9.6</c:v>
                </c:pt>
                <c:pt idx="8">
                  <c:v>9.6</c:v>
                </c:pt>
                <c:pt idx="9">
                  <c:v>9.6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9.4</c:v>
                </c:pt>
                <c:pt idx="1">
                  <c:v>12.9</c:v>
                </c:pt>
                <c:pt idx="2">
                  <c:v>10.6</c:v>
                </c:pt>
                <c:pt idx="3">
                  <c:v>5.3</c:v>
                </c:pt>
                <c:pt idx="4">
                  <c:v>6.8</c:v>
                </c:pt>
                <c:pt idx="5">
                  <c:v>10.5</c:v>
                </c:pt>
                <c:pt idx="6">
                  <c:v>10.8</c:v>
                </c:pt>
                <c:pt idx="7">
                  <c:v>8</c:v>
                </c:pt>
                <c:pt idx="8">
                  <c:v>8.6</c:v>
                </c:pt>
                <c:pt idx="9">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-4.31</c:v>
                </c:pt>
                <c:pt idx="1">
                  <c:v>-2.83</c:v>
                </c:pt>
                <c:pt idx="2">
                  <c:v>-3.06</c:v>
                </c:pt>
                <c:pt idx="3">
                  <c:v>-3.97</c:v>
                </c:pt>
                <c:pt idx="4">
                  <c:v>-3.72</c:v>
                </c:pt>
                <c:pt idx="5">
                  <c:v>-2.61</c:v>
                </c:pt>
                <c:pt idx="6">
                  <c:v>-2.2</c:v>
                </c:pt>
                <c:pt idx="7">
                  <c:v>-2.82</c:v>
                </c:pt>
                <c:pt idx="8">
                  <c:v>-2.95</c:v>
                </c:pt>
                <c:pt idx="9">
                  <c:v>-3.26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76505</c:v>
                </c:pt>
                <c:pt idx="1">
                  <c:v>92003</c:v>
                </c:pt>
                <c:pt idx="2">
                  <c:v>173571</c:v>
                </c:pt>
                <c:pt idx="3">
                  <c:v>102546</c:v>
                </c:pt>
                <c:pt idx="4">
                  <c:v>50484</c:v>
                </c:pt>
                <c:pt idx="5">
                  <c:v>86799</c:v>
                </c:pt>
                <c:pt idx="6">
                  <c:v>96485</c:v>
                </c:pt>
                <c:pt idx="7">
                  <c:v>90096</c:v>
                </c:pt>
                <c:pt idx="8">
                  <c:v>83133</c:v>
                </c:pt>
                <c:pt idx="9">
                  <c:v>94459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13481</c:v>
                </c:pt>
                <c:pt idx="1">
                  <c:v>442</c:v>
                </c:pt>
                <c:pt idx="2">
                  <c:v>183</c:v>
                </c:pt>
                <c:pt idx="3">
                  <c:v>36870</c:v>
                </c:pt>
                <c:pt idx="4">
                  <c:v>283</c:v>
                </c:pt>
                <c:pt idx="5">
                  <c:v>234</c:v>
                </c:pt>
                <c:pt idx="6">
                  <c:v>24436</c:v>
                </c:pt>
                <c:pt idx="7">
                  <c:v>28391</c:v>
                </c:pt>
                <c:pt idx="8">
                  <c:v>49555</c:v>
                </c:pt>
                <c:pt idx="9">
                  <c:v>553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3</c:v>
                </c:pt>
                <c:pt idx="1">
                  <c:v>6</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Master Trust Bank of Japan (cuenta fiduciaria)</c:v>
                </c:pt>
                <c:pt idx="1">
                  <c:v>Custody Bank of Japan (cuenta fiduciaria)</c:v>
                </c:pt>
                <c:pt idx="2">
                  <c:v>Nomura Asset Management (con Nomura Securities)</c:v>
                </c:pt>
                <c:pt idx="3">
                  <c:v>BlackRock (grupo, varias entidades)</c:v>
                </c:pt>
                <c:pt idx="4">
                  <c:v>Amova Asset Management y Sumitomo Mitsui Trust Asset Management (codetentores)</c:v>
                </c:pt>
                <c:pt idx="5">
                  <c:v>Citibank N.A. - NY, depositario de los ADR</c:v>
                </c:pt>
                <c:pt idx="6">
                  <c:v>Autocartera</c:v>
                </c:pt>
              </c:strCache>
            </c:strRef>
          </c:cat>
          <c:val>
            <c:numRef>
              <c:f>Hoja1!$B$2:$B$8</c:f>
              <c:numCache>
                <c:formatCode>0.0"%"</c:formatCode>
                <c:ptCount val="7"/>
                <c:pt idx="0">
                  <c:v>23.41</c:v>
                </c:pt>
                <c:pt idx="1">
                  <c:v>10.32</c:v>
                </c:pt>
                <c:pt idx="2">
                  <c:v>9.37</c:v>
                </c:pt>
                <c:pt idx="3">
                  <c:v>8.3</c:v>
                </c:pt>
                <c:pt idx="4">
                  <c:v>7.09</c:v>
                </c:pt>
                <c:pt idx="5">
                  <c:v>2.97</c:v>
                </c:pt>
                <c:pt idx="6">
                  <c:v>5.01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39.4</c:v>
                </c:pt>
                <c:pt idx="2">
                  <c:v>-36</c:v>
                </c:pt>
                <c:pt idx="3">
                  <c:v>25.4</c:v>
                </c:pt>
                <c:pt idx="4">
                  <c:v>26.7</c:v>
                </c:pt>
                <c:pt idx="5">
                  <c:v>-2.2</c:v>
                </c:pt>
                <c:pt idx="6">
                  <c:v>-16.7</c:v>
                </c:pt>
                <c:pt idx="7">
                  <c:v>6.9</c:v>
                </c:pt>
                <c:pt idx="8">
                  <c:v>2.8</c:v>
                </c:pt>
                <c:pt idx="9">
                  <c:v>49.2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Hoja1!$B$2:$B$12</c:f>
              <c:numCache>
                <c:formatCode>0.0"x"</c:formatCode>
                <c:ptCount val="11"/>
                <c:pt idx="1">
                  <c:v>20.3</c:v>
                </c:pt>
                <c:pt idx="2">
                  <c:v>17</c:v>
                </c:pt>
                <c:pt idx="3">
                  <c:v>15</c:v>
                </c:pt>
                <c:pt idx="4">
                  <c:v>17.1</c:v>
                </c:pt>
                <c:pt idx="5">
                  <c:v>28.2</c:v>
                </c:pt>
                <c:pt idx="6">
                  <c:v>15.5</c:v>
                </c:pt>
                <c:pt idx="7">
                  <c:v>16.8</c:v>
                </c:pt>
                <c:pt idx="8">
                  <c:v>18.1</c:v>
                </c:pt>
                <c:pt idx="9">
                  <c:v>15.7</c:v>
                </c:pt>
                <c:pt idx="10">
                  <c:v>18.2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Hoja1!$A$2:$A$12</c:f>
              <c:strCache>
                <c:ptCount val="11"/>
                <c:pt idx="0">
                  <c:v>FY2015</c:v>
                </c:pt>
                <c:pt idx="1">
                  <c:v>FY2016</c:v>
                </c:pt>
                <c:pt idx="2">
                  <c:v>FY2017</c:v>
                </c:pt>
                <c:pt idx="3">
                  <c:v>FY2018</c:v>
                </c:pt>
                <c:pt idx="4">
                  <c:v>FY2019</c:v>
                </c:pt>
                <c:pt idx="5">
                  <c:v>FY2020</c:v>
                </c:pt>
                <c:pt idx="6">
                  <c:v>FY2021</c:v>
                </c:pt>
                <c:pt idx="7">
                  <c:v>FY2022</c:v>
                </c:pt>
                <c:pt idx="8">
                  <c:v>FY2023</c:v>
                </c:pt>
                <c:pt idx="9">
                  <c:v>FY2024</c:v>
                </c:pt>
                <c:pt idx="10">
                  <c:v>FY2025</c:v>
                </c:pt>
              </c:strCache>
            </c:strRef>
          </c:cat>
          <c:val>
            <c:numRef>
              <c:f>Hoja1!$C$2:$C$12</c:f>
              <c:numCache>
                <c:formatCode>0.0"x"</c:formatCode>
                <c:ptCount val="11"/>
                <c:pt idx="0">
                  <c:v>17.1</c:v>
                </c:pt>
                <c:pt idx="1">
                  <c:v>17.1</c:v>
                </c:pt>
                <c:pt idx="2">
                  <c:v>17.1</c:v>
                </c:pt>
                <c:pt idx="3">
                  <c:v>17.1</c:v>
                </c:pt>
                <c:pt idx="4">
                  <c:v>17.1</c:v>
                </c:pt>
                <c:pt idx="5">
                  <c:v>17.1</c:v>
                </c:pt>
                <c:pt idx="6">
                  <c:v>17.1</c:v>
                </c:pt>
                <c:pt idx="7">
                  <c:v>17.1</c:v>
                </c:pt>
                <c:pt idx="8">
                  <c:v>17.1</c:v>
                </c:pt>
                <c:pt idx="9">
                  <c:v>17.1</c:v>
                </c:pt>
                <c:pt idx="10">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Fanuc</c:v>
                </c:pt>
                <c:pt idx="1">
                  <c:v>Yaskawa Electric</c:v>
                </c:pt>
                <c:pt idx="2">
                  <c:v>Keyence</c:v>
                </c:pt>
                <c:pt idx="3">
                  <c:v>SMC</c:v>
                </c:pt>
                <c:pt idx="4">
                  <c:v>Nabtesco</c:v>
                </c:pt>
                <c:pt idx="5">
                  <c:v>Harmonic Drive Systems</c:v>
                </c:pt>
                <c:pt idx="6">
                  <c:v>Mitsubishi Electric</c:v>
                </c:pt>
                <c:pt idx="7">
                  <c:v>Siemens</c:v>
                </c:pt>
                <c:pt idx="8">
                  <c:v>Rockwell Automation</c:v>
                </c:pt>
              </c:strCache>
            </c:strRef>
          </c:cat>
          <c:val>
            <c:numRef>
              <c:f>Hoja1!$B$2:$B$10</c:f>
              <c:numCache>
                <c:formatCode>0.0"x"</c:formatCode>
                <c:ptCount val="9"/>
                <c:pt idx="0">
                  <c:v>16.3</c:v>
                </c:pt>
                <c:pt idx="1">
                  <c:v>14.3</c:v>
                </c:pt>
                <c:pt idx="2">
                  <c:v>19.9</c:v>
                </c:pt>
                <c:pt idx="3">
                  <c:v>10.9</c:v>
                </c:pt>
                <c:pt idx="4">
                  <c:v>10.5</c:v>
                </c:pt>
                <c:pt idx="5">
                  <c:v>32.1</c:v>
                </c:pt>
                <c:pt idx="6">
                  <c:v>10.9</c:v>
                </c:pt>
                <c:pt idx="7">
                  <c:v>15.3</c:v>
                </c:pt>
                <c:pt idx="8">
                  <c:v>21.9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Fanuc</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16.3</c:v>
                </c:pt>
              </c:numCache>
            </c:numRef>
          </c:yVal>
          <c:smooth val="0"/>
        </c:ser>
        <c:ser>
          <c:idx val="1"/>
          <c:order val="1"/>
          <c:tx>
            <c:strRef>
              <c:f>Hoja1!$A$3</c:f>
              <c:strCache>
                <c:ptCount val="1"/>
                <c:pt idx="0">
                  <c:v>Yaskawa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14.3</c:v>
                </c:pt>
              </c:numCache>
            </c:numRef>
          </c:yVal>
          <c:smooth val="0"/>
        </c:ser>
        <c:ser>
          <c:idx val="2"/>
          <c:order val="2"/>
          <c:tx>
            <c:strRef>
              <c:f>Hoja1!$A$4</c:f>
              <c:strCache>
                <c:ptCount val="1"/>
                <c:pt idx="0">
                  <c:v>Keyence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20.1</c:v>
                </c:pt>
              </c:numCache>
            </c:numRef>
          </c:xVal>
          <c:yVal>
            <c:numRef>
              <c:f>Hoja1!$C$4</c:f>
              <c:numCache>
                <c:formatCode>0.0"x"</c:formatCode>
                <c:ptCount val="1"/>
                <c:pt idx="0">
                  <c:v>19.9</c:v>
                </c:pt>
              </c:numCache>
            </c:numRef>
          </c:yVal>
          <c:smooth val="0"/>
        </c:ser>
        <c:ser>
          <c:idx val="3"/>
          <c:order val="3"/>
          <c:tx>
            <c:strRef>
              <c:f>Hoja1!$A$5</c:f>
              <c:strCache>
                <c:ptCount val="1"/>
                <c:pt idx="0">
                  <c:v>SMC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21</c:v>
                </c:pt>
              </c:numCache>
            </c:numRef>
          </c:xVal>
          <c:yVal>
            <c:numRef>
              <c:f>Hoja1!$C$5</c:f>
              <c:numCache>
                <c:formatCode>0.0"x"</c:formatCode>
                <c:ptCount val="1"/>
                <c:pt idx="0">
                  <c:v>10.9</c:v>
                </c:pt>
              </c:numCache>
            </c:numRef>
          </c:yVal>
          <c:smooth val="0"/>
        </c:ser>
        <c:ser>
          <c:idx val="4"/>
          <c:order val="4"/>
          <c:tx>
            <c:strRef>
              <c:f>Hoja1!$A$6</c:f>
              <c:strCache>
                <c:ptCount val="1"/>
                <c:pt idx="0">
                  <c:v>Nabtesco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9.6</c:v>
                </c:pt>
              </c:numCache>
            </c:numRef>
          </c:xVal>
          <c:yVal>
            <c:numRef>
              <c:f>Hoja1!$C$6</c:f>
              <c:numCache>
                <c:formatCode>0.0"x"</c:formatCode>
                <c:ptCount val="1"/>
                <c:pt idx="0">
                  <c:v>10.5</c:v>
                </c:pt>
              </c:numCache>
            </c:numRef>
          </c:yVal>
          <c:smooth val="0"/>
        </c:ser>
        <c:ser>
          <c:idx val="5"/>
          <c:order val="5"/>
          <c:tx>
            <c:strRef>
              <c:f>Hoja1!$A$7</c:f>
              <c:strCache>
                <c:ptCount val="1"/>
                <c:pt idx="0">
                  <c:v>Harmonic Drive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22.6</c:v>
                </c:pt>
              </c:numCache>
            </c:numRef>
          </c:xVal>
          <c:yVal>
            <c:numRef>
              <c:f>Hoja1!$C$7</c:f>
              <c:numCache>
                <c:formatCode>0.0"x"</c:formatCode>
                <c:ptCount val="1"/>
                <c:pt idx="0">
                  <c:v>32.1</c:v>
                </c:pt>
              </c:numCache>
            </c:numRef>
          </c:yVal>
          <c:smooth val="0"/>
        </c:ser>
        <c:ser>
          <c:idx val="6"/>
          <c:order val="6"/>
          <c:tx>
            <c:strRef>
              <c:f>Hoja1!$A$8</c:f>
              <c:strCache>
                <c:ptCount val="1"/>
                <c:pt idx="0">
                  <c:v>Mitsubishi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7.1</c:v>
                </c:pt>
              </c:numCache>
            </c:numRef>
          </c:xVal>
          <c:yVal>
            <c:numRef>
              <c:f>Hoja1!$C$8</c:f>
              <c:numCache>
                <c:formatCode>0.0"x"</c:formatCode>
                <c:ptCount val="1"/>
                <c:pt idx="0">
                  <c:v>10.9</c:v>
                </c:pt>
              </c:numCache>
            </c:numRef>
          </c:yVal>
          <c:smooth val="0"/>
        </c:ser>
        <c:ser>
          <c:idx val="7"/>
          <c:order val="7"/>
          <c:tx>
            <c:strRef>
              <c:f>Hoja1!$A$9</c:f>
              <c:strCache>
                <c:ptCount val="1"/>
                <c:pt idx="0">
                  <c:v>Siemens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8.7</c:v>
                </c:pt>
              </c:numCache>
            </c:numRef>
          </c:xVal>
          <c:yVal>
            <c:numRef>
              <c:f>Hoja1!$C$9</c:f>
              <c:numCache>
                <c:formatCode>0.0"x"</c:formatCode>
                <c:ptCount val="1"/>
                <c:pt idx="0">
                  <c:v>15.3</c:v>
                </c:pt>
              </c:numCache>
            </c:numRef>
          </c:yVal>
          <c:smooth val="0"/>
        </c:ser>
        <c:ser>
          <c:idx val="8"/>
          <c:order val="8"/>
          <c:tx>
            <c:strRef>
              <c:f>Hoja1!$A$10</c:f>
              <c:strCache>
                <c:ptCount val="1"/>
                <c:pt idx="0">
                  <c:v>Rockwell Automation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5.8</c:v>
                </c:pt>
              </c:numCache>
            </c:numRef>
          </c:xVal>
          <c:yVal>
            <c:numRef>
              <c:f>Hoja1!$C$10</c:f>
              <c:numCache>
                <c:formatCode>0.0"x"</c:formatCode>
                <c:ptCount val="1"/>
                <c:pt idx="0">
                  <c:v>21.9</c:v>
                </c:pt>
              </c:numCache>
            </c:numRef>
          </c:yVal>
          <c:smooth val="0"/>
        </c:ser>
        <c:axId val="10"/>
        <c:axId val="20"/>
      </c:scatterChart>
      <c:valAx>
        <c:axId val="10"/>
        <c:scaling>
          <c:orientation val="minMax"/>
          <c:max val="2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ABB Robotics (robots industriales de ABB)</c:v>
                </c:pt>
                <c:pt idx="1">
                  <c:v>Hillenbrand (maquinaria de procesado y de inyección, Milacron)</c:v>
                </c:pt>
                <c:pt idx="2">
                  <c:v>Altair Engineering (software de simulación)</c:v>
                </c:pt>
                <c:pt idx="3">
                  <c:v>National Instruments (NI, test y medida)</c:v>
                </c:pt>
                <c:pt idx="4">
                  <c:v>Makino Milling Machine (máquina herramienta)</c:v>
                </c:pt>
              </c:strCache>
            </c:strRef>
          </c:cat>
          <c:val>
            <c:numRef>
              <c:f>Hoja1!$B$2:$B$6</c:f>
              <c:numCache>
                <c:formatCode>0.0"x"</c:formatCode>
                <c:ptCount val="5"/>
                <c:pt idx="0">
                  <c:v>17.2</c:v>
                </c:pt>
                <c:pt idx="1">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136461</c:v>
                </c:pt>
                <c:pt idx="1">
                  <c:v>149981</c:v>
                </c:pt>
                <c:pt idx="2">
                  <c:v>163882</c:v>
                </c:pt>
                <c:pt idx="3">
                  <c:v>175955</c:v>
                </c:pt>
                <c:pt idx="4">
                  <c:v>155063</c:v>
                </c:pt>
                <c:pt idx="5">
                  <c:v>169513</c:v>
                </c:pt>
                <c:pt idx="6">
                  <c:v>176523</c:v>
                </c:pt>
                <c:pt idx="7">
                  <c:v>193768</c:v>
                </c:pt>
                <c:pt idx="8">
                  <c:v>196202</c:v>
                </c:pt>
                <c:pt idx="9">
                  <c:v>203929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1075208</c:v>
                </c:pt>
                <c:pt idx="1">
                  <c:v>1152838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6.220,00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2815.59</c:v>
                </c:pt>
                <c:pt idx="1">
                  <c:v>3544.66</c:v>
                </c:pt>
                <c:pt idx="2">
                  <c:v>4636.51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6.220,00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(3.325,03 – 3.828,48)</c:v>
                </c:pt>
                <c:pt idx="6">
                  <c:v>Escenarios (bajista – alcista) (2.815,59 – 4.636,51)</c:v>
                </c:pt>
                <c:pt idx="7">
                  <c:v>DCF con la prima implícita del mercado (4,2 %)</c:v>
                </c:pt>
                <c:pt idx="8">
                  <c:v>Precio actual (6.220,00)</c:v>
                </c:pt>
              </c:strCache>
            </c:strRef>
          </c:cat>
          <c:val>
            <c:numRef>
              <c:f>Hoja1!$B$2:$B$10</c:f>
              <c:numCache>
                <c:formatCode>#,##0</c:formatCode>
                <c:ptCount val="9"/>
                <c:pt idx="0">
                  <c:v>4400</c:v>
                </c:pt>
                <c:pt idx="1">
                  <c:v>4600</c:v>
                </c:pt>
                <c:pt idx="2">
                  <c:v>4531.88</c:v>
                </c:pt>
                <c:pt idx="3">
                  <c:v>5001.87</c:v>
                </c:pt>
                <c:pt idx="4">
                  <c:v>2959.51</c:v>
                </c:pt>
                <c:pt idx="5">
                  <c:v>3325.03</c:v>
                </c:pt>
                <c:pt idx="6">
                  <c:v>2815.59</c:v>
                </c:pt>
                <c:pt idx="7">
                  <c:v>3784.46</c:v>
                </c:pt>
                <c:pt idx="8">
                  <c:v>6188.9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(4.400,00 – 8.880,00)</c:v>
                </c:pt>
                <c:pt idx="1">
                  <c:v>Precio objetivo de los analistas (4.600,00 – 8.700,00)</c:v>
                </c:pt>
                <c:pt idx="2">
                  <c:v>Comparables: EV/EBITDA NTM (4.531,88 – 7.491,83)</c:v>
                </c:pt>
                <c:pt idx="3">
                  <c:v>Comparables: PER NTM (5.001,87 – 7.270,23)</c:v>
                </c:pt>
                <c:pt idx="4">
                  <c:v>Transacciones precedentes (EV/ventas) (2.959,51 – 9.704,56)</c:v>
                </c:pt>
                <c:pt idx="5">
                  <c:v>DCF (WACC y g ± 0,5) (3.325,03 – 3.828,48)</c:v>
                </c:pt>
                <c:pt idx="6">
                  <c:v>Escenarios (bajista – alcista) (2.815,59 – 4.636,51)</c:v>
                </c:pt>
                <c:pt idx="7">
                  <c:v>DCF con la prima implícita del mercado (4,2 %)</c:v>
                </c:pt>
                <c:pt idx="8">
                  <c:v>Precio actual (6.220,00)</c:v>
                </c:pt>
              </c:strCache>
            </c:strRef>
          </c:cat>
          <c:val>
            <c:numRef>
              <c:f>Hoja1!$C$2:$C$10</c:f>
              <c:numCache>
                <c:formatCode>#,##0</c:formatCode>
                <c:ptCount val="9"/>
                <c:pt idx="0">
                  <c:v>4480</c:v>
                </c:pt>
                <c:pt idx="1">
                  <c:v>4100</c:v>
                </c:pt>
                <c:pt idx="2">
                  <c:v>2959.95</c:v>
                </c:pt>
                <c:pt idx="3">
                  <c:v>2268.3599999999997</c:v>
                </c:pt>
                <c:pt idx="4">
                  <c:v>6745.049999999999</c:v>
                </c:pt>
                <c:pt idx="5">
                  <c:v>503.4499999999998</c:v>
                </c:pt>
                <c:pt idx="6">
                  <c:v>1820.92</c:v>
                </c:pt>
                <c:pt idx="7">
                  <c:v>451.8299999999999</c:v>
                </c:pt>
                <c:pt idx="8">
                  <c:v>62.20000000000073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2026-10-07T09:59:53.999Z</dcterms:created>
  <dcterms:modified xsi:type="dcterms:W3CDTF">2026-10-07T09:59:54.001Z</dcterms:modified>
</cp:coreProperties>
</file>

<file path=docProps/custom.xml><?xml version="1.0" encoding="utf-8"?>
<Properties xmlns="http://schemas.openxmlformats.org/officeDocument/2006/custom-properties" xmlns:vt="http://schemas.openxmlformats.org/officeDocument/2006/docPropsVTypes"/>
</file>