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Intuitive Surgical, Inc.</w:t>
      </w:r>
    </w:p>
    <w:p>
      <w:pPr>
        <w:spacing w:after="60"/>
        <w:rPr>
          <w:color w:val="52514E"/>
          <w:sz w:val="22"/>
          <w:szCs w:val="22"/>
        </w:rPr>
      </w:pPr>
      <w:r>
        <w:rPr>
          <w:color w:val="52514E"/>
          <w:sz w:val="22"/>
          <w:szCs w:val="22"/>
        </w:rPr>
        <w:t xml:space="preserve">ISRG · NASDAQ Global Select Market · ISIN US46120E6023 · Health Care</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USD</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Vender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404,76 USD</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222,49 USD</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-45,0 %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144.297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28,6x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-2,0x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Intuitive Surgical, Inc.</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ISRG / US46120E6023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NASDAQ Global Select Market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S&amp;P 500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Health Care / Health Care Equipment &amp; Supplies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Sunnyvale, California (EE. UU.) · 1995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17.021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www.intuitive.com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404,76 (6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328,57 – 603,88</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356,5</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99,5 %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144.297 M USD</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135.972 M USD</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1,09 mil M USD/día (2,9 M de acciones; 3 meses, 65 sesiones)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Vender</w:t>
      </w:r>
      <w:r>
        <w:t xml:space="preserve"> · Convicción Baja · Valor objetivo </w:t>
      </w:r>
      <w:r>
        <w:rPr>
          <w:b/>
          <w:bCs/>
        </w:rPr>
        <w:t xml:space="preserve">222,49 USD</w:t>
      </w:r>
      <w:r>
        <w:t xml:space="preserve"> frente a 404,76 · con la prima implícita del mercado: 222,49 (-45,0 %) · Rentabilidad total esperada a 12 meses </w:t>
      </w:r>
      <w:r>
        <w:rPr>
          <w:b/>
          <w:bCs/>
        </w:rPr>
        <w:t xml:space="preserve">-45,0 %</w:t>
      </w:r>
      <w:r>
        <w:t xml:space="preserve"> · Alcista / bajista -26,1 % / -59,1 %</w:t>
      </w:r>
    </w:p>
    <w:p>
      <w:pPr>
        <w:spacing w:after="100"/>
      </w:pPr>
      <w:r>
        <w:rPr>
          <w:b/>
        </w:rPr>
        <w:t xml:space="preserve">La recomendación y por qué.</w:t>
      </w:r>
      <w:r>
        <w:t xml:space="preserve"> Vender, con convicción baja. El valor objetivo es de 222,49 USD frente a una cotización de 404,76 USD: una rentabilidad total esperada del −45,0 %, sin dividendo. Ni el escenario alcista (−26,1 %) llega al precio, y el bajista pierde un 59,1 %, así que la asimetría es negativa (−0,44x). La razón cabe en una frase: con las mismas cifras que el consenso, el precio solo rinde un 6,0 % anual, 0,7 puntos más que el Tesoro a 10 años. Convicción baja: la discrepancia es de tasa de descuento, no de cifras, y ningún catalizador con fecha la cierra.</w:t>
      </w:r>
    </w:p>
    <w:p>
      <w:pPr>
        <w:spacing w:after="100"/>
      </w:pPr>
      <w:r>
        <w:rPr>
          <w:b/>
        </w:rPr>
        <w:t xml:space="preserve">El negocio.</w:t>
      </w:r>
      <w:r>
        <w:t xml:space="preserve"> Tiene ≈ 83 % de los robots de cirugía endoscópica vendidos en el mundo y 11.710 sistemas instalados [7, 34]. El 84 % de los ingresos es recurrente: instrumentos con chip de vida limitada, servicio y arrendamientos [1]. Su ROIC es del 30,2 %, frente a un WACC del 10,1 %, con caja neta de 8.455 M USD. El foso es amplio, pero por primera vez se estrecha: la FDA autorizó Hugo de Medtronic en diciembre de 2025 y Ottava de J&amp;J en julio de 2026, y en China 11 de los 13 robots aprobados son locales [34, 38, 41].</w:t>
      </w:r>
    </w:p>
    <w:p>
      <w:pPr>
        <w:spacing w:after="100"/>
      </w:pPr>
      <w:r>
        <w:rPr>
          <w:b/>
        </w:rPr>
        <w:t xml:space="preserve">Finanzas.</w:t>
      </w:r>
      <w:r>
        <w:t xml:space="preserve"> Los ingresos crecieron al 15,7 % anual en 2016-2025 y el margen EBITDA GAAP volvió al 37,9 % en los últimos 12 meses. Tres ajustes que el mercado no hace. La remuneración en acciones (788 M USD, 27,6 % del beneficio) no está en el EBITDA del consenso. El tipo fiscal está rebajado por las deducciones del ejercicio de acciones. Y el capex no incluye los sistemas cedidos en arrendamiento (808,9 M USD en 2025), que el DCF sí cuenta [1]. La calidad contable es alta: Beneish M de −2,43 y Piotroski F de 8.</w:t>
      </w:r>
    </w:p>
    <w:p>
      <w:pPr>
        <w:spacing w:after="100"/>
      </w:pPr>
      <w:r>
        <w:rPr>
          <w:b/>
        </w:rPr>
        <w:t xml:space="preserve">Equipo y gobierno.</w:t>
      </w:r>
      <w:r>
        <w:t xml:space="preserve"> Suman, con un matiz. La guía de procedimientos se superó cinco años seguidos y la sucesión de Guthart por Rosa fue ordenada [19, 29]. Restan las ventas de la dirección (93,4 M USD en 12 meses, sin compras), un variable sin métricas de rentabilidad y la reforma de los estatutos de julio de 2026 sin pasar por la junta [60, 63].</w:t>
      </w:r>
    </w:p>
    <w:p>
      <w:pPr>
        <w:spacing w:after="100"/>
      </w:pPr>
      <w:r>
        <w:rPr>
          <w:b/>
        </w:rPr>
        <w:t xml:space="preserve">Valoración.</w:t>
      </w:r>
      <w:r>
        <w:t xml:space="preserve"> Todos los métodos coinciden: DCF 226,95 USD, comparables 192,69 USD y escenarios 229,67 USD. Según el DCF inverso, para pagar el precio los ingresos tendrían que crecer un 20,1 % anual en 2027-2035, frente a nuestro 10,1 % y a la guía de procedimientos del 13,5-15,5 % de 2026. O el margen EBITDA tendría que llegar al 66 %, frente al 39 %. O habría que aceptar un 6,0 % de rentabilidad. A 28,6x el EBITDA de los próximos 12 meses, Intuitive vale el doble que la mediana de sus pares (13,7x). Es el mínimo de su década (media de 49x), pero esa media se formó con el Tesoro entre el 0,52 % y el 4,98 %; hoy está en el 5,27 % [149]. Discrepamos del mercado en el coste del capital, no en el crecimiento: nuestra proyección coincide con el consenso en ingresos 2026-2028.</w:t>
      </w:r>
    </w:p>
    <w:p>
      <w:pPr>
        <w:spacing w:after="100"/>
      </w:pPr>
      <w:r>
        <w:rPr>
          <w:b/>
        </w:rPr>
        <w:t xml:space="preserve">Riesgos y catalizadores.</w:t>
      </w:r>
      <w:r>
        <w:t xml:space="preserve"> El mayor riesgo para esta recomendación es una bajada de tipos. Con un WACC del 9,1 % y un crecimiento terminal del 4 %, el valor sube a 266,41 USD (+17 %), aún un 34 % por debajo del precio. Para el negocio, el riesgo es el precio en EE. UU. tras Ottava y Hugo (escenario bajista, 165,59 USD). Catalizadores: resultados del 3T26 el 20-oct-2026 y la guía de procedimientos de 2027 en enero [86].</w:t>
      </w:r>
    </w:p>
    <w:p>
      <w:pPr>
        <w:spacing w:after="100"/>
      </w:pPr>
      <w:r>
        <w:rPr>
          <w:b/>
        </w:rPr>
        <w:t xml:space="preserve">Qué cambiaría la decisión.</w:t>
      </w:r>
      <w:r>
        <w:t xml:space="preserve"> Compraríamos por debajo de 193,47 USD y mantendríamos entre 193,47 y 247,21 USD. Revisaríamos al alza si la guía de 2027 arranca por encima del 15 % de procedimientos o si el Tesoro a 10 años baja del 4,25 %. Revisaríamos a la baja si el ingreso por procedimiento cae por debajo de 1.800 USD.</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Vender</w:t>
      </w:r>
      <w:r>
        <w:t xml:space="preserve"> · Convicción: Baja · Horizonte: 12 meses · Valor objetivo: </w:t>
      </w:r>
      <w:r>
        <w:rPr>
          <w:b/>
          <w:bCs/>
        </w:rPr>
        <w:t xml:space="preserve">222,49 USD</w:t>
      </w:r>
      <w:r>
        <w:t xml:space="preserve"> (-45,0 % sobre 404,76; rentabilidad total esperada -45,0 %) · con la prima implícita del mercado: 222,49 (-45,0 %)</w:t>
      </w:r>
    </w:p>
    <w:p>
      <w:pPr>
        <w:spacing w:after="100"/>
      </w:pPr>
      <w:r>
        <w:t xml:space="preserve">Intuitive es el estándar de la cirugía robótica de tejidos blandos: ≈ 83 % de las unidades vendidas, 11.710 da Vinci instalados y 3,15 millones de procedimientos en 2025 (+18 %), cada uno con ≈ 1.830 USD de instrumentos que solo vende ella [1, 7, 26, 34]. El modelo de cuchilla y cartuchos da un 84 % de ingresos recurrentes, un margen EBITDA GAAP del 37,9 %, un ROIC del 30,2 % y 8.625,5 M USD de caja sin deuda [1, 7].</w:t>
      </w:r>
    </w:p>
    <w:p>
      <w:pPr>
        <w:spacing w:after="100"/>
      </w:pPr>
      <w:r>
        <w:t xml:space="preserve">El precio de 404,76 USD descuenta mucho más que eso. Equivale a 28,6x el EBITDA de los próximos 12 meses y 39,2x el beneficio, el doble que sus pares. Según el DCF inverso, o los ingresos crecen al 20,1 % anual hasta 2035 (el doble de nuestro caso base y más que su propia historia), o el margen llega al 66 %, o el inversor se conforma con un 6,0 % anual con el Tesoro al 5,27 % [92].</w:t>
      </w:r>
    </w:p>
    <w:p>
      <w:pPr>
        <w:spacing w:after="100"/>
      </w:pPr>
      <w:r>
        <w:t xml:space="preserve">El mercado acierta en la calidad y se equivoca en el precio. Las estimaciones han subido un 13,1 % en 12 meses mientras la acción caía un 28,5 % en el año: el múltiplo se está ajustando a tipos más altos y a un crecimiento de procedimientos que ha pasado del 18 % al 13,5-15,5 % [21, 79, 85]. Para invertir hay que creer que los tipos volverán a bajar con fuerza o que Intuitive crecerá al 15 % otra década pese a Ottava, Hugo y China. Ninguna de las dos es nuestro caso base.</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222,49 USD</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-26,1 % / -59,1 %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 frente a 10,1 % y 10,1 %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10,1 %)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222,49 USD</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(2027e-2035e)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20,1 % frente a 16,1 %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Vender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193,34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193,34 y 247,41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247,41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Precio por debajo de 247,21 USD: pasaríamos a Mantener; por debajo de 193,47 USD, a Comprar.</w:t>
      </w:r>
    </w:p>
    <w:p>
      <w:pPr>
        <w:pStyle w:val="ListParagraph"/>
        <w:numPr>
          <w:ilvl w:val="0"/>
          <w:numId w:val="2"/>
        </w:numPr>
        <w:spacing w:after="60"/>
      </w:pPr>
      <w:r>
        <w:t xml:space="preserve">Guía de procedimientos da Vinci para 2027 del 15 % o más en enero de 2027: revisaríamos al alza el crecimiento de 2027-2030.</w:t>
      </w:r>
    </w:p>
    <w:p>
      <w:pPr>
        <w:pStyle w:val="ListParagraph"/>
        <w:numPr>
          <w:ilvl w:val="0"/>
          <w:numId w:val="2"/>
        </w:numPr>
        <w:spacing w:after="60"/>
      </w:pPr>
      <w:r>
        <w:t xml:space="preserve">Tesoro a 10 años por debajo del 4,25 % de forma sostenida: revisaríamos el WACC y probablemente a Mantener.</w:t>
      </w:r>
    </w:p>
    <w:p>
      <w:pPr>
        <w:pStyle w:val="ListParagraph"/>
        <w:numPr>
          <w:ilvl w:val="0"/>
          <w:numId w:val="2"/>
        </w:numPr>
        <w:spacing w:after="60"/>
      </w:pPr>
      <w:r>
        <w:t xml:space="preserve">Crecimiento de procedimientos en EE. UU. por debajo del +10 % dos trimestres seguidos: subiríamos la convicción en Vender.</w:t>
      </w:r>
    </w:p>
    <w:p>
      <w:pPr>
        <w:pStyle w:val="Heading2"/>
      </w:pPr>
      <w:r>
        <w:t xml:space="preserve">Dónde discrepamos del mercado</w:t>
      </w:r>
    </w:p>
    <w:p>
      <w:pPr>
        <w:keepNext/>
        <w:spacing w:after="100"/>
      </w:pPr>
      <w:r>
        <w:rPr>
          <w:b/>
          <w:bCs/>
        </w:rPr>
        <w:t xml:space="preserve">Lo que descuenta el precio.</w:t>
      </w:r>
    </w:p>
    <w:p>
      <w:pPr>
        <w:spacing w:after="100"/>
      </w:pPr>
      <w:r>
        <w:t xml:space="preserve">Los analistas (24 de 32 con compra, precio objetivo medio de 477,21 USD) valoran a Intuitive por múltiplos frente a su propia historia: 32,5x el EBITDA de 12 meses es el nivel más bajo de la década, con una media de 49x. Descuentan que el crecimiento de procedimientos del 13-15 % dura y que la competencia de Ottava y Hugo es de nicho [81, 84].</w:t>
      </w:r>
    </w:p>
    <w:p>
      <w:pPr>
        <w:keepNext/>
        <w:spacing w:after="100"/>
      </w:pPr>
      <w:r>
        <w:rPr>
          <w:b/>
          <w:bCs/>
        </w:rPr>
        <w:t xml:space="preserve">Lo que creemos nosotros.</w:t>
      </w:r>
    </w:p>
    <w:p>
      <w:pPr>
        <w:spacing w:after="100"/>
      </w:pPr>
      <w:r>
        <w:t xml:space="preserve">Compartimos las cifras: nuestros ingresos 2026-2028 difieren del consenso un 0,2 % como mucho. No compartimos el precio que se paga por ellas. Con el Tesoro al 5,27 %, la prima de mercado de Damodaran al 4,20 % y una beta de 1,15, el coste del capital es el 10,1 %. A ese coste, el negocio vale 226,95 USD por acción. El precio solo se sostiene con un 6,0 % de rentabilidad, o con un crecimiento del 20,1 % anual durante nueve años.</w:t>
      </w:r>
    </w:p>
    <w:p>
      <w:pPr>
        <w:keepNext/>
        <w:spacing w:after="100"/>
      </w:pPr>
      <w:r>
        <w:rPr>
          <w:b/>
          <w:bCs/>
        </w:rPr>
        <w:t xml:space="preserve">Por qué podemos tener razón.</w:t>
      </w:r>
    </w:p>
    <w:p>
      <w:pPr>
        <w:spacing w:after="100"/>
      </w:pPr>
      <w:r>
        <w:t xml:space="preserve">La media histórica de 49x se formó con el Tesoro entre el 0,52 % y el 4,98 %, y desde enero ha subido 108 puntos básicos, hasta el 5,27 % [149]. Además, la guía de 2026 es la primera en años que se estrecha en vez de subir [21]. Dos cambios estructurales, no cíclicos. Podríamos equivocarnos si los tipos bajan: con un WACC del 9,1 % el valor sería de 266,41 USD, todavía un 34 % por debajo del precio.</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USD) · precio actual 404,76"/>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226,95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192,69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-52,4 %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229,67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pStyle w:val="Heading2"/>
      </w:pPr>
      <w:r>
        <w:t xml:space="preserve">A favor</w:t>
      </w:r>
    </w:p>
    <w:p>
      <w:pPr>
        <w:pStyle w:val="ListParagraph"/>
        <w:numPr>
          <w:ilvl w:val="0"/>
          <w:numId w:val="2"/>
        </w:numPr>
        <w:spacing w:after="60"/>
      </w:pPr>
      <w:r>
        <w:rPr>
          <w:b/>
        </w:rPr>
        <w:t xml:space="preserve">Foso de escala y costes de cambio</w:t>
      </w:r>
      <w:r>
        <w:t xml:space="preserve">: ≈ 83 % de las unidades vendidas y 11.710 sistemas instalados; los rivales independientes pierden dinero (CMR −133,7 % de margen operativo) [7, 34, 46].</w:t>
      </w:r>
    </w:p>
    <w:p>
      <w:pPr>
        <w:pStyle w:val="ListParagraph"/>
        <w:numPr>
          <w:ilvl w:val="0"/>
          <w:numId w:val="2"/>
        </w:numPr>
        <w:spacing w:after="60"/>
      </w:pPr>
      <w:r>
        <w:rPr>
          <w:b/>
        </w:rPr>
        <w:t xml:space="preserve">Ingresos recurrentes</w:t>
      </w:r>
      <w:r>
        <w:t xml:space="preserve">: el 84 % de los ingresos (8.465,3 M USD en 2025) son instrumentos, servicio y arrendamientos [1].</w:t>
      </w:r>
    </w:p>
    <w:p>
      <w:pPr>
        <w:pStyle w:val="ListParagraph"/>
        <w:numPr>
          <w:ilvl w:val="0"/>
          <w:numId w:val="2"/>
        </w:numPr>
        <w:spacing w:after="60"/>
      </w:pPr>
      <w:r>
        <w:rPr>
          <w:b/>
        </w:rPr>
        <w:t xml:space="preserve">Rentabilidad</w:t>
      </w:r>
      <w:r>
        <w:t xml:space="preserve">: ROIC del 30,2 % frente a un WACC del 10,1 %, y un ROIC incremental del 24,6 %.</w:t>
      </w:r>
    </w:p>
    <w:p>
      <w:pPr>
        <w:pStyle w:val="ListParagraph"/>
        <w:numPr>
          <w:ilvl w:val="0"/>
          <w:numId w:val="2"/>
        </w:numPr>
        <w:spacing w:after="60"/>
      </w:pPr>
      <w:r>
        <w:rPr>
          <w:b/>
        </w:rPr>
        <w:t xml:space="preserve">Balance</w:t>
      </w:r>
      <w:r>
        <w:t xml:space="preserve">: sin deuda financiera y con 8.625,5 M USD de caja e inversiones a 30-jun-2026 [7].</w:t>
      </w:r>
    </w:p>
    <w:p>
      <w:pPr>
        <w:pStyle w:val="ListParagraph"/>
        <w:numPr>
          <w:ilvl w:val="0"/>
          <w:numId w:val="2"/>
        </w:numPr>
        <w:spacing w:after="60"/>
      </w:pPr>
      <w:r>
        <w:rPr>
          <w:b/>
        </w:rPr>
        <w:t xml:space="preserve">Dirección que cumple</w:t>
      </w:r>
      <w:r>
        <w:t xml:space="preserve">: superó la guía de procedimientos cinco años seguidos, casi siempre por encima del techo inicial [19].</w:t>
      </w:r>
    </w:p>
    <w:p>
      <w:pPr>
        <w:pStyle w:val="ListParagraph"/>
        <w:numPr>
          <w:ilvl w:val="0"/>
          <w:numId w:val="2"/>
        </w:numPr>
        <w:spacing w:after="60"/>
      </w:pPr>
      <w:r>
        <w:rPr>
          <w:b/>
        </w:rPr>
        <w:t xml:space="preserve">Barata frente a su historia</w:t>
      </w:r>
      <w:r>
        <w:t xml:space="preserve">: 32,5x el EBITDA de 12 meses, percentil 10 de la década (media de 49x).</w:t>
      </w:r>
    </w:p>
    <w:p>
      <w:pPr>
        <w:pStyle w:val="Heading2"/>
      </w:pPr>
      <w:r>
        <w:t xml:space="preserve">En contra</w:t>
      </w:r>
    </w:p>
    <w:p>
      <w:pPr>
        <w:pStyle w:val="ListParagraph"/>
        <w:numPr>
          <w:ilvl w:val="0"/>
          <w:numId w:val="2"/>
        </w:numPr>
        <w:spacing w:after="60"/>
      </w:pPr>
      <w:r>
        <w:rPr>
          <w:b/>
        </w:rPr>
        <w:t xml:space="preserve">El precio descuenta un 6,0 % de rentabilidad</w:t>
      </w:r>
      <w:r>
        <w:t xml:space="preserve"> con el Tesoro a 10 años en el 5,27 % [92].</w:t>
      </w:r>
    </w:p>
    <w:p>
      <w:pPr>
        <w:pStyle w:val="ListParagraph"/>
        <w:numPr>
          <w:ilvl w:val="0"/>
          <w:numId w:val="2"/>
        </w:numPr>
        <w:spacing w:after="60"/>
      </w:pPr>
      <w:r>
        <w:rPr>
          <w:b/>
        </w:rPr>
        <w:t xml:space="preserve">El DCF inverso exige un 20,1 % de crecimiento anual</w:t>
      </w:r>
      <w:r>
        <w:t xml:space="preserve"> de 2027 a 2035, frente a una guía de procedimientos del 13,5-15,5 % [21].</w:t>
      </w:r>
    </w:p>
    <w:p>
      <w:pPr>
        <w:pStyle w:val="ListParagraph"/>
        <w:numPr>
          <w:ilvl w:val="0"/>
          <w:numId w:val="2"/>
        </w:numPr>
        <w:spacing w:after="60"/>
      </w:pPr>
      <w:r>
        <w:rPr>
          <w:b/>
        </w:rPr>
        <w:t xml:space="preserve">Competencia en EE. UU. por primera vez</w:t>
      </w:r>
      <w:r>
        <w:t xml:space="preserve">: Hugo (dic-2025) y Ottava (jul-2026) tienen autorización de la FDA [38, 41].</w:t>
      </w:r>
    </w:p>
    <w:p>
      <w:pPr>
        <w:pStyle w:val="ListParagraph"/>
        <w:numPr>
          <w:ilvl w:val="0"/>
          <w:numId w:val="2"/>
        </w:numPr>
        <w:spacing w:after="60"/>
      </w:pPr>
      <w:r>
        <w:rPr>
          <w:b/>
        </w:rPr>
        <w:t xml:space="preserve">China se pierde</w:t>
      </w:r>
      <w:r>
        <w:t xml:space="preserve">: 11 de los 13 robots aprobados son locales y la compra centralizada llega en 2027 [26, 34].</w:t>
      </w:r>
    </w:p>
    <w:p>
      <w:pPr>
        <w:pStyle w:val="ListParagraph"/>
        <w:numPr>
          <w:ilvl w:val="0"/>
          <w:numId w:val="2"/>
        </w:numPr>
        <w:spacing w:after="60"/>
      </w:pPr>
      <w:r>
        <w:rPr>
          <w:b/>
        </w:rPr>
        <w:t xml:space="preserve">La caja libre del mercado está inflada</w:t>
      </w:r>
      <w:r>
        <w:t xml:space="preserve">: no resta 788 M USD de remuneración en acciones ni 808,9 M de sistemas arrendados [1].</w:t>
      </w:r>
    </w:p>
    <w:p>
      <w:pPr>
        <w:pStyle w:val="ListParagraph"/>
        <w:numPr>
          <w:ilvl w:val="0"/>
          <w:numId w:val="2"/>
        </w:numPr>
        <w:spacing w:after="60"/>
      </w:pPr>
      <w:r>
        <w:rPr>
          <w:b/>
        </w:rPr>
        <w:t xml:space="preserve">Prima doble sobre los pares</w:t>
      </w:r>
      <w:r>
        <w:t xml:space="preserve">: 28,6x el EBITDA de los próximos 12 meses frente a una mediana de 13,7x.</w:t>
      </w:r>
    </w:p>
    <w:p>
      <w:pPr>
        <w:pStyle w:val="Heading2"/>
      </w:pPr>
      <w:r>
        <w:t xml:space="preserve">Qué tiene que pasar para que la tesis funcione</w:t>
      </w:r>
    </w:p>
    <w:p>
      <w:pPr>
        <w:spacing w:after="100"/>
      </w:pPr>
      <w:r>
        <w:t xml:space="preserve">La tesis depende de que el crecimiento de procedimientos siga desacelerando hacia el 12-13 % mientras el Tesoro a 10 años sigue por encima del 5 %. Eso mantendría el múltiplo bajo presión. La señal de que no se cumple sería doble: una guía de procedimientos para 2027 que arranque en el 15 % o más (la de 2026 arrancó en el 13-15 %) y un Tesoro a 10 años por debajo del 4,25 % [21, 92].</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de procedimientos da Vinci (mundo)</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 (2T26); guía 2026: 13,5-15,5 %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12 % o &gt; 16 %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Mueve el 60 % de las ventas (instrumentos) y el DCF inverso exige más del 20 % anual en ingresos.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Procedimientos en EE. UU.</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10 %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 es el 68 % de las ventas y el primer mercado donde compiten Ottava y Hugo.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Ingreso de instrumentos por procedimiento</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 1.830 USD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USD</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Señal de presión de precio y del efecto de los instrumentos de más usos.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bruto no GAAP</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68,9 % (1S26); guía 68-69 %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67 %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Recoge aranceles, mezcla del da Vinci 5 y precio.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Tesoro de EE. UU. a 10 años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5,27 %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4,25 %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recomendación depende del coste del capital más que de las cifras.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Colocaciones en arrendamiento operativo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54 %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&gt; 60 %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Más arrendamiento significa más inversión en sistemas que no aparece como capex.</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32,5x / 28,6x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46,4x / 39,2x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39,4x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12,32x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37,9 %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30,2 %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-2,0x · -2,0x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Intuitive Surgical se fundó en 1995 en Sunnyvale (California) [1]. Lanzó el primer sistema da Vinci en 1999 y en julio de 2000 obtuvo de la FDA la autorización para cirugía laparoscópica general, el mismo año en que salió a bolsa [1, 31]. En junio de 2003 compró Computer Motion, el otro fabricante estadounidense de robots quirúrgicos, en una operación en acciones de 148,5 M USD [31]. Desde entonces ha renovado la plataforma por generaciones (S 2006, Si 2009, Xi 2014, X 2017, SP 2018, da Vinci 5 en 2024) y en 2019 salió de la cirugía con Ion, para biopsia pulmonar [1]. Ha ido integrando distribuidores: China en 2019, mediante la empresa conjunta con Fosun, e Italia, España y Portugal en marzo de 2026 [7, 32]. En julio de 2025 Dave Rosa, en la empresa desde 1996, sustituyó como consejero delegado a Gary Guthart, que pasó a presidente ejecutivo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de Intuitive Surgical, Inc. (Delaware; sede en Sunnyvale, California)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2000</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FDA autoriza da Vinci para cirugía laparoscópica general (julio de 2000); salida a bolsa en el Nasdaq ese mismo año [1, 31].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Computer Motion (junio de 2003), fabricante de robots quirúrgicos, en una operación en acciones de 148,5 M USD [31].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Autorización de la FDA para ginecología; hasta entonces la mayoría de las histerectomías eran cirugía abierta. La histerectomía benigna es hoy la mayor fuente de procedimientos nuevos en ginecología en EE. UU.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Cuarta generación, da Vinci Xi (tras el Si de 2009), base de la familia actual; en 2017 llega el da Vinci X para clientes sensibles al precio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Comercialización del da Vinci SP (puerto único); base instalada de 445 SP a 30-jun-2026 [1, 7].</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FDA autoriza Ion (biopsia pulmonar robótica). La empresa conjunta con Fosun (60 % Intuitive) compra la distribución de Chindex en China por 66,0 M USD, y Intuitive compra a Schölly la fabricación de endoscopios por 101,4 M USD [1, 32].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Desdoblamiento de acciones 3 por 1 (septiembre de 2021), aprobado junto con la ampliación de las acciones autorizadas de 300 a 600 millones [30].</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FDA autoriza da Vinci 5 (marzo de 2024), con retroalimentación de fuerza y 10.000 veces la capacidad de cálculo del Xi; 870 colocaciones en 2025 y 1.710 instalados a 30-jun-2026 [1, 7].</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Dave Rosa sustituye a Gary Guthart como consejero delegado el 1 de julio de 2025; Guthart pasa a presidente ejecutivo [29].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el 1 de marzo de 2026 el negocio de distribución de da Vinci e Ion de ab medica, Abex y Excelencia Robótica (Italia, España, Portugal, Malta y San Marino) por unos 533,1 M USD en efectivo [7, 28].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Intuitive diseña, fabrica y vende sistemas robóticos para cirugía mínimamente invasiva (da Vinci 5, Xi, X y SP) y para biopsia pulmonar endoluminal (Ion), los instrumentos y accesorios que se usan en cada intervención (pinzas, grapadoras SureForm, sellado de vasos, paños estériles), el servicio técnico y la formación de cirujanos [1]. Los clientes son hospitales y redes de hospitales (IDN). En EE. UU., Europa (salvo los países con distribuidor), China (empresa conjunta con Fosun), Japón, Corea, India, Taiwán y Canadá vende directamente; en el resto, a través de distribuidores [1]. Fabrica los sistemas en Sunnyvale, Peachtree Corners (Georgia) y Shanghái; los instrumentos, en Sunnyvale y sobre todo en Mexicali (México); los endoscopios, en Alemania y Bulgaria [1]. A 30 de junio de 2026 tenía 11.710 da Vinci instalados (6.615 en EE. UU., 2.325 en Europa, 2.111 en Asia y 659 en el resto) y 1.096 Ion [7]. En 2025 hubo unos 3,15 millones de procedimientos da Vinci (+18 %) y 144.100 de Ion (+51 %) [1]. EE. UU. supuso el 68 % de los ingresos [1].</w:t>
      </w:r>
    </w:p>
    <w:p>
      <w:pPr>
        <w:pStyle w:val="Heading2"/>
      </w:pPr>
      <w:r>
        <w:t xml:space="preserve">Cómo gana dinero</w:t>
      </w:r>
    </w:p>
    <w:p>
      <w:pPr>
        <w:spacing w:after="100"/>
      </w:pPr>
      <w:r>
        <w:t xml:space="preserve">Es un modelo de «cuchilla y cartuchos». El sistema (ASP de 1,60 M USD en 2025) abre la cuenta, y cada intervención consume instrumentos de vida limitada: un chip impide usarlos más veces de las prescritas [1]. En 2025 los ingresos recurrentes (instrumentos y accesorios, 6.018,9 M USD; servicio, 1.572,1 M USD; arrendamiento operativo, 874,3 M USD) sumaron 8.465,3 M USD, el 84 % de los 10.064,7 M USD totales; los sistemas aportaron 2.473,7 M USD [1]. El 51 % de las colocaciones de da Vinci (872 de 1.721) se hizo con arrendamiento operativo, 496 de ellas cobradas por uso [1]. El motor es el volumen de procedimientos, no la venta de máquinas: 18 % más procedimientos dieron 19 % más ingresos de instrumentos [1]. El margen bruto bajó del 67,5 % al 66,0 % en 2025 por los aranceles (63,0 M USD) y por los costes del da Vinci 5 [1]. Hay estacionalidad: más colocaciones y procedimientos benignos en el cuarto trimestre, y menos en el primero [1].</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78"/>
        <w:gridCol w:w="1320"/>
        <w:gridCol w:w="1320"/>
        <w:gridCol w:w="1320"/>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Instrumentos y accesorios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6.019</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59,8 %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Sistemas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Servicio</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Instrumentos y accesorios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5.079</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6.019</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Sistemas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1.966</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Servicio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1.307</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clientes son hospitales individuales y redes integradas (IDN). La primera venta es una compra de equipo con ciclo largo, y luego hay pedidos recurrentes de instrumentos que se envían en un día laborable [1]. Menos del 10 % de los ingresos pasa por distribuidores fuera de EE. UU. [1]. Los arrendamientos de pago fijo no se pueden cancelar sin penalización; los de pago por uso sí permiten salir antes del final [1]. 437 de las 1.721 colocaciones de 2025 fueron cambios de sistemas antiguos por nuevos (150 en 2024) [1]. Señal de poder de precios: el ASP de da Vinci subió de 1,50 a 1,60 M USD en 2025 por la mezcla con da Vinci 5, pese a mayores descuentos y más canjes [1]. En contra: varias provincias chinas limitan desde 2022 lo que los hospitales cobran por la cirugía robótica, y en Japón los procedimientos nuevos se reembolsan como la laparoscopia [1].</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Procedimientos da Vinci (miles)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2.683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3.153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 2.012 (+15 %), fuera 1.141 (+23 %) [1]. +16 % en 1T26 y +15 % en 2T26; guía 2026: +13,5-15,5 % [20, 21].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Procedimientos Ion (miles)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95,5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144,1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+39 % en 1T26 y +36 % en 2T26 [20, 21].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 instalada da Vinci (sistemas)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9.902 (dic-24)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11.106 (dic-25)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 6.364, Europa 2.168, Asia 1.993, resto 581 [1]; 11.710 a jun-26 (+12 %) [21].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Colocaciones da Vinci (sistemas)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1.526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1.721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870 da Vinci 5 en 2025 frente a 362; 437 con entrega de un sistema usado (150 en 2024) [1]. 1S26: 899 frente a 762 [20, 21].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 colocaciones da Vinci en arrendamiento operativo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872 de 1.721 en 2025, de ellas 496 por uso [1]; 54 % en 2T26 (254 de 468) [21].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Ingresos de I&amp;A por procedimiento da Vinci (USD)</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≈1.800 (2T25)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≈1.830 (2T26)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Dato verbal de la conferencia [26]; en 1T26, ≈1.880 frente a ≈1.780 [25].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da Vinci (procedimientos por sistema y año)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empresa publica la variación anual, no el nivel [1, 2]; +3 % en 2T26 según la conferencia [26].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Ingresos recurrentes (% de ingresos)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84 %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I&amp;A + servicio + arrendamiento operativo: 8.465 M USD en 2025 [1].</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el de robots de cirugía endoscópica (laparoscópica y toracoscópica) de tejidos blandos, multipuerto y de puerto único, a escala mundial: sistemas, instrumentos y servicio. Quedan fuera los robots de ortopedia y columna (Mako, ROSA, ExcelsiusGPS) y los endoluminales (Ion). Se usa la serie de Frost &amp; Sullivan publicada en el folleto de salida a bolsa de Edge Medical, en millones de USD a precio de fábrica [34], porque separa el segmento endoscópico y cuadra con la facturación de Intuitive (8.352 M USD en 2024, Ion incluido) [1]. Como contraste, MarketsandMarkets da 11.980 M USD en 2024 para todos los robots quirúrgicos, ortopedia incluida [37]. Esa cifra parece corta: solo Intuitive facturó 8.352 M USD ese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10.220 M USD en 2024 y 12.450 M USD estimados para 2025 (robots de cirugía endoscópica, mundo, precio de fábrica; Frost &amp; Sullivan) [34]. Contraste: 11.980 M USD en 2024 y 13.690 M USD en 2025 para todo el mercado de robots quirúrgicos, ortopedia incluida, según MarketsandMarkets [37]; Intuitive sola facturó 10.065 M USD en 2025 [1].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16,7 %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lones de USD (robots de cirugía endoscópica, mundo, precio de fábrica; Frost &amp; Sullivan))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Penetración de la robótica en la cirugía endoscópica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EE. UU. la cirugía endoscópica asistida por robot fue el 21,9 % del total en 2024 (1,8 millones de intervenciones); en China, el 0,7 %, con previsión del 3,0 % en 2033 [34].</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Volumen de procedimientos y nuevas indicaciones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3,153 millones de procedimientos da Vinci en 2025 (+18 %) y +15 % en el 2T26 [1, 7]; Intuitive cifra en 9 millones los procedimientos «en línea de visión» para 2026 (7 millones en 2024) [33]; da Vinci 5 en cirugía cardiaca añade unos 160.000 procedimientos al año [33].</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Capacidad de inversión de los hospitales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Intuitive espera que los clientes sigan siendo prudentes en inversión por falta de personal, menos financiación pública (Europa, Japón) y tipos altos; lo compensa con arrendamiento operativo, el 51 % de las colocaciones de 2025 [1, 7].</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 cuotas, licitaciones y política industrial</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cuota de 2023 permite 559 robots nuevos para todos los fabricantes; Intuitive ha colocado 169 + 3 (a 30-jun-2026) [7]. En China hay 13 robots multipuerto aprobados por la NMPA, 11 de marcas chinas [34]; desde 2022 hay topes provinciales al precio de la cirugía robótica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Fármacos GLP-1 frente a la cirugía bariátrica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procedimientos bariátricos da Vinci en EE. UU. caen a un ritmo de un dígito alto y son ≈ 2 % del total [7]; Medtronic cita la presión de los fármacos sobre el volumen bariátrico [38].</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Aranceles y cadena de suministro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Los aranceles subieron el coste de ventas de Intuitive en 63,0 M USD en 2025 y en 48,8 M USD en el 1S26 (con 35,9 M USD de devoluciones IEEPA en el 2T26) [1, 7].</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Intuitive vendió 1.430 de los 1.726 robots multipuerto colocados en el mundo en 2024 (≈ 83 %) [34]. Pero en 2025-26 entraron en EE. UU. Hugo (urología, dic-2025), Versius Plus (510(k), dic-2025) y Ottava (De Novo, jul-2026) [38, 41, 46], y en China compiten 11 marcas locales aprobadas [34].</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Compran hospitales y redes con presupuestos ajustados; en China, por licitación pública y con topes provinciales al precio desde 2022; en Japón, los procedimientos nuevos se reembolsan como la laparoscopia [1]. Lo atenúan los costes de cambio: el 25 % de las colocaciones de 2025 fueron canjes de sistemas propios (437 de 1.721)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componentes de proveedor único y se compra casi todo con órdenes de compra, sin contratos largos [1]; tensiones en semiconductores (memoria) y riesgo de restricciones chinas a las tierras raras [7]. Hasta ahora, sin efecto material, salvo los aranceles (63,0 M USD en 2025)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FDA ha abierto la puerta a varios rivales (De Novo para Versius en oct-2024 y Ottava en jul-2026; 510(k) solicitado por SS Innovations en dic-2025) [41, 45, 46]. Las barreras siguen siendo altas: más de 5.600 patentes en vigor y 2.500 en trámite, y 11.710 sistemas instalados [1, 7]. Los entrantes pierden dinero: CMR, −134 % de margen operativo en 2025; MicroPort MedBot, −43 % [36, 46].</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Compiten la cirugía abierta, la laparoscopia convencional, los fármacos y la radioterapia [1]. La laparoscopia ya domina colecistectomía y apendicectomía, lo que limita la ganancia ahí [1]. Los GLP-1 reducen la bariátrica (≈ 2 % de los procedimientos) [7]. Con un 78 % de la cirugía endoscópica de EE. UU. aún sin robot, la sustitución favorece hoy al robot [34].</w:t>
            </w:r>
          </w:p>
        </w:tc>
      </w:tr>
    </w:tbl>
    <w:p>
      <w:pPr>
        <w:spacing w:after="160" w:before="0"/>
      </w:pPr>
    </w:p>
    <w:p>
      <w:pPr>
        <w:pStyle w:val="Heading2"/>
      </w:pPr>
      <w:r>
        <w:t xml:space="preserve">Ciclo</w:t>
      </w:r>
    </w:p>
    <w:p>
      <w:pPr>
        <w:spacing w:after="100"/>
      </w:pPr>
      <w:r>
        <w:t xml:space="preserve">Los indicadores son los procedimientos (+18 % en 2025, +15 % en el 2T26), las colocaciones (1.721 en 2025, +13 %) y la base instalada (+12 %) [1, 7]. El sector se ha comportado como semidefensivo. En 2009 los ingresos de Intuitive crecieron un 20 % (de 874,9 a 1.052,2 M USD) [24]. En 2020 el COVID dejó los procedimientos en +1 % y los ingresos en −2,7 % (de 4.478,5 a 4.358,4 M USD) [5, 24]. En 2022, con inflación y tipos al alza, los ingresos crecieron un 9,0 % (de 5.710,1 a 6.222,2 M USD) y los procedimientos llegaron a 1,875 millones [3, 24]. La parte cíclica es la de equipos: los hospitales retrasan inversiones con tipos altos [1].</w:t>
      </w:r>
    </w:p>
    <w:p>
      <w:pPr>
        <w:pStyle w:val="Heading2"/>
      </w:pPr>
      <w:r>
        <w:t xml:space="preserve">Regulación</w:t>
      </w:r>
    </w:p>
    <w:p>
      <w:pPr>
        <w:spacing w:after="100"/>
      </w:pPr>
      <w:r>
        <w:t xml:space="preserve">En EE. UU. los productos de Intuitive son de clase II y entran por 510(k); los rivales nuevos sin predicado usan la vía De Novo (Versius en oct-2024, Ottava en jul-2026) [1, 41, 46]. En la UE rige el MDR (Reglamento 2017/745), con transición hasta el 31-dic-2028; da Vinci 5 lo obtuvo en jul-2025, aún sin la retroalimentación de fuerza [1]. En China hacen falta registro de la NMPA, cuota estatal de equipos (559 robots en la de 2023) y licitación; hay topes provinciales de precio desde 2022 y una campaña anticorrupción desde jul-2023 [1, 7]. Aranceles de EE. UU.: el Supremo anuló en feb-2026 los basados en la IEEPA, y desde el 24-feb-2026 rige un 10 % general por la Sección 122, del que se libran los productos USMCA de Mexicali; efecto declarado: 63,0 M USD de coste en 2025 y 48,8 M USD en el 1S26 [1, 7].</w:t>
      </w:r>
    </w:p>
    <w:p>
      <w:pPr>
        <w:pStyle w:val="Heading2"/>
      </w:pPr>
      <w:r>
        <w:t xml:space="preserve">Tendencias y disrupción</w:t>
      </w:r>
    </w:p>
    <w:p>
      <w:pPr>
        <w:spacing w:after="100"/>
      </w:pPr>
      <w:r>
        <w:t xml:space="preserve">En tecnología: retroalimentación de fuerza (da Vinci 5), puerto único (SP, 445 instalados), cirugía cardiaca con da Vinci 5 (FDA, ene-2026) e IA en la navegación de Ion (FDA, oct-2025) [1, 7]. En hábitos: la cirugía se desplaza a centros ambulatorios (ASC), donde Intuitive entra con Xi reacondicionados (42 en 2025) [33]. En competidores: llegan grandes grupos a EE. UU. (Medtronic Hugo, J&amp;J Ottava, CMR Versius Plus) [38, 41, 46], y los fabricantes chinos salen fuera: el 73 % de los ingresos de MicroPort MedBot y 54 de los 100 robots entregados por Edge Medical son ya del exterior [35, 36]. Medtronic pagó unos 700 M USD por entrar en Cornerstone Robotics y distribuir su sistema Sentire fuera de EE. UU. (sep-2026) [39].</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83,0 %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1.º mundial en robots de cirugía endoscópica de tejidos blandos: ≈ 83 % de las unidades multipuerto vendidas en 2024 (1.430 de 1.726) [34] y 11.710 da Vinci instalados a 30-jun-2026 [7]. En biopsia pulmonar robótica, Ion ya supera la mitad de las biopsias pulmonares de EE. UU. [7].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Amplio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 estrecha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Medtronic (Hugo RAS)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Irlanda / 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MDT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36.364</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entero, ejercicio cerrado en abril de 2026; Medical Surgical facturó 8.815 M USD con 2.128 M USD de beneficio operativo de segmento (24,1 %) [38]. Hugo obtuvo de la FDA la autorización en urología en diciembre de 2025; cirugía general y ginecología, pendientes [38]. En septiembre de 2026 invirtió unos 700 M USD en Cornerstone Robotics para distribuir su robot fuera de EE. UU. [39].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Johnson &amp; Johnson MedTech (Ottava)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JNJ</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33.792</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margen es el beneficio antes de impuestos del segmento MedTech en 2025 (4.113 M USD) [40]. Solicitó la vía De Novo para Ottava el 7-ene-2026 y la FDA la concedió el 22-jul-2026 para nueve procedimientos de cirugía general del abdomen superior (bypass gástrico, colecistectomía, hernia de hiato…); lanzamiento con clientes seleccionados de EE. UU. y ensayo en curso en hernia inguinal [41].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Stryker (Mako)</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SYK</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25.116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compite en tejidos blandos: Mako es un robot de ortopedia (rodilla y cadera), con más de 2 millones de procedimientos acumulados y presencia en más de 45 países [42]. Sirve de referencia de margen de la robótica quirúrgica cotizada.</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CMR Surgical (Versius)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Reino Unido</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-133,7 %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Sociedad no cotizada: 51,7 M GBP de ingresos y −69,2 M GBP de pérdida operativa en 2025, convertidos a 1,3192 USD/GBP [46, 48]. 227 Versius instalados (48 colocaciones en 2025) y 13.253 procedimientos [46]. De Novo de la FDA en oct-2024 y 510(k) para Versius Plus en dic-2025 [46]. La cuota es la estimación propia de 34 de 1.726 unidades en 2024 [34, 46].</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MicroPort MedBot (Toumai)</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China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2252.HK</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551,1 M CNY de ingresos en 2025 (+114 %) y −235,3 M CNY de pérdida operativa, convertidos a 7,1875 CNY/USD [36, 48]. El 73 % de los ingresos viene del exterior; Toumai suma más de 220 pedidos en más de 50 países y más de 140 instalaciones [36].</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Edge Medical (MP1000 / SP1000)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China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2675.HK</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455,7 M CNY de ingresos en 2025 (+185 %) y −88,1 M CNY de pérdida operativa, convertidos a 7,1875 CNY/USD [35, 48]. Cotiza en Hong Kong desde el 8-ene-2026; 100 robots entregados a 31-dic-2025, 54 de ellos fuera de China; el MP1000 está aprobado en 22 jurisdicciones extranjeras [35].</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SS Innovations (SSi Mantra)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India / 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SSII</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42,5 M USD de ingresos en 2025 y −8,2 M USD de pérdida operativa [45]. 168 sistemas instalados, 154 en India; solicitó el 510(k) a la FDA el 5-dic-2025 [45]. Compite en precio.</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Globus Medical (ExcelsiusGPS)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GMED</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2.939</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Robótica de columna, no de tejidos blandos; 479,8 M USD de beneficio operativo en 2025 [43].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11.710 sistemas instalados, casi todos conectados a internet, que alimentan los datos de Case Insights, My Intuitive y SimNow; red mundial de cirujanos formadores [1, 2]. Es un efecto de red indirecto (formación, datos y referencias), no un efecto de red puro entre usuarios.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Cirujanos y equipos formados en la consola da Vinci; 437 de las 1.721 colocaciones de 2025 fueron canjes de sistemas propios [1]. El 51 % de las colocaciones se hace con arrendamiento operativo, y los de pago fijo no se pueden cancelar sin penalización [1]. Los instrumentos llevan un chip que limita sus usos, y los del Si no sirven en el Xi/5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Más de 5.600 patentes en vigor y más de 2.500 en trámite a 31-dic-2025 [1]. Más de 70 usos clínicos y autorizaciones en EE. UU., UE, Japón, Corea y China [1]. En EE. UU., da Vinci es el tratamiento de referencia en la cirugía del cáncer de próstata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del 66,0 % y operativo del 29,3 % en 2025 (2.945,5 M USD sobre 10.064,7 M USD) [1], frente a margen de producto del 42 % y pérdida operativa en CMR y pérdidas en MedBot y Edge [23, 13, 12]. Las ventajas vienen sobre todo de la escala, no de un coste unitario menor: los chinos venden en China más barato (≈ 15 frente a ≈ 22 M CNY por sistema) [11].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 83 % de las unidades multipuerto vendidas en 2024 [11]. Los rivales independientes no ganan dinero: CMR −133,7 %, MedBot −42,7 %, Edge −19,3 % y SSII −19,3 % de margen operativo en 2025 [23, 13, 12, 22]. Los rivales con escala son conglomerados (Medtronic, J&amp;J) que acaban de obtener la FDA [15, 18].</w:t>
            </w:r>
          </w:p>
        </w:tc>
      </w:tr>
    </w:tbl>
    <w:p>
      <w:pPr>
        <w:spacing w:after="160" w:before="0"/>
      </w:pPr>
    </w:p>
    <w:p>
      <w:pPr>
        <w:pStyle w:val="Heading2"/>
      </w:pPr>
      <w:r>
        <w:t xml:space="preserve">Amenazas</w:t>
      </w:r>
    </w:p>
    <w:p>
      <w:pPr>
        <w:spacing w:after="100"/>
      </w:pPr>
      <w:r>
        <w:t xml:space="preserve">La amenaza que importa ya no es hipotética: en 2025-2026 la FDA autorizó Hugo de Medtronic (urología, dic-2025), Versius Plus de CMR (dic-2025) y Ottava de J&amp;J (De Novo, jul-2026, nueve procedimientos de cirugía general, el segmento que más crece para Intuitive) [38, 41, 46]. Probabilidad alta de que haya presión de precio en concursos de EE. UU. desde 2027, pero baja de que cambie la cuota en tres años: los rivales parten de cero instalaciones frente a 11.710 da Vinci y de pérdidas operativas (CMR −133,7 %, MedBot −42,7 %) [7, 36, 46]. En China la erosión ya ocurre: 11 de los 13 robots aprobados son locales y Edge vende a ≈ 15 M CNY frente a ≈ 22 M del Xi [34]. A más largo plazo, la remanufactura de EndoWrist y la demanda colectiva de hospitales (juicio el 14-sep-2027) atacan el ingreso por procedimiento [7].</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4.358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65,6 %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1.943</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7.124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10.065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3.573</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7,87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13 %</w:t>
            </w:r>
          </w:p>
        </w:tc>
      </w:tr>
    </w:tbl>
    <w:p>
      <w:pPr>
        <w:spacing w:after="160" w:before="0"/>
      </w:pPr>
    </w:p>
    <w:p>
      <w:pPr>
        <w:spacing w:after="100"/>
      </w:pPr>
      <w:r>
        <w:t xml:space="preserve">Crecimiento anual compuesto 2016-2025: ingresos </w:t>
      </w:r>
      <w:r>
        <w:rPr>
          <w:b/>
          <w:bCs/>
        </w:rPr>
        <w:t xml:space="preserve">15,7 %</w:t>
      </w:r>
      <w:r>
        <w:t xml:space="preserve">, EBITDA </w:t>
      </w:r>
      <w:r>
        <w:rPr>
          <w:b/>
          <w:bCs/>
        </w:rPr>
        <w:t xml:space="preserve">14,7 %</w:t>
      </w:r>
      <w:r>
        <w:t xml:space="preserve">, BPA </w:t>
      </w:r>
      <w:r>
        <w:rPr>
          <w:b/>
          <w:bCs/>
        </w:rPr>
        <w:t xml:space="preserve">15,9 %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USD,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Intuitive ha multiplicado por 3,7 sus ingresos en diez años (2.706,5 a 10.064,7 M USD; TCAC del 15,7 %) sin compras relevantes: todo el crecimiento es orgánico salvo los distribuidores del sur de Europa, que consolidan desde el 1-mar-2026 [1, 23]. El motor es el volumen de procedimientos (+18 % en 2025), que arrastra instrumentos y servicio; los sistemas son más cíclicos (planos en 2022-2023 con 1.680 M USD) [1]. El margen EBITDA GAAP pasó del 38,5 % de 2016 al 30,7 % de 2023 y ha vuelto al 35,5 % en 2025 y al 37,9 % en los últimos 12 meses: la caída vino de la remuneración en acciones (de 178 a 788 M USD), de la depreciación de las nuevas fábricas y de los sistemas en arrendamiento, y la recuperación del apalancamiento operativo y del precio medio del da Vinci 5 (1,60 M USD frente a 1,50 M) [1, 24]. El margen bruto perdió 150 p.b. en 2025 por aranceles (63,0 M USD) y por el coste inicial del da Vinci 5 [1]. No comparables: 2020 (COVID, −2,7 % de ingresos) y el tipo fiscal de 2017 (39,3 %, reforma fiscal) y de 2023 (7,2 %, 92,3 M de beneficios fiscales suizos y 67,1 M de revaluación de activos diferidos), que no se proyecta [3, 6].</w:t>
      </w:r>
    </w:p>
    <w:p>
      <w:pPr>
        <w:pStyle w:val="Heading2"/>
      </w:pPr>
      <w:r>
        <w:t xml:space="preserve">Ajustes y partidas no recurrentes</w:t>
      </w:r>
    </w:p>
    <w:p>
      <w:pPr>
        <w:spacing w:after="100"/>
      </w:pPr>
      <w:r>
        <w:t xml:space="preserve">Cifras reportadas US GAAP. La empresa publica un no GAAP que excluye la remuneración en acciones (788 M USD en 2025; 677 M en 2024), el plan de incentivos de la empresa conjunta china, la amortización de intangibles (13 M), litigios (14 M), las inversiones estratégicas y ajustes fiscales, sobre todo el beneficio fiscal del ejercicio de acciones (246 M en 2025). BPA no GAAP 8,93 USD frente a 7,87 GAAP en 2025 (7,34 frente a 6,42 en 2024); resultado operativo no GAAP 3.760 M frente a 2.946 M [19]. El EBITDA de esta serie es GAAP: la remuneración en acciones es gasto. En 2T26, 35,9 M de devolución de aranceles IEEPA rebajaron el coste de ventas (28 M netos, 0,08 USD por acción), también dentro del no GAAP [7, 21].</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36,7 %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36,1 %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2.892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41,1 %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Superior</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Abril (1T26): la dirección subió la guía de procedimientos al 13,5-15,5 % tras un trimestre del 16 %, destacó que el 38 % del volumen ya está fuera de EE. UU., que el ingreso por procedimiento subió a ≈ 1.880 USD por la mezcla de SP y da Vinci 5 y que la base de da Vinci 5 rozaba los 1.500 sistemas; reconoció la caída de la bariátrica (≈ −10 %) y que China no tendrá claridad hasta 2027 [25]. Julio (2T26): mantuvo la horquilla pero la acotó «más cerca del punto medio», con EE. UU. al +12 %, y el discurso pasó de la oportunidad a las moderaciones: efecto «moderado y negativo» de la reforma de la ACA y Medicaid, bariátrica a la baja por los GLP-1 y la robótica china camino de la compra centralizada [26]. El mercado castigó ese cambio (−14,1 % el 17-jul) pese a superar el consenso de BPA no GAAP (2,80 frente a 2,51 USD) [79, 90]. Los analistas repitieron tres preguntas: madurez de EE. UU. frente a efectos de cobertura (BofA), capital hospitalario (JPMorgan) y China (Wells Fargo). La dirección no cuantificó la exposición a Medicaid (Evercore) ni el efecto en el ingreso por procedimiento de los instrumentos de más usos (Wolfe) [26].</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5.778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5.777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4.779</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7.847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6.679</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9.733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5.845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8.264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11.169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-6.789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9.732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13.555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8.620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-8.533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6.742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-6.648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11.042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15.442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7.343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-7.253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13.308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18.743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8.832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16.434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20.459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9.034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-8.863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17.824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224</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(2026: Negocio de distribución da Vinci/Ion de ab medica, Abex y Excelencia Robótica (Italia, España, Portugal, Malta y San Marino), consolidado desde el 1-mar-26 por 533,1 M USD en caja; fondo de comercio +218 M. Sin pro forma por no ser significativo [7].; 2019: Distribuidor de China (Chindex, a través de la empresa conjunta con Fosun) desde el 5-ene-19 y negocio de endoscopios de Schölly desde el 31-ago-19; ingresos no significativos [5].).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El balance no tiene deuda financiera: 8.625,5 M USD de caja e inversiones a 30-jun-2026, el 6 % de la capitalización, frente a 170,9 M de arrendamientos [1, 7]. El circulante comercial (existencias + clientes − proveedores) se mantiene en el 30-31 % de las ventas desde 2023, alto para un fabricante, con 196 días de existencias en 2025: la empresa acumula inventario a propósito para cubrir riesgos de suministro y fabrica en existencias los sistemas que luego cede en arrendamiento (808,9 M traspasados al inmovilizado en 2025) [1]. El activo crece por ahí: el inmovilizado pasó de 1.876 a 5.342 M USD entre 2021 y 2025 (edificios y sistemas arrendados, 1.371 M netos) [1]. La caja bajó 409 M en el 1S26 por la compra de los distribuidores (528 M) y 1.444 M de recompras [7]. El activo diferido cayó de 1.019 a 652 M en el semestre sin explicación en el 10-Q: es una pregunta abierta [7].</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738</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671</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1.128</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1.061</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1.798</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3.031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2.491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2016-2025: FCF </w:t>
      </w:r>
      <w:r>
        <w:rPr>
          <w:b/>
          <w:bCs/>
        </w:rPr>
        <w:t xml:space="preserve">12.537</w:t>
      </w:r>
      <w:r>
        <w:t xml:space="preserve">, conversión </w:t>
      </w:r>
      <w:r>
        <w:rPr>
          <w:b/>
          <w:bCs/>
        </w:rPr>
        <w:t xml:space="preserve">84 %</w:t>
      </w:r>
      <w:r>
        <w:t xml:space="preserve"> del beneficio neto; adquisiciones 382, dividendos 0, recompras 8.039.</w:t>
      </w:r>
    </w:p>
    <w:p>
      <w:pPr>
        <w:spacing w:after="100"/>
      </w:pPr>
      <w:r>
        <w:t xml:space="preserve">La conversión del beneficio en caja es buena en el acumulado de diez años (84 %), pero muy desigual: 42 % en 2023 y 56 % en 2024, cuando el capex llegó a 1.064 y 1.111 M USD por las obras de Sunnyvale, Georgia, México y Bulgaria, y 87 % en 2025, cuando bajó a 540 M al terminarlas [1]. Dos ajustes cambian la lectura. El flujo operativo suma la remuneración en acciones (788 M en 2025) como si no fuera coste, y la empresa gastó 419 M más en retenciones fiscales por liquidar acciones de empleados [1]. Y el capex no incluye los sistemas en arrendamiento operativo, que entran por existencias en el flujo operativo (808,9 M traspasados en 2025) [1]. Estimación propia del capex de mantenimiento: la amortización de 2025 (628 M, 6,2 % de las ventas); el resto, incluidos los sistemas arrendados, es crecimiento. En el DCF la inversión total (capex de caja + sistemas arrendados) se lleva al 12 % de las ventas y baja al 8 %.</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PricewaterhouseCoopers LLP (San José, California)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 también sobre el control interno (COSO 2013) [1].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36,30</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Las cuentas son fiables y conservadoras en lo que importa: PwC (12 años) firma sin salvedades, sin deterioros, sin capitalizar I+D y con un único asunto clave de auditoría, el reparto del precio entre sistema, instrumentos y servicio [1]. Los indicadores del motor no muestran alertas: Altman Z de 36,30 (sin deuda, zona segura), Piotroski F de 8 sobre 9 (solo falla el margen bruto, que bajó por aranceles) y Beneish M de −2,43, por debajo del umbral de manipulación (−1,78). Lo que hay que ajustar no es contable sino de presentación: la remuneración en acciones (788 M USD en 2025, 27,6 % del beneficio neto) desaparece del no GAAP y del EBITDA del consenso; el tipo fiscal GAAP (13,1 %) está rebajado 7,4 puntos por la deducción del ejercicio de acciones, que depende de la cotización; y el capex no recoge los sistemas en arrendamiento [1, 19]. Por eso este informe usa EBITDA GAAP, un tipo del 19 % y la inversión con los sistemas arrendados.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Remuneración en acciones elevada y creciente</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788 M USD en 2025: 27,6 % del beneficio neto, 7,8 % de las ventas y 26 % del flujo operativo; más 419 M de retenciones fiscales pagadas en caja [1]. Las acciones diluidas pasaron de 365,8 M (2021) a 362,7 M (2025) pese a 5.319 M de recompras en 2022-2025 [24].</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fiscal rebajado por el ejercicio de acciones y partidas suizas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Beneficio fiscal de 246 M en 2025 (7,4 p.p.) y 223 M en 2024 (8,4 p.p.) [1]; 2023 al 7,2 % por beneficios suizos [3]. La guía no GAAP es del 22-23 % [26].</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Existencias que crecen más que las ventas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+23,7 % en 2025 frente a +20,5 % de ingresos; 2.028,7 M a jun-26. Parte son sistemas destinados a arrendamiento operativo (808,9 M traspasados al inmovilizado en 2025) [1, 7].</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que no recoge los sistemas cedidos en arrendamiento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sistemas en arrendamiento operativo (1.371 M netos a dic-25) entran por existencias en el flujo operativo y se traspasan sin salida de capex; el 51-56 % de las colocaciones van por esta vía [1, 25].</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Juicio en el reparto del precio de los sistemas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Asunto clave de auditoría: estimación del precio independiente de cada elemento en las ventas de sistemas (2.473,7 M de ingresos de sistemas en 2025)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Capitalización de costes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Comisiones de venta capitalizadas (38,0 M amortizados en 2025) y software capitalizado (299,3 M brutos) [1]. No capitaliza I+D.</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Cambio de presentación de las amortizaciones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Desde 2026 el estado de flujos agrupa «amortization of intangible and other assets» (62,4 M en 2025 frente a 13,2 M solo de intangibles), lo que cambia la cifra de D&amp;A según la fuente [1, 8].</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Litigios antimonopolio por la reparación de instrumentos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Acción colectiva certificada en marzo de 2025 (sin fecha de juicio) y recursos de SIS y Restore; la empresa no estima la pérdida posible [1].</w:t>
            </w:r>
          </w:p>
        </w:tc>
      </w:tr>
    </w:tbl>
    <w:p>
      <w:pPr>
        <w:spacing w:after="160" w:before="0"/>
      </w:pPr>
    </w:p>
    <w:p>
      <w:pPr>
        <w:pStyle w:val="Heading1"/>
      </w:pPr>
      <w:r>
        <w:t xml:space="preserve">10. Rentabilidad sobre el capital</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2.743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3.942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24,6 % · </w:t>
      </w:r>
      <w:r>
        <w:rPr>
          <w:b/>
          <w:bCs/>
        </w:rPr>
        <w:t xml:space="preserve">WACC</w:t>
      </w:r>
      <w:r>
        <w:t xml:space="preserve">: 10,1 %.</w:t>
      </w:r>
    </w:p>
    <w:p>
      <w:pPr>
        <w:spacing w:after="100"/>
      </w:pPr>
      <w:r>
        <w:t xml:space="preserve">Intuitive crea valor con holgura: un ROIC del 30,2 % en 2025 frente a un WACC del 10,1 %, y por encima del 29 % todos los años desde 2016. Pero la tendencia es a la baja, del 75,7 % de 2016 al 30,2 %: no por margen (el NOPAT se ha multiplicado por 3,6, de 712 a 2.559 M USD) sino por capital, que ha crecido más deprisa por las fábricas, el inventario y, sobre todo, los sistemas cedidos en arrendamiento operativo, el 51 % de las colocaciones [1]. El ROIC incremental de los últimos años, 24,6 %, confirma que el crecimiento sigue siendo rentable aunque menos que el negocio heredado. El ROE (16,7 %) es bajo para ese ROIC porque la caja, el 44 % del activo, rinde a tipos de mercado. Frente a los comparables, el ROIC de Stock Analysis de Intuitive (21,9 %) duplica el de Stryker (12,5 %), Boston Scientific (11,2 %) o Medtronic (8,6 %), y solo IDEXX (47,2 %) y Dexcom (44,5 %) lo superan [80, 96, 100, 104, 116, 124].</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-8.455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e inversiones de 9.034 M USD a dic-25 (efectivo 3.368, corto plazo 2.567, largo plazo 3.099) y 8.626 M a jun-26 (2.760, 2.456 y 3.409); sin deuda financiera ni líneas de crédito en el 10-K [1, 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deuda emitida; el 10-K no menciona calificación crediticia [1].</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pStyle w:val="Heading2"/>
      </w:pPr>
      <w:r>
        <w:t xml:space="preserve">Covenants, pasivos fuera de la deuda y contingencias</w:t>
      </w:r>
    </w:p>
    <w:p>
      <w:pPr>
        <w:spacing w:after="100"/>
      </w:pPr>
      <w:r>
        <w:t xml:space="preserve">Arrendamientos operativos como arrendatario: 170,9 M USD a dic-25 (6,0 años de vida media, 4,6 %) [1]. Compromisos de compra de 2.530 M, 2.370 M a un año, un tercio de instalaciones [1]. Sin deuda ni operaciones fuera de balance relevantes [1]. Litigios: responsabilidad por producto autoasegurada, sin estimar la pérdida adicional posible; demandas antimonopolio por la reparación de EndoWrist (SIS, recurrida tras ganar Intuitive en 2025; acción colectiva de Larkin certificada en marzo de 2025, sin fecha de juicio; Restore, desestimada y recurrida) sin estimación de pérdida [1]. Beneficios fiscales no reconocidos 286,1 M [1]. Pagos aplazados de compras: ninguno relevante desde 2023 [1, 3].</w:t>
      </w:r>
    </w:p>
    <w:p>
      <w:pPr>
        <w:pStyle w:val="Heading1"/>
      </w:pPr>
      <w:r>
        <w:t xml:space="preserve">12. Asignación de capital</w:t>
      </w:r>
    </w:p>
    <w:p>
      <w:pPr>
        <w:pStyle w:val="Confianza"/>
        <w:spacing w:after="100"/>
      </w:pPr>
      <w:r>
        <w:t xml:space="preserve">Confianza: Alta</w:t>
      </w:r>
    </w:p>
    <w:p>
      <w:pPr>
        <w:spacing w:after="100"/>
      </w:pPr>
      <w:r>
        <w:t xml:space="preserve">Intuitive nunca ha pagado dividendos y quiere retener el beneficio para el negocio y, cuando convenga, recomprar acciones [1]. El programa de recompra existe desde marzo de 2009 y no caduca: 17.400 M USD autorizados en total; en abril de 2026 el consejo amplió el disponible a 5.000 M (incluido el remanente) y a jun-26 quedaban ≈4.700 M [7]. Recompras: 2.300,9 M en 2025 (4,8 M acciones a 477,84 USD), 1.506,5 M en 1S26 (3,2 M a 475,67 USD) [1, 7]. ASR: 2.274 M en 2017 (Goldman) y 2.000 M en 2022 (Goldman y Citibank) [4, 6]. Sin deuda: la inversión se paga con el flujo operativo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356,4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358,4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361,0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2.491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362,7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6" name="Gráfico 16" descr="Usos de la caja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4"/>
        <w:gridCol w:w="214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 da Vinci/Ion de ab medica, Abex y Excelencia Robótica (Italia, España, Portugal, Malta, San Marino; &gt;470 sistemas instalados y ≈250 empleados)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533</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Cerrada el 1-mar-26; fondo de comercio 218,0 M e intangibles 219,4 M (relaciones con clientes 195,5 M a 6,6 años); amortización de intangibles de 24 M en 2T26. Anunciada en ene-25 con un pago inicial de ≈319 M EUR [1, 7, 22, 23].</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Empresa de robótica e IA para evaluar tejido en biopsias (sin nombre en el 10-K)</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Importe no significativo; fondo de comercio +22,3 M en 2025. La cifra es la línea de compras del estado de flujos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2020</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Orpheus Medical (Israel; conectividad y vídeo quirúrgico)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Integrada en la plataforma digital; sin deterioros [1, 5].</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 de fabricación de endoscopios de Schölly Fiberoptic (Alemania)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(34,4 M inicial y 67,0 M aplazados)</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Integración casi terminada a comienzos de 2021; fondo de comercio 58,9 M; Alemania fabrica hoy la mayoría de los endoscopios [5, 21].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Distribución de Chindex en China (por la empresa conjunta con Fosun)</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(1,3 M inicial y 64,7 M contingentes)</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Pagos contingentes de 53,7 M en 2020; el mercado chino sufre topes de precio y compra centralizada [1, 5, 26].</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2018</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Distribuidores de India (Vattikuti, 38,1 M) y Taiwán (Unison, 35,4 M) y activos de InTouch Technologies (38,7 M)</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Paso a venta directa en India y Taiwán; India destaca hoy por crecimiento de procedimientos [1, 6].</w:t>
            </w:r>
          </w:p>
        </w:tc>
      </w:tr>
    </w:tbl>
    <w:p>
      <w:pPr>
        <w:spacing w:after="160" w:before="0"/>
      </w:pPr>
    </w:p>
    <w:p>
      <w:pPr>
        <w:spacing w:after="100"/>
      </w:pPr>
      <w:r>
        <w:t xml:space="preserve">La dirección asigna el capital con disciplina pero sin brillo. En diez años generó 12.537 M USD de caja libre y devolvió 8.039 M en recompras, sin dividendos ni deuda, y las compras han sido pequeñas y de integración vertical (distribuidores, endoscopios), sin deterioros [1]. El resultado de las recompras es pobre: las acciones diluidas pasaron de 365,8 M en 2021 a 362,7 M en 2025 pese a 5.319 M de recompras en 2022-2025, porque compensan sobre todo la remuneración en acciones; y se compró caro (4,8 M acciones a 477,84 USD en 2025 y 3,2 M a 475,67 USD en el 1S26, un 18 % por encima del precio actual) [1, 7]. La inversión en capacidad (2.175 M de capex en 2023-2024) sí sostiene un ROIC incremental del 24,6 %. Con 8.625,5 M de caja sin uso operativo, el balance es ineficiente: la caja rinde ≈ 4 % frente a un coste del capital del 10,1 %.</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David J. (Dave) Rosa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 (CEO) y consejero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Intuitive desde marzo de 1996 (ingeniería, I+D, comercial, calidad); director científico (2014-2015), director comercial (2015-2019), director de negocio (2019-2022), de estrategia y crecimiento (2022-2023) y presidente (mayo de 2023-junio de 2025); consejero desde julio de 2024 y CEO desde el 1 de julio de 2025 [29, 50, 62]. En sus cuatro trimestres como CEO los procedimientos da Vinci crecieron un 19 %, 17 %, 16 % y 15 % y los ingresos un 23 %, 19 %, 23 % y 19 % [18, 19, 20, 21].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Jamie E. Samath</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Vicepresidente ejecutivo, director financiero (CFO) y responsable de tecnología corporativa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Entró en abril de 2013 como controller y responsable contable; CFO desde enero de 2022 y vicepresidente ejecutivo desde enero de 2025; antes, controller y responsable contable de Atmel y puestos financieros en National Semiconductor; consejero de KLA desde abril de 2025 [50, 56, 78]. Con él como CFO los ingresos pasaron de 5.710 M USD (2021) a 10.065 M USD (2025) y la guía anual de procedimientos se superó los cuatro años [15, 19, 24, 71, 73, 76].</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Gary S. Guthart, Ph.D.</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ejecutivo del consejo (Executive Chair)</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0,43 %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Intuitive desde 1996; presidente y director de operaciones (2006-2010), CEO de 2010 a junio de 2025 y presidente ejecutivo desde el 1 de julio de 2025, como empleado con salario de 700.000 USD y sin bonus anual [29, 50]. Durante su etapa de CEO los ingresos pasaron de 1.413 M USD (2010) a 8.352 M USD (2024) [24].</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Mark P. Brosius</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Vicepresidente ejecutivo y director de fabricación y cadena de suministro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Entró en diciembre de 2012; vicepresidente de operaciones de instrumentos (2017), vicepresidente sénior de operaciones (2020) y director de fabricación y cadena de suministro desde mayo de 2023; ascendido a vicepresidente ejecutivo el 23 de marzo de 2026; antes, presidente y director técnico de Harbor Fluid Products (2002-2011) [50]. La empresa fabrica en México la mayor parte de sus instrumentos y accesorios, expuestos a los aranceles de EE. UU. [19].</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Gary H. Loeb</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Vicepresidente ejecutivo, director jurídico y de cumplimiento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Entró en septiembre de 2022 como secretario general y director de cumplimiento; vicepresidente ejecutivo desde enero de 2025; antes, secretario general de Mammoth Biosciences, Sangamo Therapeutics y Achaogen, y 11 años en Genentech como responsable de propiedad intelectual y litigios [50].</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Taylor Patton</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comercial y de marketing</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Casi dos décadas en Intuitive; como vicepresidente sénior global del negocio endoluminal dirigió el lanzamiento mundial de Ion; sustituye desde el 1 de julio de 2026 a Henry Charlton, que pasa a vicepresidente sénior de operaciones de negocio global [58, 59]. Su participación no figura en el proxy de 2026, anterior al nombramiento.</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Procedimientos da Vinci: sin guía en enero por la COVID [77]; +22 % a +26 % en abril [69], +27 % a +30 % en julio y +27 % a +29 % en octubre [70]</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+28 % (unos 1.594.000 procedimientos) [71]</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pro forma: 70 %-71 % en abril [69]; 70,5 %-71,5 % en julio y 71 %-71,5 % en octubre [70]</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71,2 % [71]</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Procedimientos da Vinci: +11 % a +15 % en enero [71]; +14 % a +16,5 % en julio y +17 % a +18 % en octubre [72]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+18 % [73]</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pro forma: 69,5 %-70,5 % en enero [71]; rebajado a 69 %-69,5 % en octubre por costes de suministro y dólar fuerte [72]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69,2 % [73]</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Procedimientos da Vinci: +12 % a +16 % en enero [73]; +20 % a +22 % en julio y +21 % a +22 % en octubre [74]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+22 % [76]</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pro forma: 68 %-69 % en enero [73]; 68 %-68,5 % en octubre [74]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68 % [76]</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Procedimientos da Vinci: +13 % a +16 % en enero [76]; +15,5 % a +17 % en julio y +16 % a +17 % en octubre [75]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+17 % [15]</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pro forma: 67 %-68 % en enero [76]; 68,5 %-69 % en octubre [75]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69,1 % [15]</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Procedimientos da Vinci: +13 % a +16 % en enero [15]; +15 % a +17 % en abril [16], +15,5 % a +17 % en julio [17] y +17 % a +17,5 % en octubre [18]</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+18 % [19]</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Margen bruto no GAAP: 67 %-68 % en enero sin aranceles [15]; 65 %-66,5 % con aranceles (1,7 pp) en abril [16], 66 %-67 % en julio [17] y 67 %-67,5 % en octubre [18]</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67,6 % [19]</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Equipo creíble y estable en lo que importa: la guía de procedimientos se superó los cinco años de 2021 a 2025, casi siempre por encima del techo del rango inicial (18 % frente a 13-16 % en 2025), y solo se falló la de margen bruto de 2022 (69,2 % frente a 69,5-70,5 %) [15, 19, 73]. La sucesión fue ordenada: Dave Rosa, en la empresa desde 1996, sustituyó a Gary Guthart el 1-jul-2025 tras un anuncio de seis semanas, y Guthart sigue como presidente ejecutivo [29, 55]. Dos matices. La guía de 2026 (13,5-15,5 %) es la primera en años que se ha estrechado hacia el punto medio en vez de subir, y el mercado lo leyó como señal de madurez [21, 90]. Y hay rotación en la segunda línea: Charlton deja la dirección comercial a Taylor Patton (jul-2026) y Miller deja de reportar al CEO [57, 58]. La dirección posee el 0,6 % y vendió 93,4 M USD en 12 meses, sin compras [50, 63].</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7" name="Gráfico 17"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Gary S. Guthart, Ph.D.</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ejecutivo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2009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David J. Rosa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 (CEO)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Craig H. Barratt, Ph.D.</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independiente coordinador (presidente del consejo 2020-2025)</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Gobierno y 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Joseph C. Beery</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Gobierno y Nombramientos; Retribuciones (desde la junta de 2026)</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Lewis Chew</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Sreelakshmi Kolli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Amy L. Ladd, M.D.</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Keith R. Leonard, Jr.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Jami Dover Nachtsheim</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Gobierno y Nombramientos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Monica P. Reed, M.D.</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Retribuciones (presidenta)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80 %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6,2 %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 también sobre el control interno (COSO 2013) [1].</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0,00 / ventas 93,31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The Vanguard Group (todas sus gestoras)</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 pasivo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33.613.298 acciones a 31-12-2025 (13F citado en el proxy) [50], frente a 30.375.212 (8,63 %) a 31-12-2023 [66]. Desde el 12-1-2026 informa por gestoras separadas: Vanguard Capital Management declara 26.601.419 acciones (7,49 %) a 31-3-2026 y The Vanguard Group, 0 [64, 65]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BlackRock, Inc.</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 pasivo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30.516.154 acciones a 31-12-2025 (13F citado en el proxy) [50], frente a 29.575.972 (8,4 %) a 31-12-2023 [67]</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 Rowe Price Associates</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 activo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Bajó del 5 % en su 13G/A de febrero de 2024 (16.990.447 acciones a 31-12-2023); no ha vuelto a declarar [68]</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y directivos (17 personas)</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Consejo y dirección</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2.260.608 acciones a 31-12-2025, con 555.917 opciones ejercitables; Guthart tiene 1.512.213 (0,43 %) [50]</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Las acciones recompradas se amortizan; 353.278.038 acciones en circulación a 16-7-2026, frente a 355,1 millones a 31-12-2025 [1, 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8" name="Gráfico 18"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24 oct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Gary S. Guthart (presidente ejecutivo),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31.600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17,30</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24 oct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David J. Rosa (CEO), plan 10b5-1, tras ejercer 27.000 opciones</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13,41</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24 oct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Craig H. Barratt (consejero coordinador), plan 10b5-1; también 750 el 12-11-2025</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2.943</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 nov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Brian E. Miller (director digital),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nov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Henry L. Charlton (director comercial),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13.731</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7,96</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dic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Gary S. Guthart (presidente ejecutivo),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22.806</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13,02</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27 ene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Gary S. Guthart (presidente ejecutivo),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14,48</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Myriam Curet (directora médica): 16 ventas entre el 28-10-2025 y el 10-3-2026,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16.206</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8,44</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jun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Iman Jeddi (directora de plataformas da Vinci),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5.625</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Gary H. Loeb (director jurídico): 3 ventas entre mayo y agosto de 2026,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11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Gary S. Guthart (presidente ejecutivo), a través de fideicomiso familiar,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11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Amy L. Ladd (consejera): 4 ventas en abril y agosto de 2026,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1.091</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0,47</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11 sep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 P. Brosius (director de fabricación): 33 ventas entre el 12-12-2025 y el 11-9-2026,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11.540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15 sep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Fredrik Widman (controller): 7 ventas entre el 5-11-2025 y el 15-9-2026,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3.656</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21,00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0,86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1,37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18,67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93,5 %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147x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bonus anual (CIP) se financia en 2025 al 50 % con el resultado operativo ajustado (umbral 3.210 M USD, objetivo 3.368 M USD, máximo 3.710 M USD; real 3.969 M USD, 125 %) y al 50 % con objetivos de empresa no publicados en cifra (adopción, innovación, eficiencia, calidad y finanzas; 105,3 %); pagó el 115,2 % del objetivo. En 2026 los pesos pasan a 35 % y 65 %, y el máximo sube del 125 % al 150 % del objetivo. El variable a largo plazo es mitad RSU a cuatro años y mitad PSU a tres años (pago entre 75 % y 125 %): dos tercios por crecimiento del número de procedimientos da Vinci e Ion y un tercio por margen operativo ajustado relativo a un grupo de comparables, que en 2025 sustituyó al TSR relativo. Las PSU de 2023 pagaron el 125 %. Hay clawback obligatorio por reformulación, ampliado en enero de 2026 a las acciones en caso de fraude, y un tope de indemnización en efectivo de 2,99 veces salario más bonus sin aprobación de la junta [50].</w:t>
      </w:r>
    </w:p>
    <w:p>
      <w:pPr>
        <w:pStyle w:val="Heading2"/>
      </w:pPr>
      <w:r>
        <w:t xml:space="preserve">Operaciones vinculadas, estructura de control y defensas</w:t>
      </w:r>
    </w:p>
    <w:p>
      <w:pPr>
        <w:spacing w:after="100"/>
      </w:pPr>
      <w:r>
        <w:t xml:space="preserve">No hay accionista de control: los dos mayores son gestoras indexadas (Vanguard 9,5 % y BlackRock 8,6 % a cierre de 2025) y el consejo y la dirección suman el 0,6 % [50]. Una sola clase de acciones con un voto cada una, sin límites de voto [50]. Consejo no escalonado: los diez consejeros se eligen cada año por mayoría de votos, con política de dimisión si no la alcanzan [50]. Los accionistas con el 20 % pueden convocar una junta extraordinaria; no pueden actuar por escrito fuera de junta [61]. Hay acceso a la convocatoria para grupos de hasta 20 accionistas con el 3 % durante tres años, que pueden proponer hasta el 25 % del consejo, y los estatutos se modifican por mayoría simple [50]. El 23 de julio de 2026 el consejo reformó los estatutos sin pasar por la junta: endurece los requisitos para proponer consejeros, exige estar presente en la junta y cambia la mayoría de las demás votaciones a votos emitidos sin contar abstenciones [60]. El proxy no recoge operaciones vinculadas [50].</w:t>
      </w:r>
    </w:p>
    <w:p>
      <w:pPr>
        <w:pStyle w:val="Heading2"/>
      </w:pPr>
      <w:r>
        <w:t xml:space="preserve">Señales de alerta</w:t>
      </w:r>
    </w:p>
    <w:p>
      <w:pPr>
        <w:pStyle w:val="ListParagraph"/>
        <w:numPr>
          <w:ilvl w:val="0"/>
          <w:numId w:val="2"/>
        </w:numPr>
        <w:spacing w:after="60"/>
      </w:pPr>
      <w:r>
        <w:t xml:space="preserve">Ventas continuadas de la dirección: 175.918 acciones por 93,4 M USD en 12 meses, todas con planes 10b5-1 y ninguna compra; el presidente ejecutivo Guthart vendió 91.706 acciones (48,8 M USD) y el CEO Rosa 24.500 (13,4 M USD) [63].</w:t>
      </w:r>
    </w:p>
    <w:p>
      <w:pPr>
        <w:pStyle w:val="ListParagraph"/>
        <w:numPr>
          <w:ilvl w:val="0"/>
          <w:numId w:val="2"/>
        </w:numPr>
        <w:spacing w:after="60"/>
      </w:pPr>
      <w:r>
        <w:t xml:space="preserve">El presidente del consejo es el anterior CEO, que sigue como empleado (presidente ejecutivo); la independencia del consejo descansa en el consejero coordinador Barratt, que además, según el proxy, pasaba a presidir Intel en mayo de 2026 [29, 50].</w:t>
      </w:r>
    </w:p>
    <w:p>
      <w:pPr>
        <w:pStyle w:val="ListParagraph"/>
        <w:numPr>
          <w:ilvl w:val="0"/>
          <w:numId w:val="2"/>
        </w:numPr>
        <w:spacing w:after="60"/>
      </w:pPr>
      <w:r>
        <w:t xml:space="preserve">La propuesta de accionistas para someter a la junta las indemnizaciones excesivas obtuvo el 44,1 % de los votos emitidos en 2025 [53].</w:t>
      </w:r>
    </w:p>
    <w:p>
      <w:pPr>
        <w:pStyle w:val="ListParagraph"/>
        <w:numPr>
          <w:ilvl w:val="0"/>
          <w:numId w:val="2"/>
        </w:numPr>
        <w:spacing w:after="60"/>
      </w:pPr>
      <w:r>
        <w:t xml:space="preserve">La ampliación del plan de acciones tuvo un 10,5 % de votos en contra en 2025 y un 7,8 % en 2026 [52, 53].</w:t>
      </w:r>
    </w:p>
    <w:p>
      <w:pPr>
        <w:pStyle w:val="ListParagraph"/>
        <w:numPr>
          <w:ilvl w:val="0"/>
          <w:numId w:val="2"/>
        </w:numPr>
        <w:spacing w:after="60"/>
      </w:pPr>
      <w:r>
        <w:t xml:space="preserve">El consejo modificó los estatutos el 23-7-2026 sin la junta para endurecer las propuestas de accionistas [60].</w:t>
      </w:r>
    </w:p>
    <w:p>
      <w:pPr>
        <w:pStyle w:val="ListParagraph"/>
        <w:numPr>
          <w:ilvl w:val="0"/>
          <w:numId w:val="2"/>
        </w:numPr>
        <w:spacing w:after="60"/>
      </w:pPr>
      <w:r>
        <w:t xml:space="preserve">Rotación en la dirección comercial y digital en 2025-2026 (Miller deja de reportar al CEO; Charlton cede la dirección comercial a Patton) [57, 58].</w:t>
      </w:r>
    </w:p>
    <w:p>
      <w:pPr>
        <w:pStyle w:val="ListParagraph"/>
        <w:numPr>
          <w:ilvl w:val="0"/>
          <w:numId w:val="2"/>
        </w:numPr>
        <w:spacing w:after="60"/>
      </w:pPr>
      <w:r>
        <w:t xml:space="preserve">El año de entrada de Guthart en el consejo difiere entre proxies: 2009 en el de 2026 y 2010 en el de 2025 [50, 51].</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La empresa no da guía de ingresos ni de beneficio: guía procedimientos, margen bruto y gastos. Para 2026 (confirmada el 16-jul-2026): procedimientos da Vinci +13,5-15,5 %, «más cerca del punto medio»; margen bruto no GAAP del 68-69 %, con un 1,0 % de aranceles; gastos operativos no GAAP +11-13 %; remuneración en acciones de 880-900 M USD; otros ingresos de 315-335 M; tipo fiscal no GAAP del 22-23 % [21, 26]. Ha mejorado en cada trimestre: en enero era +13-15 % y 67-68 % de margen bruto, y en abril +13,5-15,5 % y 67,5-68,5 % [19, 20]. No hay objetivos a medio plazo publicados. El 1S26 ha cumplido: procedimientos +16 % y +15 %, margen bruto no GAAP del 68,9 %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11.755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5.327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4.674</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(S&amp;P Global Market Intelligence), 6-oct-2026; 31-32 analistas; EBITDA y EBIT ajustados (sin remuneración en acciones); BPA en base GAAP</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13.264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5.839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(S&amp;P Global Market Intelligence), 6-oct-2026; EBITDA y EBIT ajustados; BPA en base GAAP</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14.955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6.568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5.977</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12,23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(S&amp;P Global Market Intelligence), 6-oct-2026; EBITDA y EBIT ajustados; BPA en base GAAP</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11.755</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4.445</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13.284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13.264</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5.114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4.844</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14.944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14.955</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5.828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5.446</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 / 7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477,21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324,00 – 685,00</w:t>
            </w:r>
          </w:p>
        </w:tc>
      </w:tr>
    </w:tbl>
    <w:p>
      <w:pPr>
        <w:spacing w:after="160" w:before="0"/>
      </w:pPr>
    </w:p>
    <w:p>
      <w:pPr>
        <w:pStyle w:val="Heading2"/>
      </w:pPr>
      <w:r>
        <w:t xml:space="preserve">Revisiones de estimaciones</w:t>
      </w:r>
    </w:p>
    <w:p>
      <w:pPr>
        <w:spacing w:after="100"/>
      </w:pPr>
      <w:r>
        <w:t xml:space="preserve">Las estimaciones suben mientras el precio cae. El BPA GAAP 2026e de MarketScreener pasó de 8,16 USD hace 12 meses a 9,05 hace tres y a 9,23 hoy (+13,1 % y +2,0 %); el EBIT ajustado 2026e, de 4.021 a 4.678 M USD (+16,4 % en 12 meses), y las ventas, de 11.217 a 11.762 M (+4,9 %) [85]. Las causas son los márgenes mejores de lo previsto (70,0 % de margen bruto no GAAP en el 2T26 con la devolución de aranceles) y la consolidación de los distribuidores [21]. En cambio, los precios objetivo bajaron tras el 2T26: Deutsche Bank de 366 a 324 USD (vender), JPMorgan de 550 a 450, Wells Fargo de 654 a 487, Bernstein de 750 a 685 [84]. Se ha recortado el múltiplo, no los beneficios. Hay una sola fuente completa de estimaciones (S&amp;P Global, en MarketScreener y en Stock Analysis); el precio objetivo se contrasta con Nasdaq.com (493,28 USD) [81, 89].</w:t>
      </w:r>
    </w:p>
    <w:p>
      <w:pPr>
        <w:pStyle w:val="Heading1"/>
      </w:pPr>
      <w:r>
        <w:t xml:space="preserve">16. Comportamiento en bolsa</w:t>
      </w:r>
    </w:p>
    <w:p>
      <w:pPr>
        <w:pStyle w:val="Confianza"/>
        <w:spacing w:after="100"/>
      </w:pPr>
      <w:r>
        <w:t xml:space="preserve">Confianza: Alta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19" name="Gráfico 19"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37,1 %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-49,9 %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2,3 %</w:t>
            </w:r>
          </w:p>
        </w:tc>
      </w:tr>
    </w:tbl>
    <w:p>
      <w:pPr>
        <w:spacing w:after="160" w:before="0"/>
      </w:pPr>
    </w:p>
    <w:p>
      <w:pPr>
        <w:spacing w:after="100"/>
      </w:pPr>
      <w:r>
        <w:t xml:space="preserve">La acción ha pasado de ganar al mercado a perder con claridad: +17,7 % anual en diez años frente al +15,5 % del S&amp;P 500, pero +3,9 % anual en cinco años frente al +13,9 %, y −28,5 % en 2026 frente al +15,1 % [79]. Tres hechos explican el último año. El máximo (603,88 USD el 7-ene-2026) llegó tras cerrar 2025 a 55x el EBITDA de 12 meses; el Tesoro a 10 años ha subido del 4,19 % del 2-ene-2026 al 5,27 % (del 4,79 % al 5,31 % solo en septiembre) y ha comprimido los múltiplos de crecimiento [92, 149]; y el 17-jul-2026 la acción cayó un 14,1 % con cuatro veces el volumen medio porque la guía de procedimientos no subió pese a batir el BPA [79, 90]. El sector de dispositivos (IHI) también cae un 17,7 % en el año. La beta de 1,46 y la volatilidad del 37,1 % son de valor de crecimiento, no de dispositivo médico defensivo. Posición corta baja: 2,31 % del flotante [91].</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0" name="Gráfico 20"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p>
      <w:pPr>
        <w:spacing w:after="100"/>
      </w:pPr>
      <w:r>
        <w:t xml:space="preserve">Por su propia historia, Intuitive nunca ha estado tan barata: 32,5x el EBITDA de 12 meses frente a una media de 49x en 2016-2025 (percentil 10, un 34 % de descuento) y 46,4x el beneficio frente a 69,6x. El argumento de compra del mercado descansa ahí. Pero esa historia se formó con el Tesoro a 10 años entre el 0,52 % (agosto de 2020) y el 4,98 % (octubre de 2023), y hoy está en el 5,27 % [92, 149]: con tipos reales un 2-3 % más altos, el múltiplo justo es menor aunque el negocio sea igual de bueno. Además, el crecimiento de procedimientos ha pasado del 18-22 % de 2022-2025 a una guía del 13,5-15,5 % [19, 21]. Los dos cambios son estructurales; la media histórica no es un ancla válida.</w:t>
      </w:r>
    </w:p>
    <w:p>
      <w:pPr>
        <w:pStyle w:val="Heading1"/>
      </w:pPr>
      <w:r>
        <w:t xml:space="preserve">18. Comparables cotizados</w:t>
      </w:r>
    </w:p>
    <w:p>
      <w:pPr>
        <w:pStyle w:val="Confianza"/>
        <w:spacing w:after="100"/>
      </w:pPr>
      <w:r>
        <w:t xml:space="preserve">Confianza: Media</w:t>
      </w:r>
    </w:p>
    <w:p>
      <w:pPr>
        <w:spacing w:after="100"/>
      </w:pPr>
      <w:r>
        <w:t xml:space="preserve">Fabricantes estadounidenses de tecnología médica de gran capitalización y alto margen, con los que compite por el capital de los mismos fondos: Stryker y Zimmer (robótica ortopédica), Medtronic (Hugo), Boston Scientific, Edwards y Abbott (crecedores de calidad), Dexcom, Insulet, IDEXX y ResMed (modelos de consumible recurrente). Quedan fuera J&amp;J (farma pesa más), CMR (no cotiza) y MicroPort MedBot y Edge (pérdidas operativas: múltiplos de EBITDA sin sentido).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Intuitive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144.297</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Stryker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106.710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Boston Scientific</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61.140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Medtronic</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Abbott Laboratories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169.850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Edwards Lifesciences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49.850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Dexcom</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31.470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Insulet</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9.340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IDEXX Laboratories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40.610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ResMed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31.040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Zimmer Biomet</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17.110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32,0 %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25,0 %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 / 13,7x / 17,4x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180,59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205,24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255,54</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-49,3 %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4.185</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 / 15,5x / 20,5x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174,79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204,73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-49,4 %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14,7x / 17,5x / 24,3x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151,75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180,14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250,34</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-55,5 %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11.034</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3,5x / 4,4x / 6,0x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131,14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159,85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209,37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-60,5 %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1" name="Gráfico 21"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2" name="Gráfico 22"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spacing w:after="100"/>
      </w:pPr>
      <w:r>
        <w:rPr>
          <w:b/>
        </w:rPr>
        <w:t xml:space="preserve">Regresión EV/EBITDA NTM sobre crecimiento</w:t>
      </w:r>
      <w:r>
        <w:t xml:space="preserve"> (10 comparables): múltiplo = 11,2 + 0,34 × crecimiento; R² = 0,15. El crecimiento explica poco los múltiplos de estos comparables (R² &lt; 0,3): la regresión no se usa en la valoración.</w:t>
      </w:r>
    </w:p>
    <w:p>
      <w:pPr>
        <w:spacing w:after="100"/>
      </w:pPr>
      <w:r>
        <w:t xml:space="preserve">Intuitive cotiza a 28,6x el EBITDA de los próximos 12 meses frente a una mediana de 13,7x, y a 39,2x el beneficio frente a 17,5x: más del doble. La prima tiene base: el mejor margen EBITDA del grupo (37,9 % GAAP), ROIC del 30,2 %, caja neta y un crecimiento previsto del 13,2 %, por encima de la mediana. Pero ningún comparable con crecimiento parecido cotiza así: Abbott (14,9 %) e Insulet (18,9 %) están en 14,0x y 12,1x, y el más caro, IDEXX, en 22,9x con un 10,7 % de crecimiento [107, 119, 123]. La regresión múltiplo-crecimiento no sirve aquí (R² de 0,15): el mercado no paga crecimiento en este grupo sino calidad y duración. Por eso los comparables (192,69 USD por acción en la mediana) solo pesan un 15 %: dicen cuánto vale Intuitive si se valora como un líder maduro, que es el destino del caso base hacia 2035, no hoy. Los EBITDA de MarketScreener no siempre restan la remuneración en acciones; se corrigieron Dexcom e Insulet [115, 119].</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6"/>
        <w:gridCol w:w="1780"/>
        <w:gridCol w:w="1676"/>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2026-01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Penumbra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Boston Scientific</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10,36x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Trombectomía y vascular. 374 USD por acción (73 % en efectivo, 27 % en acciones de BSX); EV ≈ 14.500 M; ventas 2025 ≈ 1.400 M (+17,3 %-17,5 %) [140]. Prima frente al cierre del 14-ene-2026 (313,43 USD) [148]. Cierre previsto en 2026.</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Exact Sciences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Abbott Laboratories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7,13x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Diagnóstico oncológico. 105 USD por acción en efectivo; precio de las acciones 21.000 M y EV ≈ 23.000 M; ventas 2025 estimadas 3.220-3.235 M (punto medio) [141]. Cierre previsto en el 2T26.</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2025-07</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Monogram Technologies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Zimmer Biomet</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Robótica ortopédica semiautónoma (rodilla). 4,04 USD por acción en efectivo, EV ≈ 168 M, más CVR de hasta 12,37 USD por acción; sin ventas significativas [142].</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Paragon 28</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Zimmer Biomet</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4,69x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Pie y tobillo. 13,00 USD por acción en efectivo más CVR de hasta 1,00 USD; precio de las acciones ≈ 1.100 M y EV ≈ 1.200 M; ventas 2024 de 255,9-256,2 M (+18 %) [138].</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Inari Medical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Stryker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4.789</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8,34x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Trombectomía venosa. 80 USD por acción en efectivo; valor de las acciones totalmente diluido ≈ 4.900 M [135]. EV y ventas de 12 meses a sep-2024 calculados con las cuentas de Inari: caja e inversiones 111,5 M, sin deuda; ventas 574,5 M [146] (estimación propia).</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Silk Road Medical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Boston Scientific</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1.161</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6,26x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Revascularización carotídea (TCAR). 27,50 USD por acción en efectivo; valor de las acciones ≈ 1.260 M; prima del 38 % sobre la media ponderada de 60 días [139]. EV y ventas de 12 meses a mar-2024 con las cuentas de Silk Road: caja e inversiones 174,4 M, deuda 75,9 M, ventas 185,5 M [147] (estimación propia).</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2024-04</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Shockwave Medical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Johnson &amp; Johnson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17,94x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Litotricia intravascular. 335 USD por acción en efectivo; EV ≈ 13.100 M incluida la caja [136]; ventas 2023 de 730,2 M [144].</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Axonics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Boston Scientific</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9,29x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Neuromodulación sacra (urología). 71 USD por acción en efectivo; valor de las acciones ≈ 3.700 M y EV ≈ 3.400 M; ventas 2023 ≈ 366 M (+34 %) [143].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Abiomed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Johnson &amp; Johnson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16,09x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Asistencia cardiaca (Impella). 380 USD por acción en efectivo más CVR de hasta 35 USD; EV ≈ 16.600 M incluida la caja [137]; ventas del ejercicio a mar-2022 de 1.031,8 M [145].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EV/ventas)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296,20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237,31 – 388,35</w:t>
            </w:r>
          </w:p>
        </w:tc>
      </w:tr>
    </w:tbl>
    <w:p>
      <w:pPr>
        <w:spacing w:after="160" w:before="0"/>
      </w:pPr>
    </w:p>
    <w:p>
      <w:pPr>
        <w:spacing w:after="100"/>
      </w:pPr>
      <w:r>
        <w:t xml:space="preserve">Las nueve operaciones de tecnología médica de 2022-2026 se pagaron a una mediana de ≈ 8,8x las ventas (de 4,7x Paragon 28 a 17,9x Shockwave), con primas del 19-38 % donde se pueden medir [135, 136, 137, 138, 139, 140, 141, 142, 143]. Intuitive cotiza a 12,3x las ventas de 12 meses, por encima de esa mediana y sin prima de control. Las transacciones no sirven para valorarla (peso 0): con ≈ 143.000 M USD de capitalización y un 99,5 % de capital flotante, sería casi diez veces mayor que la mayor de la lista, y ningún comprador estratégico (J&amp;J, Medtronic) podría pagarla sin una ampliación enorme [80, 87]. La única operación de robótica quirúrgica de los últimos años (Zimmer-Monogram) no tenía ventas [142].</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2026e se fija en el 16,8 %, igual que el consenso (11.755 M USD), con dos trimestres publicados (+23 % y +18,5 %) y los distribuidores de Italia, España y Portugal dentro desde marzo [20, 21, 83]. Para 2027-2028 se usa el 13,0 % y el 12,5 %, en línea con el consenso (12,8 % y 12,7 %) y con la guía de procedimientos del 13,5-15,5 % menos la presión de precio en China y el menor peso de los sistemas [21, 83]. Después, desaceleración de un punto al año hasta el 5 % en 2035: es menos que el 15,7 % de TCAC de 2016-2025, porque EE. UU. (68 % de las ventas) crece ya al 12 % en procedimientos y la base es diez veces mayor que en 2016 [1, 26]. El sector crecería al 16,1 % en 2024-2029 según Frost &amp; Sullivan, pero Intuitive es el 83 % de ese mercado y la entrada de rivales recorta su parte del crecimiento [34].</w:t>
      </w:r>
    </w:p>
    <w:p>
      <w:pPr>
        <w:keepNext/>
        <w:spacing w:after="100"/>
      </w:pPr>
      <w:r>
        <w:rPr>
          <w:b/>
          <w:bCs/>
        </w:rPr>
        <w:t xml:space="preserve">Márgenes.</w:t>
      </w:r>
    </w:p>
    <w:p>
      <w:pPr>
        <w:spacing w:after="100"/>
      </w:pPr>
      <w:r>
        <w:t xml:space="preserve">Margen EBITDA GAAP (con la remuneración en acciones como gasto) del 38,0 % en 2026e, frente al 37,9 % de los últimos 12 meses y el 39,4 % del 1S26, que incluye la devolución de aranceles [7]. Sube al 39 % en 2028 y se mantiene: es el mejor nivel de la serie (el máximo fue el 38,5 % de 2016) y equivale a lo que descuenta el consenso con su EBIT ajustado (39,7 % en 2027e) menos el 7,5 % de remuneración en acciones más amortizaciones del 7 % [83]. No se proyecta más expansión por tres motivos: aranceles (1,0 % de las ventas), presión de precio de Ottava y Hugo en EE. UU. y la mezcla de arrendamientos por uso, cuyo margen es menor [21, 41]. La diferencia con el EBITDA del consenso en 2027-2028 (+5,6 % y +7,0 %) viene de su EBITDA, que implica amortizaciones que bajan de 653 a 573 M, incoherente con su propio EBIT [83].</w:t>
      </w:r>
    </w:p>
    <w:p>
      <w:pPr>
        <w:keepNext/>
        <w:spacing w:after="100"/>
      </w:pPr>
      <w:r>
        <w:rPr>
          <w:b/>
          <w:bCs/>
        </w:rPr>
        <w:t xml:space="preserve">Inversión y circulante.</w:t>
      </w:r>
    </w:p>
    <w:p>
      <w:pPr>
        <w:spacing w:after="100"/>
      </w:pPr>
      <w:r>
        <w:t xml:space="preserve">La inversión total suma el capex de caja y los sistemas cedidos en arrendamiento operativo, que se fabrican en existencias y pasan al inmovilizado sin salir por la línea de capex: 808,9 M USD en 2025 (8,0 % de las ventas) frente a 539,8 M de capex [1]. Juntas fueron el 12,3 % de las ventas en 2025 (netas de 106 M de devoluciones) y el 21 % en 2023-2024, con las obras. Se proyecta el 12 % en 2026-2027, bajando al 8 % en 2035, por encima de la amortización (del 6,5 % al 7,5 %, que ya incluye la de los sistemas arrendados) [1]. Sin esos traspasos, el DCF contaría los ingresos de 3.425 sistemas en arrendamiento sin haberlos fabricado [7]. Circulante comercial del 31 % de las ventas (30,9 % en 2025), bajando al 29 % al moderarse el inventario de seguridad. Tipo fiscal del 19 %, entre el GAAP de 2025 (13,1 %) y el no GAAP guiado (22-23 %) [1, 26].</w:t>
      </w:r>
    </w:p>
    <w:p>
      <w:pPr>
        <w:keepNext/>
        <w:spacing w:after="100"/>
      </w:pPr>
      <w:r>
        <w:rPr>
          <w:b/>
          <w:bCs/>
        </w:rPr>
        <w:t xml:space="preserve">Coste del capital.</w:t>
      </w:r>
    </w:p>
    <w:p>
      <w:pPr>
        <w:spacing w:after="100"/>
      </w:pPr>
      <w:r>
        <w:t xml:space="preserve">Todo en USD. Tasa libre: Tesoro a 10 años al 5,27 % el 6-oct-2026 (curva par del Tesoro; FRED da 5,31 % el día anterior) [92]. Prima de mercado: la implícita de Damodaran a 1-oct-2026, 4,20 %, calculada con un bono del 5,29 %, coherente con esta tasa [93]. Beta de 1,15: entre la propia de cinco años (1,46; 1,31 ajustada a la Blume) y la del sector de productos sanitarios de Damodaran (0,91 apalancada, 0,86 sin deuda y corregida por caja) [79, 80, 94]. La beta propia está inflada por dos caídas idiosincrásicas (−49,9 % en 2021-2022 y −45 % desde enero de 2026); la sectorial infravalora la duración de un valor que cotiza a 39x beneficios. Sin deuda financiera, el WACC es el coste de los fondos propios: 10,1 %. Sin prima adicional: no hay riesgo país ni de tamaño.</w:t>
      </w:r>
    </w:p>
    <w:p>
      <w:pPr>
        <w:keepNext/>
        <w:spacing w:after="100"/>
      </w:pPr>
      <w:r>
        <w:rPr>
          <w:b/>
          <w:bCs/>
        </w:rPr>
        <w:t xml:space="preserve">Valor terminal.</w:t>
      </w:r>
    </w:p>
    <w:p>
      <w:pPr>
        <w:spacing w:after="100"/>
      </w:pPr>
      <w:r>
        <w:t xml:space="preserve">Valor terminal como media de dos métodos. Gordon con un crecimiento del 3,0 % (1-1,5 % real más ≈ 2 % de inflación en USD, por debajo del 5 % del último año proyectado) da un valor que equivale a solo 8,8x el EBITDA de 2035. Es menos que el múltiplo actual de cualquier comparable maduro (Medtronic 11,7x, Boston Scientific 10,9x, Zimmer 8,4x en los próximos 12 meses) [99, 103, 131]. Por eso se promedia con un múltiplo de salida de 13x, la zona de Stryker y Abbott hoy (14,2x y 14,0x) [95, 107]: en 2035 Intuitive crecería al 5 %, como ellos. La media sube el valor un 13 % frente a Gordon puro, y el valor terminal pesa el 67 % del valor empresa, por debajo del límite del 80 %.</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5,27 %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10,10 %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13.284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14.944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16.738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18.662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3.705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20.715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8.079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22.787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8.887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4.851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24.838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9.687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5.360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10.365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6.135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2.913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27.905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10.883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2.093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2.232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6.595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2.844</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3" name="Gráfico 23" descr="Flujo de caja libre para la empresa proyectado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Media de ambos</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95.675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141.479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23.820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48.765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72.584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8.455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80.909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356,5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226,95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4" name="Gráfico 24" descr="De dónde sale el valor empresa del DCF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4,0 %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258,50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266,41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244,10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250,46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219,67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226,95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231,42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216,41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220,15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11,1 %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201,58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213,62</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202,17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239,32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197,04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208,33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246,85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214,49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226,95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240,24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254,39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208,56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220,65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247,29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261,93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214,32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226,82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240,14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254,34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269,47</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(2027e-2035e)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20,1 % (base: 10,1 %)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66,0 % (base: 39,0 %)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6,0 % (WACC: 10,1 %)</w:t>
            </w:r>
          </w:p>
        </w:tc>
      </w:tr>
    </w:tbl>
    <w:p>
      <w:pPr>
        <w:spacing w:after="160" w:before="0"/>
      </w:pPr>
    </w:p>
    <w:p>
      <w:pPr>
        <w:spacing w:after="100"/>
      </w:pPr>
      <w:r>
        <w:t xml:space="preserve">El DCF da 226,95 USD por acción, un 43,9 % por debajo de los 404,76 USD de cotización, con un rango de 213,13-244,10 USD al mover WACC y crecimiento terminal medio punto. El valor terminal pesa el 67 %. Qué hace falta creer para pagar el precio: el DCF inverso responde de tres formas. Con nuestro WACC, los ingresos tendrían que crecer un 20,1 % anual de media en 2027-2035, el doble que nuestro 10,1 % y por encima del 15,7 % histórico, con una base diez veces mayor; Intuitive facturaría en 2035 más de 50.000 M USD. Con nuestro crecimiento, el margen EBITDA tendría que llegar al 66 %, frente al 39 % y a un máximo histórico del 38,5 %. Y con nuestras cifras, el precio implica una rentabilidad anual del 6,0 %, apenas 0,7 puntos sobre el Tesoro a 10 años (5,27 %). Ninguna de las tres es razonable: el mercado paga la calidad de Intuitive como si los tipos siguieran en el 2 %. Nuestra proyección coincide con el consenso en ingresos 2026-2028 (diferencias de ±0,2 %): la discrepancia no está en las cifras, está en el precio que se paga por ellas.</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165,59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Ottava (J&amp;J) y Hugo (Medtronic) entran en los hospitales de EE. UU. con descuentos en sistemas e instrumentos, China pasa a compra centralizada con marcas locales y los GLP-1 y la reforma de Medicaid restan volumen: el crecimiento de procedimientos baja a un dígito alto, como ya le ocurrió a la laparoscopia al madurar, y el margen cae 3 puntos por precio. Es el camino que ya recorrió el 2T26 en China [7,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226,95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-43,9 %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Procedimientos al 13-15 % en 2026-2027 y desaceleración gradual hacia el 5 % en 2035, con el da Vinci 5 y la expansión fuera de EE. UU. compensando la madurez de urología y ginecología en EE. UU.; margen EBITDA GAAP estable en torno al 39 % y el coste de los sistemas en arrendamiento dentro de la inversión.</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299,20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cirugía general y torácica fuera de EE. UU. (Japón con reembolso desde junio de 2026, Europa tras comprar sus distribuidores) y el canal ambulatorio sostienen crecimientos de procedimientos del 15 % durante cinco años más; el da Vinci 5 sube el ingreso por procedimiento y el apalancamiento operativo añade 2 puntos de margen [23, 25, 33].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Valor por acción por escenario (USD) · precio actual 404,76"/>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spacing w:after="100"/>
      </w:pPr>
      <w:r>
        <w:rPr>
          <w:b/>
          <w:bCs/>
        </w:rPr>
        <w:t xml:space="preserve">Valor ponderado por probabilidad:</w:t>
      </w:r>
      <w:r>
        <w:t xml:space="preserve"> 229,67 USD (-43,3 %).</w:t>
      </w:r>
    </w:p>
    <w:p>
      <w:pPr>
        <w:spacing w:after="100"/>
      </w:pPr>
      <w:r>
        <w:t xml:space="preserve">La asimetría es desfavorable en los tres escenarios: el alcista (299,20 USD) queda un 26,1 % por debajo del precio, el base un 43,9 % y el bajista (165,59 USD) un 59,1 %. Incluso con dos puntos y medio más de crecimiento cada año, dos puntos más de margen y medio punto menos de WACC, el DCF no llega a la cotización. El valor ponderado (229,67 USD) apenas se mueve frente al base, porque el bajista y el alcista son casi simétricos en valor. Lo que haría falta para justificar 405 USD no es un escenario operativo sino de tipos: con nuestras cifras, el precio implica una rentabilidad anual del 6,0 %. El bajista es verosímil: es lo que ya ocurre en China y lo que le pasó a la laparoscopia al madurar.</w:t>
      </w:r>
    </w:p>
    <w:p>
      <w:pPr>
        <w:pStyle w:val="Heading1"/>
      </w:pPr>
      <w:r>
        <w:t xml:space="preserve">22. Suma de partes</w:t>
      </w:r>
    </w:p>
    <w:p>
      <w:pPr>
        <w:pStyle w:val="Confianza"/>
        <w:spacing w:after="100"/>
      </w:pPr>
      <w:r>
        <w:t xml:space="preserve">Confianza: Alta</w:t>
      </w:r>
    </w:p>
    <w:p>
      <w:pPr>
        <w:spacing w:after="100"/>
      </w:pPr>
      <w:r>
        <w:t xml:space="preserve">No aplica: Intuitive reporta un solo segmento y sus líneas de ingresos (instrumentos, sistemas, servicio) son partes del mismo modelo de cuchilla y cartuchos, con los mismos clientes y comparables; Ion (biopsia pulmonar) pesa menos del 5 % de los procedimientos y no se publica por separado [1].</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6" name="Gráfico 26" descr="Valor por acción según cada método (USD) · precio actual 404,76"/>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404,76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603,88</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477,21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685,00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205,24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255,54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180,14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250,34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(EV/ventas)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388,35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226,95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244,10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229,67</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216,41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226,95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238,70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402,74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404,76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406,78</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226,95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192,69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-52,4 %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229,67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rPr>
          <w:b/>
          <w:bCs/>
        </w:rPr>
        <w:t xml:space="preserve">Valor objetivo ponderado:</w:t>
      </w:r>
      <w:r>
        <w:t xml:space="preserve"> 222,49 USD (-45,0 % sobre 404,76).</w:t>
      </w:r>
    </w:p>
    <w:p>
      <w:pPr>
        <w:spacing w:after="100"/>
      </w:pPr>
      <w:r>
        <w:t xml:space="preserve">El DCF pesa un 60 % porque es el único método que recoge lo que distingue a Intuitive: crecimiento de dos dígitos durante años, ROIC del 30 % y caja neta. Los escenarios ponderados pesan un 25 % para incorporar la dispersión de resultados. Los comparables, un 15 %: los pares crecen menos o tienen peor ROIC, y la regresión no explica los múltiplos. Las transacciones, cero: nadie puede comprar una empresa de ≈ 143.000 M USD. Lo llamativo es que todos los métodos coinciden: DCF 226,95 USD, comparables 192,69 USD y escenarios 229,67 USD, con un valor objetivo de 222,49 USD. Solo dos referencias están por encima del precio: el precio objetivo medio de los analistas (477,21 USD) y el rango de cotización de las últimas 52 semanas (328,57-603,88 USD). El puente es limpio: sin deuda, 8.625,5 M de caja e inversiones, 129,3 M de minoritarios de la empresa conjunta con Fosun y 170,9 M de arrendamientos (estos, contados dos veces porque el alquiler ya está en el EBITDA, pero son el 0,1 % del valor) [7].</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20-oct-2026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3T26 (tras el cierre)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Crecimiento de procedimientos frente a la guía del 13,5-15,5 % y primera lectura del efecto de Medicaid; la acción se movió +13,9 %, +7,2 % y −14,1 % en las tres últimas publicaciones [79, 86].</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Enero de 2027 (≈ 22-ene)</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4T26 y guía de procedimientos de 2027</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la guía arranca por debajo del 12 % confirma la madurez que descuenta nuestro caso base; si repite el 13-15 %, el mercado volverá a pagar duración [19].</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2S26-2027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Lanzamiento comercial de Ottava (J&amp;J) en EE. UU. tras el De Novo del 22-jul-2026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Primeras instalaciones y precio en concursos de cirugía general; señal de si la competencia es de precio o de nicho [41].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China: inclusión de la robótica quirúrgica en la compra centralizada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Bajada de precios de sistemas e instrumentos y más cuota de las marcas locales; la dirección no espera claridad hasta 2027 [25, 26].</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2S26-1S27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Sentencia de la apelación de SIS contra Intuitive (vista el 25-jun-2026)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Una revocación reabriría el modelo de instrumentos con chip de vida limitada, base del ingreso recurrente [7].</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14-sep-2027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Juicio de la demanda colectiva antimonopolio de hospitales (EndoWrist)</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Riesgo de indemnizaciones y de cambios en la política de reparación de instrumentos; la empresa no estima la pérdida [7].</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Abril-mayo de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Junta de accionistas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Votos sobre remuneración y sobre la reforma estatutaria de julio de 2026 aprobada sin junta [60].</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Para la tesis vendedora: bajada de tipos o vuelta del mercado a pagar duración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+17 % (WACC del 9,1 % y g del 4 %: 266,41 USD en la tabla de sensibilidad)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 con un WACC del 9,1 % el DCF supera los 270 USD.</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Tesoro a 10 años por debajo del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en EE. UU. de Ottava (J&amp;J) y Hugo (Medtronic): precio en concursos y en instrumentos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−27 % (escenario bajista: 165,59 frente a 226,95 USD)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Costes de cambio: formación, 11.710 sistemas instalados, contratos de arrendamiento.</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ASP del da Vinci por debajo de 1,5 M USD o ingreso por procedimiento por debajo de 1.800 USD.</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Madurez de EE. UU. (68 % de las ventas): urología y ginecología saturadas, GLP-1 y reforma de Medicaid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 por cada punto menos de crecimiento anual (214,49 frente a 226,95 USD en la tabla de crecimiento y margen)</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Cirugía general, torácica y cardiaca con da Vinci 5; canal ambulatorio.</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Procedimientos en EE. UU. por debajo del +10 % dos trimestres seguidos (+12 % en el 2T26).</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 compra centralizada, marcas locales y topes de precio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Dentro del escenario bajista; no se puede aislar: la empresa no publica las ventas de China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Empresa conjunta con Fosun y fabricación local en Shanghái.</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Inclusión formal de la robótica en la compra centralizada.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Litigios antimonopolio sobre la reparación de EndoWrist (SIS, Restore, demanda colectiva)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Legal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 a −10 % si se abre la remanufactura (estimación propia sobre el 60 % de las ventas en instrumentos)</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Ganó en primera instancia a SIS (ene-2025) y Restore fue desestimada.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Sentencia de la apelación de SIS; juicio del 14-sep-2027.</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Aranceles de EE. UU. y cadena de suministro (México, Alemania, memoria)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−3 % por cada punto de margen EBITDA (220,36 frente a 226,95 USD)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Instrumentos de Mexicali exentos por el USMCA; inventario de seguridad.</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no GAAP por debajo del 67 %.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Calidad de producto: retiradas y responsabilidad autoasegurada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Difícil de cuantificar; una retirada de clase I del da Vinci 5 retrasaría renovaciones</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63 retiradas desde 2023, 62 de clase II.</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Nuevas retiradas de clase I o cartas de advertencia de la FDA.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Dilución por remuneración en acciones que absorbe las recompras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−1 % a −2 % anual de valor por acción si las recompras no la compensan</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Programa de recompras con 4.700 M disponibles.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Acciones diluidas por encima de 362 M.</w:t>
            </w:r>
          </w:p>
        </w:tc>
      </w:tr>
    </w:tbl>
    <w:p>
      <w:pPr>
        <w:spacing w:after="160" w:before="0"/>
      </w:pPr>
    </w:p>
    <w:p>
      <w:pPr>
        <w:pStyle w:val="Heading2"/>
      </w:pPr>
      <w:r>
        <w:t xml:space="preserve">Pre-mortem</w:t>
      </w:r>
    </w:p>
    <w:p>
      <w:pPr>
        <w:spacing w:after="100"/>
      </w:pPr>
      <w:r>
        <w:t xml:space="preserve">Octubre de 2029. Vender Intuitive a 405 USD fue un error: cotiza a 560 USD, un 38 % más. Qué pasó. Primero, los tipos: la Reserva Federal bajó tipos en 2027 por la desaceleración, el Tesoro a 10 años volvió al 3,75 % y los fondos de crecimiento de calidad recuperaron múltiplos de 40x beneficios. Segundo, la competencia resultó de nicho: Ottava se quedó en cirugía del abdomen superior en unos pocos centros académicos y Hugo no pasó de urología; los hospitales no cambiaron de plataforma porque sus cirujanos estaban formados en da Vinci y los contratos de arrendamiento por uso hacían el cambio caro. Tercero, el da Vinci 5 abrió la cirugía cardiaca y torácica, Japón y Europa crecieron al 20 % y los procedimientos se mantuvieron por encima del 13 % tres años más, en vez de bajar al 11 %. El beneficio por acción creció al 15 % y el múltiplo no cayó. Lo habrían anticipado tres indicadores: la guía de procedimientos de enero de 2027 por encima del 13 %, la utilización por sistema subiendo más del 3 % y un ASP del da Vinci estable pese a los rivales. Nuestro error habría sido tratar como permanente un WACC que dependía de un nivel de tipos.</w:t>
      </w:r>
    </w:p>
    <w:p>
      <w:pPr>
        <w:pStyle w:val="Heading1"/>
      </w:pPr>
      <w:r>
        <w:t xml:space="preserve">26. ESG y controversias</w:t>
      </w:r>
    </w:p>
    <w:p>
      <w:pPr>
        <w:pStyle w:val="Confianza"/>
        <w:spacing w:after="100"/>
      </w:pPr>
      <w:r>
        <w:t xml:space="preserve">Confianza: Media</w:t>
      </w:r>
    </w:p>
    <w:p>
      <w:pPr>
        <w:spacing w:after="160" w:before="0"/>
      </w:pPr>
    </w:p>
    <w:p>
      <w:pPr>
        <w:pStyle w:val="Heading2"/>
      </w:pPr>
      <w:r>
        <w:t xml:space="preserve">Asuntos materiales</w:t>
      </w:r>
    </w:p>
    <w:p>
      <w:pPr>
        <w:spacing w:after="100"/>
      </w:pPr>
      <w:r>
        <w:t xml:space="preserve">Seguridad y calidad del producto: entre 2023 y oct-2026 la FDA registra 63 retiradas o correcciones de productos de Intuitive, 62 de clase II y 1 de clase I (cargas grises de la grapadora SureForm 30 de 8 mm, mar-2026, por posible línea de grapado incompleta) [49]; la empresa se autoasegura la responsabilidad por producto [1]. Acceso y precio: los topes de precio en China y los litigios antimonopolio sobre la reparación de instrumentos afectan al modelo de recurrentes, que es el 84 % de los ingresos [1, 7]. Capital humano: 17.021 empleados, rotación del 9,3 %, y 5 de 11 consejeros son mujeres [1]. Cadena de suministro: hay proveedores únicos y dependencia de México y Alemania; los aranceles costaron 63,0 M USD en 2025 [1].</w:t>
      </w:r>
    </w:p>
    <w:p>
      <w:pPr>
        <w:pStyle w:val="Heading2"/>
      </w:pPr>
      <w:r>
        <w:t xml:space="preserve">Controversias</w:t>
      </w:r>
    </w:p>
    <w:p>
      <w:pPr>
        <w:spacing w:after="100"/>
      </w:pPr>
      <w:r>
        <w:t xml:space="preserve">SIS: el tribunal dio la razón a Intuitive en todas las pretensiones antimonopolio (28-ene-2025); SIS recurrió y la vista de apelación fue el 25-jun-2026 [7]. Demanda colectiva de hospitales («In re da Vinci Surgical Robot Antitrust Litigation»): clase certificada el 31-mar-2025, juicio el 14-sep-2027 [7]. Restore Robotics: demanda desestimada el 7-nov-2025 y recurrida [7]; la primera demanda de Restore se cerró con acuerdo en ene-2023 [4]. Hay demandas por daños personales sin cuantía estimable [7].</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medio plazo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crecimiento de procedimientos en EE. UU. espera la dirección cuando urología y ginecología estén saturadas, y qué parte del +12 % del 2T26 es efecto de Medicaid y qué parte madurez?</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DCF inverso exige un 20,1 % anual de crecimiento de ingresos; cada punto de crecimiento mueve el valor ≈ 5 %.</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 perdido algún concurso en EE. UU. frente a Ottava o Hugo desde su autorización, y con qué descuento se ha defendido?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la primera vez en 25 años que dos grandes grupos tienen autorización de la FDA en tejidos blandos; el precio es la variable del escenario bajista.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será la inversión en sistemas cedidos en arrendamiento en 2026-2028, y qué rentabilidad tiene un sistema por uso frente a uno vendido?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traspasos (808,9 M en 2025) no aparecen como capex y son el 8 % de las ventas: cambian la caja libre que el mercado ve.</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Ingreso por procedimiento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 bajará el ingreso de instrumentos por procedimiento con los EndoWrist de más usos y con la remanufactura autorizada por la FDA?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60 % de las ventas son instrumentos; la dirección no lo cuantificó en el 2T26.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 las ventas viene de China y qué precio espera tras la compra centralizada?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se publica el desglose; 11 de los 13 robots aprobados allí son locales.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qué mantener 8.625 M USD de caja sin uso operativo y recomprar a 476-478 USD, por encima del valor intrínseco que estima este informe?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caja rinde por debajo del coste del capital y las recompras apenas compensan la remuneración en acciones.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Impuestos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qué cayeron los activos por impuesto diferido de 1.019 a 652 M USD en el 1S26?</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hay explicación en el 10-Q y afecta al tipo fiscal normalizado (19 % en el DCF).</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qué se reformaron los estatutos el 23-jul-2026 sin someterlo a la junta, endureciendo las propuestas de los accionistas?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única señal de gobierno que resta y coincide con la peor caída de la cotización en cuatro años.</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16 controles correctos. Fuentes: 150 (76 primarias); citas distintas en el texto: 150.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 efectivo razonable (2023)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7,2 %: explica la causa (créditos fiscales, regularizaciones, mezcla de países) y no lo proyectes en el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31,0 % frente a 30,9 % real: genera una variación de circulante de 532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67 %.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0,15: el crecimiento no explica los múltiplos de estos comparables; no uses el valor de la regresión.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150 fuentes (76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76.</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crecimiento_organico_pct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Notas de prensa 3T24-2T26: solo crecimiento reportado; 2) 10-Q 2T26: efecto divisa solo sobre ingresos fuera de EE. UU. y la compra de distribuidores declarada no significativa, sin cifra; 3) derivarlo exigiría los ingresos de la adquirida, que no se publican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vs_consenso (salvo 1T26)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Notas de prensa: no citan consenso; 2) transcripciones de Stock Analysis y Webull: no dan la previsión previa; 3) Insider Monkey solo da la previsión del 1T26</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oficial de las conferencias 1T26 y 2T26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isrg.intuitive.com / investor.intuitivesurgical.com (node/23031, 23231): sin respuesta en 60-120 s; 2) isrg.gcs-web.com/node/23036/pdf: sin respuesta; 3) transcripciones de terceros (Stock Analysis 1T26, Webull 2T26) leídas con WebFetch</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balance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arrendamientos 2016-2018</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XBRL: OperatingLeaseLiability empieza en 2019; 2) 10-K 2018: arrendamientos fuera de balance antes de ASC 842; 3) no procede calcularlo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kpis: nivel de utilización (procedimientos por sistema)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10-K 2025: solo variación (+3 %); 2) conferencias: solo variación; 3) procedimientos/base media daría ≈300 por sistema, pero la empresa no lo publica así</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Página pública de Sustainalytics de Intuitive (sustainalytics.com/esg-rating/intuitive-surgical-inc/1007908485): redirige a una página genérica y la nota solo se carga con JavaScript; 2) MSCI ESG Ratings &amp; Climate Search Tool: la ficha del emisor solo es accesible en MSCI ONE; 3) búsqueda de un informe ESG de Intuitive o de una puntuación de CDP publicada: no aparece en abierto (los resúmenes de buscador con una nota de 18,0 de Sustainalytics no valen, regla 0)</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cr5_pct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Folleto de Edge Medical (Frost &amp; Sullivan): solo da la cuota de Intuitive en unidades multipuerto de 2024 (≈ 83 %); 2) cuentas de los rivales: CMR da 34 colocaciones en 2024, MedBot y Edge dan pedidos acumulados y no unidades de 2024, Medtronic no publica unidades de Hugo; 3) cálculo de la cota inferior Intuitive + CMR = 84,8 % de 1.726 unidades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competidores[].cuota_pct (salvo CMR)</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Folleto de Edge Medical / Frost &amp; Sullivan: no desglosa las unidades de los rivales; 2) cuentas anuales de Medtronic, J&amp;J, MedBot, Edge y SSII: no dan unidades ni ingresos robóticos de 2024 comparables; 3) derivarlo de los pedidos acumulados: no es coherente con las ventas del año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equipo[Taylor Patton].participacion_pct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Proxy DEF 14A 2026 (tabla de participaciones a 31-12-2025): no figura, aún no era directivo; 2) Form 4 de los últimos 12 meses (90 formularios, API submissions de EDGAR): ninguno suyo; 3) Form 3 tras su nombramiento de julio de 2026: no hay (los únicos Form 3 de 2026 son de Jeddi y Wadors)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historial_guidance 2021 (guía de enero)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resultados del 4T20: sin perspectivas; 2) Transcripción de la conferencia del 4T20: la dirección dijo que no daba guía de procedimientos por la COVID; 3) Se toma como guía inicial la de abril de 2021 (conferencia del 1T21)</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multiplos_historicos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serie[].ev_ebitda_ntm y serie[].per_ntm</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(finances y valuation): solo da PER y EV/ventas del ejercicio en curso y el siguiente; 2) Stock Analysis (forecast): da un PER adelantado no GAAP por ejercicio, pero no EV/EBITDA adelantado y su BPA no es GAAP; 3) Yahoo / Macrotrends: sin series históricas de múltiplos adelantados gratuitas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revisiones del EBITDA en 3 y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página de revisiones: publica gráficos de ventas, EBIT y BPA, no de EBITDA; 2) Stock Analysis: no publica revisiones; 3) Nasdaq.com: solo precio objetivo y recomendaciones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(se usan las revisiones del EBIT ajustado, que excluye las mismas partidas salvo la amortización)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valoracion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puente.arrendamientos a 30-jun-2026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10-Q del 2T26: no desglosa los pasivos por arrendamiento; 2) XBRL del 10-Q: sin la etiqueta OperatingLeaseLiability en el 2T26; 3) 10-K 2025: 170,9 M a 31-dic-2025</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 (se usa el dato de 31-dic-2025)</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operaciones[].ev_ebitda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oficiales de comprador y objetivo (EDGAR): ninguna publica el múltiplo de EBITDA; 2) XBRL de los objetivos: EBITDA bajo o negativo en Monogram, Silk Road y Axonics; 3) prensa: múltiplos no verificables con la nota oficial</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operaciones[].prima_pct (salvo Silk Road y Penumbra)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de prensa de los compradores: no la publican; 2) Yahoo Finance: los objetivos ya no cotizan y no conserva el histórico (HTTP 404); 3) XBRL: no contiene precios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identificacion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fecha de resultados del 3T26 en la web de inversores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isrg.intuitive.com (noticias y eventos): sin respuesta en 60 s; 2) WebFetch de la página de eventos: tiempo agotado; 3) Stock Analysis («next confirmed earnings date» 20-oct-2026) y MarketScreener (calendario: 2026-10-20)</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 (fecha de dos proveedores, no de la empresa)</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Form 10-K ejercicio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https://www.sec.gov/Archives/edgar/data/1035267/000103526726000010/isrg-20251231.htm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Form 10-K ejercicio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31 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https://www.sec.gov/Archives/edgar/data/1035267/000103526725000017/isrg-20241231.htm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10-K ejercicio 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ene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https://www.sec.gov/Archives/edgar/data/1035267/000103526724000021/isrg-20231231.htm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10-K ejercicio 2022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feb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https://www.sec.gov/Archives/edgar/data/1035267/000103526723000019/isrg-20221231.htm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10-K ejercicio 2020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feb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https://www.sec.gov/Archives/edgar/data/1035267/000103526721000028/isrg-20201231.htm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10-K ejercicio 2018</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feb 2019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https://www.sec.gov/Archives/edgar/data/1035267/000103526719000012/isrg-20181231x10k.htm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10-Q 2T26 (abril-junio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https://www.sec.gov/Archives/edgar/data/1035267/000103526726000058/isrg-20260630.htm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10-Q 1T26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https://www.sec.gov/Archives/edgar/data/1035267/000103526726000032/isrg-20260331.htm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10-Q 3T25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https://www.sec.gov/Archives/edgar/data/1035267/000103526725000209/isrg-20250930.htm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10-Q 2T25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https://www.sec.gov/Archives/edgar/data/1035267/000103526725000192/isrg-20250630.htm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10-Q 1T25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https://www.sec.gov/Archives/edgar/data/1035267/000103526725000109/isrg-20250331.htm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10-Q 3T24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https://www.sec.gov/Archives/edgar/data/1035267/000103526724000247/isrg-20240930.htm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10-Q 2T24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jul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https://www.sec.gov/Archives/edgar/data/1035267/000103526724000207/isrg-20240630.htm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de resultados 3T24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https://www.sec.gov/Archives/edgar/data/1035267/000103526724000244/q324ex-991earningsrelease.htm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de resultados 4T24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https://www.sec.gov/Archives/edgar/data/1035267/000103526725000008/q424ex-991earningsrelease.htm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de resultados 1T25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https://www.sec.gov/Archives/edgar/data/1035267/000103526725000106/q125ex-991earningsrelease.htm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de resultados 2T25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https://www.sec.gov/Archives/edgar/data/1035267/000103526725000183/q225ex-991earningsrelease.htm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de resultados 3T25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https://www.sec.gov/Archives/edgar/data/1035267/000103526725000206/q325ex-991earningsrelease.htm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de resultados 4T25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https://www.sec.gov/Archives/edgar/data/1035267/000103526726000006/q425ex-991earningsrelease.htm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de resultados 1T26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https://www.sec.gov/Archives/edgar/data/1035267/000103526726000029/q126ex-991earningsrelease.htm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de resultados 2T26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https://www.sec.gov/Archives/edgar/data/1035267/000103526726000047/q226ex-991earningsrelease.htm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Anuncio de la compra de los distribuidores de Italia, España y Portugal (8-K, ex. 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https://www.sec.gov/Archives/edgar/data/1035267/000103526725000008/q424ex-992acquisitionpress.htm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Cierre de la compra del negocio da Vinci/Ion de ab medica, Abex y Excelencia Robótica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https://www.sec.gov/Archives/edgar/data/1035267/000103526726000012/q126ex-991acquisitionpress.htm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XBRL Company Facts CIK 0001035267 (series de los 10-K y 10-Q)</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https://data.sec.gov/api/xbrl/companyfacts/CIK0001035267.json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de la conferencia de resultados 1T26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https://stockanalysis.com/stocks/isrg/transcripts/544923-q1-2026/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de la conferencia de resultados 2T26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Webull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https://www.webull.com/news/15239187065545728</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Q1 2026 Earnings Call Transcript (cabecera: BPA frente a previsiones)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Insider Monkey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https://www.insidermonkey.com/blog/intuitive-surgical-inc-nasdaqisrg-q1-2026-earnings-call-transcript-1743827/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Form 8-K: cierre de la compra de la distribución de ab medica, Abex y Excelencia Robótica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https://www.sec.gov/Archives/edgar/data/1035267/000103526726000012/isrg-20260301.htm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Form 8-K: nombramiento de David J. Rosa como consejero delegado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https://www.sec.gov/Archives/edgar/data/1035267/000103526725000161/isrg-20250514.htm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Form 8-K: modificación estatutaria para el desdoblamiento 3 por 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sep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https://www.sec.gov/Archives/edgar/data/1035267/000103526721000170/isrg-20210920.htm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Form 10-K del ejercicio 2003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2004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https://www.sec.gov/Archives/edgar/data/1035267/000119312504040493/d10k.htm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Form 10-K del ejercicio 2019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feb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https://www.sec.gov/Archives/edgar/data/1035267/000103526720000032/isrg-20191231.htm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de la conferencia de resultados del 4T25 de Intuitive Surgical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MarketBeat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https://www.marketbeat.com/earnings/reports/2026-1-22-intuitive-surgical-inc-stock/</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Shenzhen Edge Medical, folleto de la oferta global (Industry Overview con datos de Frost &amp; Sullivan)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Shenzhen Edge Medical / HKEXnews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https://www1.hkexnews.hk/listedco/listconews/sehk/2025/1230/2025123000029.pdf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Shenzhen Edge Medical, anuncio de resultados anuales de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Shenzhen Edge Medical / HKEXnews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https://www1.hkexnews.hk/listedco/listconews/sehk/2026/0327/2026032704562.pdf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Shanghai MicroPort MedBot, anuncio de resultados anuales de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MicroPort MedBot / HKEXnews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https://www1.hkexnews.hk/listedco/listconews/sehk/2026/0326/2026032603342.pdf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Surgical Robots Market Report 2025-2030 (resumen público, MD 6781)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MarketsandMarkets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https://www.marketsandmarkets.com/Market-Reports/surgical-robotics-market-256618532.html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Medtronic plc, Form 10-K del ejercicio 2026 (cerrado el 24-abr-2026)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Medtronic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https://www.sec.gov/Archives/edgar/data/1613103/000162828026044354/mdt-20260424.htm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Medtronic plc, Form 10-Q del 1T del ejercicio 2027 (a 31-jul-2026)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Medtronic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https://www.sec.gov/Archives/edgar/data/1613103/000162828026060473/mdt-20260731.htm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Johnson &amp; Johnson, Form 10-K del ejercicio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Johnson &amp; Johnson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https://www.sec.gov/Archives/edgar/data/200406/000020040626000016/jnj-20251228.htm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Johnson &amp; Johnson Receives FDA Market Authorization in the U.S. for its OTTAVA Robotic Surgical System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Johnson &amp; Johnson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https://investor.jnj.com/investor-news/news-details/2026/Johnson--Johnson-Receives-FDA-Market-Authorization-in-the-U-S--for-its-OTTAVA-Robotic-Surgical-System/default.aspx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Stryker Corporation, Form 10-K del ejercicio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Stryker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https://www.sec.gov/Archives/edgar/data/310764/000031076426000010/syk-20251231.htm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Globus Medical, Form 10-K del ejercicio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Globus Medical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https://www.sec.gov/Archives/edgar/data/1237831/000162828026011209/gmed-20251231.htm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Zimmer Biomet Holdings, Form 10-K del ejercicio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Zimmer Biomet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https://www.sec.gov/Archives/edgar/data/1136869/000119312526059853/zbh-20251231.htm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SS Innovations International, Form 10-K del ejercicio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SS Innovations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https://www.sec.gov/Archives/edgar/data/1676163/000121390026025440/ea0277925-10k_ssinnova.htm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CMR Surgical Limited, cuentas consolidadas del ejercicio 2025 (Companies House, sociedad 08863657)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CMR Surgical / Companies House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https://find-and-update.company-information.service.gov.uk/company/08863657/filing-history/MzU0ODc1NzM3N2FkaXF6a2N4/document?format=pdf&amp;download=0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Asensus Surgical, Form 8-K (anexo 99.1): cierre de la compra por KARL STORZ</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Asensus Surgical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ago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https://www.sec.gov/Archives/edgar/data/876378/000143774924027539/ex_717520.htm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Foreign Exchange Rates G.5A Annual (medias de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Federal Reserve Board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https://www.federalreserve.gov/releases/g5a/current/default.htm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openFDA, bases de datos de retiradas de dispositivos (device/recall y device/enforcement), consulta Intuitive Surgical 2023-2026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 Food and Drug Administration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https://api.fda.gov/device/enforcement.json?search=recalling_firm:%22Intuitive+Surgical%22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Proxy Statement (DEF 14A) para la junta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https://www.sec.gov/Archives/edgar/data/1035267/000103526726000023/isrg-20260313.htm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Proxy Statement (DEF 14A) para la junta de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https://www.sec.gov/Archives/edgar/data/1035267/000103526725000098/isrg-20250314.htm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Items 5.02 y 5.07: resultados de la junta del 30-4-2026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https://www.sec.gov/Archives/edgar/data/1035267/000103526726000035/isrg-20260430.htm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Items 5.02 y 5.07: resultados de la junta del 1-5-2025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https://www.sec.gov/Archives/edgar/data/1035267/000103526725000156/isrg-20250501.htm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Items 5.02 y 5.07: resultados de la junta del 25-4-2024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abr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https://www.sec.gov/Archives/edgar/data/1035267/000103526724000171/isrg-20240425.htm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Intuitive Announces CEO Transition Effective July 1,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https://www.sec.gov/Archives/edgar/data/1035267/000103526725000161/q225ex-991leadershipchange.htm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Item 5.02: ascensos de Samath y Charlton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https://www.sec.gov/Archives/edgar/data/1035267/000103526725000002/isrg-20250101.htm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Item 5.02: cambio de funciones de Brian E. Miller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https://www.sec.gov/Archives/edgar/data/1035267/000103526725000211/isrg-20251216.htm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Item 5.02: nuevo director comercial y de marketing</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https://www.sec.gov/Archives/edgar/data/1035267/000103526726000042/isrg-20260528.htm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Intuitive Announces New Chief Commercial and Marketing Officer Taylor Patton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https://www.sec.gov/Archives/edgar/data/1035267/000103526726000042/q226ex-991appointmentofoff.htm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Item 5.03: reforma de los estatutos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https://www.sec.gov/Archives/edgar/data/1035267/000103526726000063/isrg-20260723.htm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Estatutos refundidos (Amended and Restated Bylaws), anexo 3.1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https://www.sec.gov/Archives/edgar/data/1035267/000103526726000063/ex-31xamendedandrestatedby.htm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Item 5.02: nombramiento de David J. Rosa como consejero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https://www.sec.gov/Archives/edgar/data/1035267/000103526724000215/isrg-20240724.htm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4 de consejeros y directivos de Intuitive Surgical (90 formularios, 6-10-2025 a 6-10-2026)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https://www.sec.gov/cgi-bin/browse-edgar?action=getcompany&amp;CIK=0001035267&amp;type=4&amp;dateb=&amp;owner=include&amp;count=100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 de Vanguard Capital Management sobre Intuitive Surgical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Vanguard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https://www.sec.gov/Archives/edgar/data/1035267/000210011926000758/xslSCHEDULE_13G_X02/primary_doc.xml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13G/A n.º 10 de The Vanguard Group sobre Intuitive Surgical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Vanguard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https://www.sec.gov/Archives/edgar/data/1035267/000010290926001603/xslSCHEDULE_13G_X02/primary_doc.xml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 13G/A de The Vanguard Group sobre Intuitive Surgical (31-12-2023)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Vanguard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https://www.sec.gov/Archives/edgar/data/1035267/000110465924021224/tv01218-intuitivesurgicalinc.htm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 13G/A de BlackRock, Inc. sobre Intuitive Surgical (31-12-2023)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BlackRock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ene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https://www.sec.gov/Archives/edgar/data/1035267/000108636424003794/us46120e6023_012524.txt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 13G/A de T. Rowe Price Associates sobre Intuitive Surgical (31-12-2023)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 Rowe Price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https://www.sec.gov/Archives/edgar/data/1035267/000008025524000676/isrg13gadec23.txt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de la conferencia de resultados del 1T21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abr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https://www.fool.com/earnings/call-transcripts/2021/04/20/intuitive-surgical-isrg-q1-2021-earnings-call-tran/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de la conferencia de resultados del 3T21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oct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https://www.fool.com/earnings/call-transcripts/2021/10/20/intuitive-surgical-isrg-q3-2021-earnings-call-tran/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de la conferencia de resultados del 4T21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ene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https://www.fool.com/earnings/call-transcripts/2022/01/21/intuitive-surgical-isrg-q4-2021-earnings-call-tran/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de la conferencia de resultados del 3T22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oct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https://www.fool.com/earnings/call-transcripts/2022/10/18/intuitive-surgical-isrg-q3-2022-earnings-call-tran/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de la conferencia de resultados del 4T22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ene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https://www.fool.com/earnings/call-transcripts/2023/01/24/intuitive-surgical-isrg-q4-2022-earnings-call-tran/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de la conferencia de resultados del 3T23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oct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https://www.fool.com/earnings/call-transcripts/2023/10/19/intuitive-surgical-isrg-q3-2023-earnings-call-tran/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de la conferencia de resultados del 3T24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https://www.fool.com/earnings/call-transcripts/2024/10/17/intuitive-surgical-isrg-q3-2024-earnings-call-tran/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de la conferencia de resultados del 4T23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ene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https://www.fool.com/earnings/call-transcripts/2024/01/23/intuitive-surgical-isrg-q4-2023-earnings-call-tran/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Transcripción de la conferencia de resultados del 4T20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ene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https://www.fool.com/earnings/call-transcripts/2021/01/22/intuitive-surgical-isrg-q4-2020-earnings-call-tran/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Intuitive Announces Executive Leadership Changes (anexo 99.2 al 8-K)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oct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https://www.sec.gov/Archives/edgar/data/1035267/000103526721000174/a20210930ex-992leadershipc.htm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de cotización de ISRG, SPY e IHI (cierre y cierre ajustado)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https://finance.yahoo.com/quote/ISRG/history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(ISRG) Statistics &amp;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https://stockanalysis.com/stocks/isrg/statistics/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(ISRG) Stock Forecast (S&amp;P Global Market Intelligence / TipRanks)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https://stockanalysis.com/stocks/isrg/forecast/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Inc. — Company Profile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https://stockanalysis.com/stocks/isrg/company/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Financials Intuitive Surgical, Inc. (estimaciones 2026-2028, S&amp;P Global Market Intelligence)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https://www.marketscreener.com/quote/stock/INTUITIVE-SURGICAL-INC-9740/finances/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Consensus Intuitive Surgical, Inc. (recomendaciones y precios objetivo)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https://www.marketscreener.com/quote/stock/INTUITIVE-SURGICAL-INC-9740/consensus/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Estimates Revisions Intuitive Surgical, Inc. (gráficos de evolución de ventas, EBIT y BPA estimados)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https://www.marketscreener.com/quote/stock/INTUITIVE-SURGICAL-INC-9740/consensus-revisions/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Calendar Intuitive Surgical, Inc.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https://www.marketscreener.com/quote/stock/INTUITIVE-SURGICAL-INC-9740/calendar/</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Inc. — Shareholders (free float)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https://www.marketscreener.com/quote/stock/INTUITIVE-SURGICAL-INC-9740/company-shareholders/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List of S&amp;P 500 companies (sector y sub-industria GICS de cada componente)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Wikipedia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https://en.wikipedia.org/wiki/List_of_S%26P_500_companies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ISRG analyst price target and ratings (API de Nasdaq.com)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Nasdaq</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https://api.nasdaq.com/api/analyst/ISRG/targetprice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Intuitive Surgical shares slide despite earnings beat as 2026 outlook underwhelms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Finviz (Investing.com)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https://finviz.com/news/369459/intuitive-surgical-shares-slide-despite-earnings-beat-as-2026-outlook-underwhelms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ISRG short interest (fechas de liquidación quincenales, FINRA)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Nasdaq</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https://www.nasdaq.com/market-activity/stocks/isrg/short-interest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Daily Treasury Par Yield Curve Rates, 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 Department of the Treasury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https://home.treasury.gov/resource-center/data-chart-center/interest-rates/TextView?type=daily_treasury_yield_curve&amp;field_tdr_date_value_month=202610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Damodaran Online, página principal: Implied ERP on October 1,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https://pages.stern.nyu.edu/~adamodar/New_Home_Page/home.htm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Betas by Sector (US), enero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https://pages.stern.nyu.edu/~adamodar/New_Home_Page/datafile/Betas.html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Financials Stryker (cuenta anual y trimestral real y estimada, S&amp;P Global Market Intelligence)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https://www.marketscreener.com/quote/stock/STRYKER-CORPORATION-14536/finances/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Stryker (SYK) Statistics &amp;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https://stockanalysis.com/stocks/syk/statistics/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Stryker (SYK) Stock Forecast (BPA no GAAP de S&amp;P Global)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https://stockanalysis.com/stocks/syk/forecast/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Stryker (SYK) cuenta de resultados y flujos de los últimos 12 meses (TTM)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https://stockanalysis.com/stocks/syk/financials/?p=trailing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Financials Boston Scientific (cuenta anual y trimestral real y estimada, S&amp;P Global Market Intelligence)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https://www.marketscreener.com/quote/stock/BOSTON-SCIENTIFIC-CORPORA-11935/finances/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Boston Scientific (BSX) Statistics &amp;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https://stockanalysis.com/stocks/bsx/statistics/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Boston Scientific (BSX) Stock Forecast (BPA no GAAP de S&amp;P Global)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https://stockanalysis.com/stocks/bsx/forecast/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Boston Scientific (BSX) cuenta de resultados y flujos de los últimos 12 meses (TTM)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https://stockanalysis.com/stocks/bsx/financials/?p=trailing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Financials Medtronic (cuenta anual y trimestral real y estimada, S&amp;P Global Market Intelligence)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https://www.marketscreener.com/quote/stock/MEDTRONIC-PLC-20661655/finances/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Medtronic (MDT) Statistics &amp;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https://stockanalysis.com/stocks/mdt/statistics/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Medtronic (MDT) Stock Forecast (BPA no GAAP de S&amp;P Global)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https://stockanalysis.com/stocks/mdt/forecast/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Medtronic (MDT) cuenta de resultados y flujos de los últimos 12 meses (TTM)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https://stockanalysis.com/stocks/mdt/financials/?p=trailing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Financials Abbott Laboratories (cuenta anual y trimestral real y estimada, S&amp;P Global Market Intelligence)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https://www.marketscreener.com/quote/stock/ABBOTT-LABORATORIES-11506/finances/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Abbott Laboratories (ABT) Statistics &amp;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https://stockanalysis.com/stocks/abt/statistics/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Abbott Laboratories (ABT) Stock Forecast (BPA no GAAP de S&amp;P Global)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https://stockanalysis.com/stocks/abt/forecast/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Abbott Laboratories (ABT) cuenta de resultados y flujos de los últimos 12 meses (TTM)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https://stockanalysis.com/stocks/abt/financials/?p=trailing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Financials Edwards Lifesciences (cuenta anual y trimestral real y estimada, S&amp;P Global Market Intelligence)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https://www.marketscreener.com/quote/stock/EDWARDS-LIFESCIENCES-CORP-12521/finances/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Edwards Lifesciences (EW) Statistics &amp;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https://stockanalysis.com/stocks/ew/statistics/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Edwards Lifesciences (EW) Stock Forecast (BPA no GAAP de S&amp;P Global)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https://stockanalysis.com/stocks/ew/forecast/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Edwards Lifesciences (EW) cuenta de resultados y flujos de los últimos 12 meses (TTM)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https://stockanalysis.com/stocks/ew/financials/?p=trailing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Financials Dexcom (cuenta anual y trimestral real y estimada, S&amp;P Global Market Intelligence)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https://www.marketscreener.com/quote/stock/DEXCOM-INC-9115/finances/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Dexcom (DXCM) Statistics &amp;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https://stockanalysis.com/stocks/dxcm/statistics/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Dexcom (DXCM) Stock Forecast (BPA no GAAP de S&amp;P Global)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https://stockanalysis.com/stocks/dxcm/forecast/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Dexcom (DXCM) cuenta de resultados y flujos de los últimos 12 meses (TTM)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https://stockanalysis.com/stocks/dxcm/financials/?p=trailing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Financials Insulet (cuenta anual y trimestral real y estimada, S&amp;P Global Market Intelligence)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https://www.marketscreener.com/quote/stock/INSULET-CORPORATION-50468/finances/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Insulet (PODD) Statistics &amp;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https://stockanalysis.com/stocks/podd/statistics/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Insulet (PODD) Stock Forecast (BPA no GAAP de S&amp;P Global)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https://stockanalysis.com/stocks/podd/forecast/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Insulet (PODD) cuenta de resultados y flujos de los últimos 12 meses (TTM)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https://stockanalysis.com/stocks/podd/financials/?p=trailing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Financials IDEXX Laboratories (cuenta anual y trimestral real y estimada, S&amp;P Global Market Intelligence)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https://www.marketscreener.com/quote/stock/IDEXX-LABORATORIES-INC-9641/finances/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IDEXX Laboratories (IDXX) Statistics &amp;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https://stockanalysis.com/stocks/idxx/statistics/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IDEXX Laboratories (IDXX) Stock Forecast (BPA no GAAP de S&amp;P Global)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https://stockanalysis.com/stocks/idxx/forecast/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IDEXX Laboratories (IDXX) cuenta de resultados y flujos de los últimos 12 meses (TTM)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https://stockanalysis.com/stocks/idxx/financials/?p=trailing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Financials ResMed (cuenta anual y trimestral real y estimada, S&amp;P Global Market Intelligence)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https://www.marketscreener.com/quote/stock/RESMED-INC-14259/finances/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ResMed (RMD) Statistics &amp;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https://stockanalysis.com/stocks/rmd/statistics/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ResMed (RMD) Stock Forecast (BPA no GAAP de S&amp;P Global)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https://stockanalysis.com/stocks/rmd/forecast/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ResMed (RMD) cuenta de resultados y flujos de los últimos 12 meses (TTM)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https://stockanalysis.com/stocks/rmd/financials/?p=trailing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Financials Zimmer Biomet (cuenta anual y trimestral real y estimada, S&amp;P Global Market Intelligence)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https://www.marketscreener.com/quote/stock/ZIMMER-BIOMET-HOLDINGS-IN-14996/finances/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Zimmer Biomet (ZBH) Statistics &amp;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https://stockanalysis.com/stocks/zbh/statistics/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Zimmer Biomet (ZBH) Stock Forecast (BPA no GAAP de S&amp;P Global)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https://stockanalysis.com/stocks/zbh/forecast/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Zimmer Biomet (ZBH) cuenta de resultados y flujos de los últimos 12 meses (TTM)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https://stockanalysis.com/stocks/zbh/financials/?p=trailing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Stryker to acquire Inari Medical (nota de prensa, Exhibit 99.1 del 8-K de Stryker)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Stryker Corporation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https://www.sec.gov/Archives/edgar/data/310764/000119312525002537/d899660dex991.htm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Johnson &amp; Johnson to acquire Shockwave Medical (nota de prensa, Exhibit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Shockwave Medical / Johnson &amp; Johnson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abr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https://www.sec.gov/Archives/edgar/data/1642545/000119312524087890/d819714dex991.htm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Johnson &amp; Johnson to acquire Abiomed (nota de prensa, Exhibit 99.1 del 8-K de J&amp;J)</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Johnson &amp; Johnson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nov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https://www.sec.gov/Archives/edgar/data/200406/000119312522274491/d395813dex991.htm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Zimmer Biomet to acquire Paragon 28 (nota de prensa, Exhibit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Zimmer Biomet Holdings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https://www.sec.gov/Archives/edgar/data/1136869/000119312525014569/d644888dex991.htm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Silk Road Medical enters into definitive agreement to be acquired by Boston Scientific (nota de prensa, Exhibit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Silk Road Medical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jun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https://www.sec.gov/Archives/edgar/data/1397702/000110465924072846/tm2417405d1_ex99-1.htm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Boston Scientific to acquire Penumbra (nota de prensa, Exhibit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Boston Scientific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https://www.sec.gov/Archives/edgar/data/885725/000094787126000034/ss5822817_ex9901.htm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Abbott acquisition of Exact Sciences (presentación a inversores, Exhibit 99.2 del 8-K)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Abbott Laboratories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https://www.sec.gov/Archives/edgar/data/1800/000110465925114422/tm2531676d2_ex99-2.htm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Zimmer Biomet to acquire Monogram Technologies (presentación, Exhibit 99.1 del 8-K)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Zimmer Biomet Holdings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https://www.sec.gov/Archives/edgar/data/1136869/000119312525158442/d76564dex991.htm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Boston Scientific Announces Agreement to Acquire Axonics, Inc.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Boston Scientific (sala de 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ene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https://news.bostonscientific.com/2024-01-08-Boston-Scientific-Announces-Agreement-to-Acquire-Axonics,-Inc</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XBRL Company Facts de Shockwave Medical (CIK 0001642545)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https://data.sec.gov/api/xbrl/companyfacts/CIK0001642545.json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XBRL Company Facts de Abiomed (CIK 0000815094)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nov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https://data.sec.gov/api/xbrl/companyfacts/CIK0000815094.json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XBRL Company Facts de Inari Medical (CIK 0001531048)</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nov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https://data.sec.gov/api/xbrl/companyfacts/CIK0001531048.json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XBRL Company Facts de Silk Road Medical (CIK 0001397702)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ago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https://data.sec.gov/api/xbrl/companyfacts/CIK0001397702.json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de cotización de Penumbra (PEN), enero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https://finance.yahoo.com/quote/PEN/history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10-Year Treasury Constant Maturity Rate (DGS10), serie diaria 2016-2026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Federal Reserve Bank of St. Louis (FRED)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https://fred.stlouisfed.org/series/DGS10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Equity Risk Premium by month (ERPbymonth.xlsx), 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90,2 %</w:t>
      </w:r>
      <w:r>
        <w:t xml:space="preserve"> · Secciones con menos del 60 % de campos cubiertos: </w:t>
      </w:r>
      <w:r>
        <w:rPr>
          <w:b/>
          <w:bCs/>
        </w:rPr>
        <w:t xml:space="preserve">ninguna</w:t>
      </w:r>
      <w:r>
        <w:t xml:space="preserve"> · Generado el 7 oct 2026.</w:t>
      </w:r>
    </w:p>
    <w:p>
      <w:pPr>
        <w:pStyle w:val="Nota"/>
        <w:spacing w:after="100"/>
      </w:pPr>
      <w:r>
        <w:t xml:space="preserve">Línea cotizada única (NASDAQ: ISRG), cuentas y cotización en USD: no hay conversiones salvo las de competidores no estadounidenses (CMR en GBP, MicroPort MedBot y Edge en CNY, a la media de 2025 de la Reserva Federal). El EBITDA de las cuentas es GAAP (la remuneración en acciones es gasto); el del consenso es ajustado y el motor le resta el 7,5 % de las ventas. Desglose de amortizaciones y EBITDA trimestral derivados por diferencia de los acumulados de los 10-Q. Las transcripciones de las conferencias del 1T26 y 2T26 son de terceros (la web de inversores no respondió), leídas con WebFetch. Los múltiplos de comparables mezclan EBITDA de MarketScreener ajustado y no ajustado según la empresa (se corrigió Dexcom e Insulet). Las acciones de 2016-2018 y sus precios están reexpresados por el desdoblamiento 3 por 1 de 2021. No se han usado servicios de pago: faltan las calificaciones ESG de MSCI y Sustainalytics y los múltiplos históricos de los próximos 12 meses.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Intuitive Surgical, Inc. (ISRG)</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(USD) · precio actual 404,76</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(328,57 – 603,88)</c:v>
                </c:pt>
                <c:pt idx="1">
                  <c:v>Precio objetivo de los analistas (324,00 – 685,00)</c:v>
                </c:pt>
                <c:pt idx="2">
                  <c:v>Comparables: EV/EBITDA NTM (180,59 – 255,54)</c:v>
                </c:pt>
                <c:pt idx="3">
                  <c:v>Comparables: PER NTM (151,75 – 250,34)</c:v>
                </c:pt>
                <c:pt idx="4">
                  <c:v>Transacciones precedentes (EV/ventas) (237,31 – 388,35)</c:v>
                </c:pt>
                <c:pt idx="5">
                  <c:v>DCF (WACC y g ± 0,5) (213,13 – 244,10)</c:v>
                </c:pt>
                <c:pt idx="6">
                  <c:v>Escenarios (bajista – alcista) (165,59 – 299,20)</c:v>
                </c:pt>
                <c:pt idx="7">
                  <c:v>DCF con la prima implícita del mercado (4,2 %)</c:v>
                </c:pt>
                <c:pt idx="8">
                  <c:v>Precio actual (404,76)</c:v>
                </c:pt>
              </c:strCache>
            </c:strRef>
          </c:cat>
          <c:val>
            <c:numRef>
              <c:f>Hoja1!$B$2:$B$10</c:f>
              <c:numCache>
                <c:formatCode>#,##0</c:formatCode>
                <c:ptCount val="9"/>
                <c:pt idx="0">
                  <c:v>328.57</c:v>
                </c:pt>
                <c:pt idx="1">
                  <c:v>324</c:v>
                </c:pt>
                <c:pt idx="2">
                  <c:v>180.59</c:v>
                </c:pt>
                <c:pt idx="3">
                  <c:v>151.75</c:v>
                </c:pt>
                <c:pt idx="4">
                  <c:v>237.31</c:v>
                </c:pt>
                <c:pt idx="5">
                  <c:v>213.13</c:v>
                </c:pt>
                <c:pt idx="6">
                  <c:v>165.59</c:v>
                </c:pt>
                <c:pt idx="7">
                  <c:v>216.41</c:v>
                </c:pt>
                <c:pt idx="8">
                  <c:v>402.74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(328,57 – 603,88)</c:v>
                </c:pt>
                <c:pt idx="1">
                  <c:v>Precio objetivo de los analistas (324,00 – 685,00)</c:v>
                </c:pt>
                <c:pt idx="2">
                  <c:v>Comparables: EV/EBITDA NTM (180,59 – 255,54)</c:v>
                </c:pt>
                <c:pt idx="3">
                  <c:v>Comparables: PER NTM (151,75 – 250,34)</c:v>
                </c:pt>
                <c:pt idx="4">
                  <c:v>Transacciones precedentes (EV/ventas) (237,31 – 388,35)</c:v>
                </c:pt>
                <c:pt idx="5">
                  <c:v>DCF (WACC y g ± 0,5) (213,13 – 244,10)</c:v>
                </c:pt>
                <c:pt idx="6">
                  <c:v>Escenarios (bajista – alcista) (165,59 – 299,20)</c:v>
                </c:pt>
                <c:pt idx="7">
                  <c:v>DCF con la prima implícita del mercado (4,2 %)</c:v>
                </c:pt>
                <c:pt idx="8">
                  <c:v>Precio actual (404,76)</c:v>
                </c:pt>
              </c:strCache>
            </c:strRef>
          </c:cat>
          <c:val>
            <c:numRef>
              <c:f>Hoja1!$C$2:$C$10</c:f>
              <c:numCache>
                <c:formatCode>#,##0</c:formatCode>
                <c:ptCount val="9"/>
                <c:pt idx="0">
                  <c:v>275.31</c:v>
                </c:pt>
                <c:pt idx="1">
                  <c:v>361</c:v>
                </c:pt>
                <c:pt idx="2">
                  <c:v>74.94999999999999</c:v>
                </c:pt>
                <c:pt idx="3">
                  <c:v>98.59</c:v>
                </c:pt>
                <c:pt idx="4">
                  <c:v>151.04000000000002</c:v>
                </c:pt>
                <c:pt idx="5">
                  <c:v>30.97</c:v>
                </c:pt>
                <c:pt idx="6">
                  <c:v>133.60999999999999</c:v>
                </c:pt>
                <c:pt idx="7">
                  <c:v>22.289999999999992</c:v>
                </c:pt>
                <c:pt idx="8">
                  <c:v>4.039999999999964</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(USD, millones)</a:t>
            </a:r>
          </a:p>
        </c:rich>
      </c:tx>
      <c:overlay val="0"/>
    </c:title>
    <c:autoTitleDeleted val="0"/>
    <c:plotArea>
      <c:layout/>
      <c:barChart>
        <c:barDir val="col"/>
        <c:grouping val="stacked"/>
        <c:varyColors val="0"/>
        <c:ser>
          <c:idx val="0"/>
          <c:order val="0"/>
          <c:tx>
            <c:strRef>
              <c:f>Hoja1!$B$1</c:f>
              <c:strCache>
                <c:ptCount val="1"/>
                <c:pt idx="0">
                  <c:v>Instrumentos y accesorios</c:v>
                </c:pt>
              </c:strCache>
            </c:strRef>
          </c:tx>
          <c:spPr>
            <a:solidFill>
              <a:srgbClr val="2A78D6"/>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1395.8</c:v>
                </c:pt>
                <c:pt idx="1">
                  <c:v>1636.9</c:v>
                </c:pt>
                <c:pt idx="2">
                  <c:v>1962</c:v>
                </c:pt>
                <c:pt idx="3">
                  <c:v>2408.2</c:v>
                </c:pt>
                <c:pt idx="4">
                  <c:v>2455.7</c:v>
                </c:pt>
                <c:pt idx="5">
                  <c:v>3100.5</c:v>
                </c:pt>
                <c:pt idx="6">
                  <c:v>3517.9</c:v>
                </c:pt>
                <c:pt idx="7">
                  <c:v>4276.6</c:v>
                </c:pt>
                <c:pt idx="8">
                  <c:v>5079</c:v>
                </c:pt>
                <c:pt idx="9">
                  <c:v>6018.9</c:v>
                </c:pt>
              </c:numCache>
            </c:numRef>
          </c:val>
        </c:ser>
        <c:ser>
          <c:idx val="1"/>
          <c:order val="1"/>
          <c:tx>
            <c:strRef>
              <c:f>Hoja1!$C$1</c:f>
              <c:strCache>
                <c:ptCount val="1"/>
                <c:pt idx="0">
                  <c:v>Sistemas</c:v>
                </c:pt>
              </c:strCache>
            </c:strRef>
          </c:tx>
          <c:spPr>
            <a:solidFill>
              <a:srgbClr val="EB6834"/>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800</c:v>
                </c:pt>
                <c:pt idx="1">
                  <c:v>928.4</c:v>
                </c:pt>
                <c:pt idx="2">
                  <c:v>1127.1</c:v>
                </c:pt>
                <c:pt idx="3">
                  <c:v>1346.1</c:v>
                </c:pt>
                <c:pt idx="4">
                  <c:v>1178.9</c:v>
                </c:pt>
                <c:pt idx="5">
                  <c:v>1693.4</c:v>
                </c:pt>
                <c:pt idx="6">
                  <c:v>1680.1</c:v>
                </c:pt>
                <c:pt idx="7">
                  <c:v>1679.7</c:v>
                </c:pt>
                <c:pt idx="8">
                  <c:v>1966</c:v>
                </c:pt>
                <c:pt idx="9">
                  <c:v>2473.7</c:v>
                </c:pt>
              </c:numCache>
            </c:numRef>
          </c:val>
        </c:ser>
        <c:ser>
          <c:idx val="2"/>
          <c:order val="2"/>
          <c:tx>
            <c:strRef>
              <c:f>Hoja1!$D$1</c:f>
              <c:strCache>
                <c:ptCount val="1"/>
                <c:pt idx="0">
                  <c:v>Servicio</c:v>
                </c:pt>
              </c:strCache>
            </c:strRef>
          </c:tx>
          <c:spPr>
            <a:solidFill>
              <a:srgbClr val="1BAF7A"/>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510.7</c:v>
                </c:pt>
                <c:pt idx="1">
                  <c:v>572.9</c:v>
                </c:pt>
                <c:pt idx="2">
                  <c:v>635.1</c:v>
                </c:pt>
                <c:pt idx="3">
                  <c:v>724.2</c:v>
                </c:pt>
                <c:pt idx="4">
                  <c:v>723.8</c:v>
                </c:pt>
                <c:pt idx="5">
                  <c:v>916.2</c:v>
                </c:pt>
                <c:pt idx="6">
                  <c:v>1024.2</c:v>
                </c:pt>
                <c:pt idx="7">
                  <c:v>1167.8</c:v>
                </c:pt>
                <c:pt idx="8">
                  <c:v>1307.1</c:v>
                </c:pt>
                <c:pt idx="9">
                  <c:v>1572.1</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Instrumentos y accesorios</c:v>
                </c:pt>
                <c:pt idx="1">
                  <c:v>Sistemas</c:v>
                </c:pt>
                <c:pt idx="2">
                  <c:v>Servicio</c:v>
                </c:pt>
              </c:strCache>
            </c:strRef>
          </c:cat>
          <c:val>
            <c:numRef>
              <c:f>Hoja1!$B$2:$B$4</c:f>
              <c:numCache>
                <c:formatCode>General</c:formatCode>
                <c:ptCount val="3"/>
                <c:pt idx="0">
                  <c:v>59.8</c:v>
                </c:pt>
                <c:pt idx="1">
                  <c:v>24.6</c:v>
                </c:pt>
                <c:pt idx="2">
                  <c:v>15.6</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Hoja1!$A$2:$A$3</c:f>
              <c:strCache>
                <c:ptCount val="2"/>
                <c:pt idx="0">
                  <c:v>Estados Unidos</c:v>
                </c:pt>
                <c:pt idx="1">
                  <c:v>Fuera de EE. UU.</c:v>
                </c:pt>
              </c:strCache>
            </c:strRef>
          </c:cat>
          <c:val>
            <c:numRef>
              <c:f>Hoja1!$B$2:$B$3</c:f>
              <c:numCache>
                <c:formatCode>0"%"</c:formatCode>
                <c:ptCount val="2"/>
                <c:pt idx="0">
                  <c:v>67.7</c:v>
                </c:pt>
                <c:pt idx="1">
                  <c:v>32.3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(millones de USD (robots de cirugía endoscópica, mundo, precio de fábrica; Frost &amp; Sullivan))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2021</c:v>
                </c:pt>
                <c:pt idx="1">
                  <c:v>2022</c:v>
                </c:pt>
                <c:pt idx="2">
                  <c:v>2023</c:v>
                </c:pt>
                <c:pt idx="3">
                  <c:v>2024</c:v>
                </c:pt>
                <c:pt idx="4">
                  <c:v>2025e</c:v>
                </c:pt>
                <c:pt idx="5">
                  <c:v>2026e</c:v>
                </c:pt>
                <c:pt idx="6">
                  <c:v>2027e</c:v>
                </c:pt>
                <c:pt idx="7">
                  <c:v>2028e</c:v>
                </c:pt>
              </c:strCache>
            </c:strRef>
          </c:cat>
          <c:val>
            <c:numRef>
              <c:f>Hoja1!$B$2:$B$9</c:f>
              <c:numCache>
                <c:formatCode>#,##0</c:formatCode>
                <c:ptCount val="8"/>
                <c:pt idx="0">
                  <c:v>6572.8</c:v>
                </c:pt>
                <c:pt idx="1">
                  <c:v>7248.4</c:v>
                </c:pt>
                <c:pt idx="2">
                  <c:v>8449</c:v>
                </c:pt>
                <c:pt idx="3">
                  <c:v>10220.4</c:v>
                </c:pt>
                <c:pt idx="4">
                  <c:v>12449.8</c:v>
                </c:pt>
                <c:pt idx="5">
                  <c:v>14190.7</c:v>
                </c:pt>
                <c:pt idx="6">
                  <c:v>15843</c:v>
                </c:pt>
                <c:pt idx="7">
                  <c:v>18422.3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3</c:v>
                </c:pt>
                <c:pt idx="2">
                  <c:v>2</c:v>
                </c:pt>
                <c:pt idx="3">
                  <c:v>3</c:v>
                </c:pt>
                <c:pt idx="4">
                  <c:v>2</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Intuitive</c:v>
                </c:pt>
                <c:pt idx="1">
                  <c:v>Medtronic (Hugo RAS)</c:v>
                </c:pt>
                <c:pt idx="2">
                  <c:v>Johnson &amp; Johnson MedTech (Ottava)</c:v>
                </c:pt>
                <c:pt idx="3">
                  <c:v>Stryker (Mako)</c:v>
                </c:pt>
                <c:pt idx="4">
                  <c:v>CMR Surgical (Versius)</c:v>
                </c:pt>
                <c:pt idx="5">
                  <c:v>MicroPort MedBot (Toumai)</c:v>
                </c:pt>
                <c:pt idx="6">
                  <c:v>Edge Medical (MP1000 / SP1000)</c:v>
                </c:pt>
                <c:pt idx="7">
                  <c:v>SS Innovations (SSi Mantra)</c:v>
                </c:pt>
                <c:pt idx="8">
                  <c:v>Globus Medical (ExcelsiusGPS)</c:v>
                </c:pt>
              </c:strCache>
            </c:strRef>
          </c:cat>
          <c:val>
            <c:numRef>
              <c:f>Hoja1!$B$2:$B$10</c:f>
              <c:numCache>
                <c:formatCode>0.0"%"</c:formatCode>
                <c:ptCount val="9"/>
                <c:pt idx="0">
                  <c:v>29.3</c:v>
                </c:pt>
                <c:pt idx="1">
                  <c:v>17.8</c:v>
                </c:pt>
                <c:pt idx="2">
                  <c:v>12.2</c:v>
                </c:pt>
                <c:pt idx="3">
                  <c:v>19.5</c:v>
                </c:pt>
                <c:pt idx="4">
                  <c:v>-133.7</c:v>
                </c:pt>
                <c:pt idx="5">
                  <c:v>-42.7</c:v>
                </c:pt>
                <c:pt idx="6">
                  <c:v>-19.3</c:v>
                </c:pt>
                <c:pt idx="7">
                  <c:v>-19.3</c:v>
                </c:pt>
                <c:pt idx="8">
                  <c:v>16.3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3</c:v>
                </c:pt>
                <c:pt idx="1">
                  <c:v>5</c:v>
                </c:pt>
                <c:pt idx="2">
                  <c:v>4</c:v>
                </c:pt>
                <c:pt idx="3">
                  <c:v>3</c:v>
                </c:pt>
                <c:pt idx="4">
                  <c:v>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(USD,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Hoja1!$A$2:$A$21</c:f>
              <c:strCache>
                <c:ptCount val="20"/>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pt idx="17">
                  <c:v>2033e</c:v>
                </c:pt>
                <c:pt idx="18">
                  <c:v>2034e</c:v>
                </c:pt>
                <c:pt idx="19">
                  <c:v>2035e</c:v>
                </c:pt>
              </c:strCache>
            </c:strRef>
          </c:cat>
          <c:val>
            <c:numRef>
              <c:f>Hoja1!$B$2:$B$21</c:f>
              <c:numCache>
                <c:formatCode>#,##0</c:formatCode>
                <c:ptCount val="20"/>
                <c:pt idx="0">
                  <c:v>2706.5</c:v>
                </c:pt>
                <c:pt idx="1">
                  <c:v>3138.2</c:v>
                </c:pt>
                <c:pt idx="2">
                  <c:v>3724.2</c:v>
                </c:pt>
                <c:pt idx="3">
                  <c:v>4478.5</c:v>
                </c:pt>
                <c:pt idx="4">
                  <c:v>4358.4</c:v>
                </c:pt>
                <c:pt idx="5">
                  <c:v>5710.1</c:v>
                </c:pt>
                <c:pt idx="6">
                  <c:v>6222.2</c:v>
                </c:pt>
                <c:pt idx="7">
                  <c:v>7124.1</c:v>
                </c:pt>
                <c:pt idx="8">
                  <c:v>8352.1</c:v>
                </c:pt>
                <c:pt idx="9">
                  <c:v>10064.7</c:v>
                </c:pt>
                <c:pt idx="10">
                  <c:v>11756</c:v>
                </c:pt>
                <c:pt idx="11">
                  <c:v>13284</c:v>
                </c:pt>
                <c:pt idx="12">
                  <c:v>14944</c:v>
                </c:pt>
                <c:pt idx="13">
                  <c:v>16738</c:v>
                </c:pt>
                <c:pt idx="14">
                  <c:v>18662</c:v>
                </c:pt>
                <c:pt idx="15">
                  <c:v>20715</c:v>
                </c:pt>
                <c:pt idx="16">
                  <c:v>22787</c:v>
                </c:pt>
                <c:pt idx="17">
                  <c:v>24838</c:v>
                </c:pt>
                <c:pt idx="18">
                  <c:v>26576</c:v>
                </c:pt>
                <c:pt idx="19">
                  <c:v>27905</c:v>
                </c:pt>
              </c:numCache>
            </c:numRef>
          </c:val>
        </c:ser>
        <c:ser>
          <c:idx val="1"/>
          <c:order val="1"/>
          <c:tx>
            <c:strRef>
              <c:f>Hoja1!$C$1</c:f>
              <c:strCache>
                <c:ptCount val="1"/>
                <c:pt idx="0">
                  <c:v>EBITDA</c:v>
                </c:pt>
              </c:strCache>
            </c:strRef>
          </c:tx>
          <c:spPr>
            <a:solidFill>
              <a:srgbClr val="EB6834"/>
            </a:solidFill>
            <a:ln w="9525">
              <a:noFill/>
            </a:ln>
          </c:spPr>
          <c:invertIfNegative val="0"/>
          <c:cat>
            <c:strRef>
              <c:f>Hoja1!$A$2:$A$21</c:f>
              <c:strCache>
                <c:ptCount val="20"/>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pt idx="17">
                  <c:v>2033e</c:v>
                </c:pt>
                <c:pt idx="18">
                  <c:v>2034e</c:v>
                </c:pt>
                <c:pt idx="19">
                  <c:v>2035e</c:v>
                </c:pt>
              </c:strCache>
            </c:strRef>
          </c:cat>
          <c:val>
            <c:numRef>
              <c:f>Hoja1!$C$2:$C$21</c:f>
              <c:numCache>
                <c:formatCode>#,##0</c:formatCode>
                <c:ptCount val="20"/>
                <c:pt idx="0">
                  <c:v>1041.8</c:v>
                </c:pt>
                <c:pt idx="1">
                  <c:v>1162</c:v>
                </c:pt>
                <c:pt idx="2">
                  <c:v>1322.2</c:v>
                </c:pt>
                <c:pt idx="3">
                  <c:v>1577.5</c:v>
                </c:pt>
                <c:pt idx="4">
                  <c:v>1326</c:v>
                </c:pt>
                <c:pt idx="5">
                  <c:v>2131.2</c:v>
                </c:pt>
                <c:pt idx="6">
                  <c:v>1942.9</c:v>
                </c:pt>
                <c:pt idx="7">
                  <c:v>2188.6</c:v>
                </c:pt>
                <c:pt idx="8">
                  <c:v>2810.9</c:v>
                </c:pt>
                <c:pt idx="9">
                  <c:v>3573.4</c:v>
                </c:pt>
                <c:pt idx="10">
                  <c:v>4467</c:v>
                </c:pt>
                <c:pt idx="11">
                  <c:v>5114</c:v>
                </c:pt>
                <c:pt idx="12">
                  <c:v>5828</c:v>
                </c:pt>
                <c:pt idx="13">
                  <c:v>6528</c:v>
                </c:pt>
                <c:pt idx="14">
                  <c:v>7278</c:v>
                </c:pt>
                <c:pt idx="15">
                  <c:v>8079</c:v>
                </c:pt>
                <c:pt idx="16">
                  <c:v>8887</c:v>
                </c:pt>
                <c:pt idx="17">
                  <c:v>9687</c:v>
                </c:pt>
                <c:pt idx="18">
                  <c:v>10365</c:v>
                </c:pt>
                <c:pt idx="19">
                  <c:v>10883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69.9</c:v>
                </c:pt>
                <c:pt idx="1">
                  <c:v>70.2</c:v>
                </c:pt>
                <c:pt idx="2">
                  <c:v>69.9</c:v>
                </c:pt>
                <c:pt idx="3">
                  <c:v>69.4</c:v>
                </c:pt>
                <c:pt idx="4">
                  <c:v>65.6</c:v>
                </c:pt>
                <c:pt idx="5">
                  <c:v>69.3</c:v>
                </c:pt>
                <c:pt idx="6">
                  <c:v>67.4</c:v>
                </c:pt>
                <c:pt idx="7">
                  <c:v>66.4</c:v>
                </c:pt>
                <c:pt idx="8">
                  <c:v>67.5</c:v>
                </c:pt>
                <c:pt idx="9">
                  <c:v>66</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38.5</c:v>
                </c:pt>
                <c:pt idx="1">
                  <c:v>37</c:v>
                </c:pt>
                <c:pt idx="2">
                  <c:v>35.5</c:v>
                </c:pt>
                <c:pt idx="3">
                  <c:v>35.2</c:v>
                </c:pt>
                <c:pt idx="4">
                  <c:v>30.4</c:v>
                </c:pt>
                <c:pt idx="5">
                  <c:v>37.3</c:v>
                </c:pt>
                <c:pt idx="6">
                  <c:v>31.2</c:v>
                </c:pt>
                <c:pt idx="7">
                  <c:v>30.7</c:v>
                </c:pt>
                <c:pt idx="8">
                  <c:v>33.7</c:v>
                </c:pt>
                <c:pt idx="9">
                  <c:v>35.5</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35.1</c:v>
                </c:pt>
                <c:pt idx="1">
                  <c:v>33.9</c:v>
                </c:pt>
                <c:pt idx="2">
                  <c:v>32.2</c:v>
                </c:pt>
                <c:pt idx="3">
                  <c:v>30.7</c:v>
                </c:pt>
                <c:pt idx="4">
                  <c:v>24.1</c:v>
                </c:pt>
                <c:pt idx="5">
                  <c:v>31.9</c:v>
                </c:pt>
                <c:pt idx="6">
                  <c:v>25.3</c:v>
                </c:pt>
                <c:pt idx="7">
                  <c:v>24.8</c:v>
                </c:pt>
                <c:pt idx="8">
                  <c:v>28.1</c:v>
                </c:pt>
                <c:pt idx="9">
                  <c:v>29.3</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27.3</c:v>
                </c:pt>
                <c:pt idx="1">
                  <c:v>21.4</c:v>
                </c:pt>
                <c:pt idx="2">
                  <c:v>30.3</c:v>
                </c:pt>
                <c:pt idx="3">
                  <c:v>30.8</c:v>
                </c:pt>
                <c:pt idx="4">
                  <c:v>24.3</c:v>
                </c:pt>
                <c:pt idx="5">
                  <c:v>29.9</c:v>
                </c:pt>
                <c:pt idx="6">
                  <c:v>21.3</c:v>
                </c:pt>
                <c:pt idx="7">
                  <c:v>25.2</c:v>
                </c:pt>
                <c:pt idx="8">
                  <c:v>27.8</c:v>
                </c:pt>
                <c:pt idx="9">
                  <c:v>28.4</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16.9</c:v>
                </c:pt>
                <c:pt idx="1">
                  <c:v>25.2</c:v>
                </c:pt>
                <c:pt idx="2">
                  <c:v>19.2</c:v>
                </c:pt>
                <c:pt idx="3">
                  <c:v>21.4</c:v>
                </c:pt>
                <c:pt idx="4">
                  <c:v>22.9</c:v>
                </c:pt>
                <c:pt idx="5">
                  <c:v>18.8</c:v>
                </c:pt>
                <c:pt idx="6">
                  <c:v>23</c:v>
                </c:pt>
                <c:pt idx="7">
                  <c:v>18.5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58</c:v>
                </c:pt>
                <c:pt idx="1">
                  <c:v>59</c:v>
                </c:pt>
                <c:pt idx="2">
                  <c:v>67</c:v>
                </c:pt>
                <c:pt idx="3">
                  <c:v>53</c:v>
                </c:pt>
                <c:pt idx="4">
                  <c:v>54</c:v>
                </c:pt>
                <c:pt idx="5">
                  <c:v>50</c:v>
                </c:pt>
                <c:pt idx="6">
                  <c:v>55</c:v>
                </c:pt>
                <c:pt idx="7">
                  <c:v>58</c:v>
                </c:pt>
                <c:pt idx="8">
                  <c:v>54</c:v>
                </c:pt>
                <c:pt idx="9">
                  <c:v>55</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82</c:v>
                </c:pt>
                <c:pt idx="1">
                  <c:v>94</c:v>
                </c:pt>
                <c:pt idx="2">
                  <c:v>133</c:v>
                </c:pt>
                <c:pt idx="3">
                  <c:v>159</c:v>
                </c:pt>
                <c:pt idx="4">
                  <c:v>147</c:v>
                </c:pt>
                <c:pt idx="5">
                  <c:v>122</c:v>
                </c:pt>
                <c:pt idx="6">
                  <c:v>161</c:v>
                </c:pt>
                <c:pt idx="7">
                  <c:v>186</c:v>
                </c:pt>
                <c:pt idx="8">
                  <c:v>200</c:v>
                </c:pt>
                <c:pt idx="9">
                  <c:v>196</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31</c:v>
                </c:pt>
                <c:pt idx="1">
                  <c:v>32</c:v>
                </c:pt>
                <c:pt idx="2">
                  <c:v>33</c:v>
                </c:pt>
                <c:pt idx="3">
                  <c:v>33</c:v>
                </c:pt>
                <c:pt idx="4">
                  <c:v>20</c:v>
                </c:pt>
                <c:pt idx="5">
                  <c:v>25</c:v>
                </c:pt>
                <c:pt idx="6">
                  <c:v>26</c:v>
                </c:pt>
                <c:pt idx="7">
                  <c:v>29</c:v>
                </c:pt>
                <c:pt idx="8">
                  <c:v>26</c:v>
                </c:pt>
                <c:pt idx="9">
                  <c:v>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(USD,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1033.1</c:v>
                </c:pt>
                <c:pt idx="1">
                  <c:v>953.2</c:v>
                </c:pt>
                <c:pt idx="2">
                  <c:v>982.1999999999999</c:v>
                </c:pt>
                <c:pt idx="3">
                  <c:v>1172.6</c:v>
                </c:pt>
                <c:pt idx="4">
                  <c:v>1143.3</c:v>
                </c:pt>
                <c:pt idx="5">
                  <c:v>1749.9</c:v>
                </c:pt>
                <c:pt idx="6">
                  <c:v>958.4</c:v>
                </c:pt>
                <c:pt idx="7">
                  <c:v>749.5999999999999</c:v>
                </c:pt>
                <c:pt idx="8">
                  <c:v>1303.8</c:v>
                </c:pt>
                <c:pt idx="9">
                  <c:v>2490.7</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738.3</c:v>
                </c:pt>
                <c:pt idx="1">
                  <c:v>670.9</c:v>
                </c:pt>
                <c:pt idx="2">
                  <c:v>1127.9</c:v>
                </c:pt>
                <c:pt idx="3">
                  <c:v>1379.3</c:v>
                </c:pt>
                <c:pt idx="4">
                  <c:v>1060.6</c:v>
                </c:pt>
                <c:pt idx="5">
                  <c:v>1704.6</c:v>
                </c:pt>
                <c:pt idx="6">
                  <c:v>1322.3</c:v>
                </c:pt>
                <c:pt idx="7">
                  <c:v>1798</c:v>
                </c:pt>
                <c:pt idx="8">
                  <c:v>2322.6</c:v>
                </c:pt>
                <c:pt idx="9">
                  <c:v>2856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75.7</c:v>
                </c:pt>
                <c:pt idx="1">
                  <c:v>68.9</c:v>
                </c:pt>
                <c:pt idx="2">
                  <c:v>75.7</c:v>
                </c:pt>
                <c:pt idx="3">
                  <c:v>57.9</c:v>
                </c:pt>
                <c:pt idx="4">
                  <c:v>33.8</c:v>
                </c:pt>
                <c:pt idx="5">
                  <c:v>52.1</c:v>
                </c:pt>
                <c:pt idx="6">
                  <c:v>33.5</c:v>
                </c:pt>
                <c:pt idx="7">
                  <c:v>30.9</c:v>
                </c:pt>
                <c:pt idx="8">
                  <c:v>29.4</c:v>
                </c:pt>
                <c:pt idx="9">
                  <c:v>30.2</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10.1</c:v>
                </c:pt>
                <c:pt idx="1">
                  <c:v>10.1</c:v>
                </c:pt>
                <c:pt idx="2">
                  <c:v>10.1</c:v>
                </c:pt>
                <c:pt idx="3">
                  <c:v>10.1</c:v>
                </c:pt>
                <c:pt idx="4">
                  <c:v>10.1</c:v>
                </c:pt>
                <c:pt idx="5">
                  <c:v>10.1</c:v>
                </c:pt>
                <c:pt idx="6">
                  <c:v>10.1</c:v>
                </c:pt>
                <c:pt idx="7">
                  <c:v>10.1</c:v>
                </c:pt>
                <c:pt idx="8">
                  <c:v>10.1</c:v>
                </c:pt>
                <c:pt idx="9">
                  <c:v>10.1</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12.8</c:v>
                </c:pt>
                <c:pt idx="1">
                  <c:v>12.7</c:v>
                </c:pt>
                <c:pt idx="2">
                  <c:v>19.7</c:v>
                </c:pt>
                <c:pt idx="3">
                  <c:v>18.5</c:v>
                </c:pt>
                <c:pt idx="4">
                  <c:v>11.8</c:v>
                </c:pt>
                <c:pt idx="5">
                  <c:v>15.8</c:v>
                </c:pt>
                <c:pt idx="6">
                  <c:v>11.5</c:v>
                </c:pt>
                <c:pt idx="7">
                  <c:v>14.8</c:v>
                </c:pt>
                <c:pt idx="8">
                  <c:v>15.6</c:v>
                </c:pt>
                <c:pt idx="9">
                  <c:v>16.7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0">
                  <c:v>-4.64</c:v>
                </c:pt>
                <c:pt idx="1">
                  <c:v>-3.31</c:v>
                </c:pt>
                <c:pt idx="2">
                  <c:v>-3.66</c:v>
                </c:pt>
                <c:pt idx="3">
                  <c:v>-3.66</c:v>
                </c:pt>
                <c:pt idx="4">
                  <c:v>-5.12</c:v>
                </c:pt>
                <c:pt idx="5">
                  <c:v>-4</c:v>
                </c:pt>
                <c:pt idx="6">
                  <c:v>-3.42</c:v>
                </c:pt>
                <c:pt idx="7">
                  <c:v>-3.31</c:v>
                </c:pt>
                <c:pt idx="8">
                  <c:v>-3.09</c:v>
                </c:pt>
                <c:pt idx="9">
                  <c:v>-2.48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(USD,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0</c:v>
                </c:pt>
                <c:pt idx="1">
                  <c:v>0</c:v>
                </c:pt>
                <c:pt idx="2">
                  <c:v>88.2</c:v>
                </c:pt>
                <c:pt idx="3">
                  <c:v>82.3</c:v>
                </c:pt>
                <c:pt idx="4">
                  <c:v>122.7</c:v>
                </c:pt>
                <c:pt idx="5">
                  <c:v>44.6</c:v>
                </c:pt>
                <c:pt idx="6">
                  <c:v>17.3</c:v>
                </c:pt>
                <c:pt idx="7">
                  <c:v>11.8</c:v>
                </c:pt>
                <c:pt idx="8">
                  <c:v>1.5</c:v>
                </c:pt>
                <c:pt idx="9">
                  <c:v>13.9</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0</c:v>
                </c:pt>
                <c:pt idx="1">
                  <c:v>0</c:v>
                </c:pt>
                <c:pt idx="2">
                  <c:v>0</c:v>
                </c:pt>
                <c:pt idx="3">
                  <c:v>0</c:v>
                </c:pt>
                <c:pt idx="4">
                  <c:v>0</c:v>
                </c:pt>
                <c:pt idx="5">
                  <c:v>0</c:v>
                </c:pt>
                <c:pt idx="6">
                  <c:v>0</c:v>
                </c:pt>
                <c:pt idx="7">
                  <c:v>0</c:v>
                </c:pt>
                <c:pt idx="8">
                  <c:v>0</c:v>
                </c:pt>
                <c:pt idx="9">
                  <c:v>0</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42.5</c:v>
                </c:pt>
                <c:pt idx="1">
                  <c:v>2274</c:v>
                </c:pt>
                <c:pt idx="2">
                  <c:v>0</c:v>
                </c:pt>
                <c:pt idx="3">
                  <c:v>269.5</c:v>
                </c:pt>
                <c:pt idx="4">
                  <c:v>134.3</c:v>
                </c:pt>
                <c:pt idx="5">
                  <c:v>0</c:v>
                </c:pt>
                <c:pt idx="6">
                  <c:v>2607.4</c:v>
                </c:pt>
                <c:pt idx="7">
                  <c:v>416.3</c:v>
                </c:pt>
                <c:pt idx="8">
                  <c:v>0</c:v>
                </c:pt>
                <c:pt idx="9">
                  <c:v>2295.3</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Ejecutivo</c:v>
                </c:pt>
                <c:pt idx="1">
                  <c:v>Independiente</c:v>
                </c:pt>
              </c:strCache>
            </c:strRef>
          </c:cat>
          <c:val>
            <c:numRef>
              <c:f>Hoja1!$B$2:$B$3</c:f>
              <c:numCache>
                <c:formatCode>0</c:formatCode>
                <c:ptCount val="2"/>
                <c:pt idx="0">
                  <c:v>2</c:v>
                </c:pt>
                <c:pt idx="1">
                  <c:v>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The Vanguard Group (todas sus gestoras)</c:v>
                </c:pt>
                <c:pt idx="1">
                  <c:v>BlackRock, Inc.</c:v>
                </c:pt>
                <c:pt idx="2">
                  <c:v>T. Rowe Price Associates</c:v>
                </c:pt>
                <c:pt idx="3">
                  <c:v>Consejeros y directivos (17 personas)</c:v>
                </c:pt>
                <c:pt idx="4">
                  <c:v>Autocartera</c:v>
                </c:pt>
              </c:strCache>
            </c:strRef>
          </c:cat>
          <c:val>
            <c:numRef>
              <c:f>Hoja1!$B$2:$B$6</c:f>
              <c:numCache>
                <c:formatCode>0.0"%"</c:formatCode>
                <c:ptCount val="5"/>
                <c:pt idx="0">
                  <c:v>9.5</c:v>
                </c:pt>
                <c:pt idx="1">
                  <c:v>8.6</c:v>
                </c:pt>
                <c:pt idx="2">
                  <c:v>4.8</c:v>
                </c:pt>
                <c:pt idx="3">
                  <c:v>0.6</c:v>
                </c:pt>
                <c:pt idx="4">
                  <c:v>0</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16.1</c:v>
                </c:pt>
                <c:pt idx="1">
                  <c:v>72.6</c:v>
                </c:pt>
                <c:pt idx="2">
                  <c:v>31.2</c:v>
                </c:pt>
                <c:pt idx="3">
                  <c:v>23.4</c:v>
                </c:pt>
                <c:pt idx="4">
                  <c:v>38.4</c:v>
                </c:pt>
                <c:pt idx="5">
                  <c:v>31.8</c:v>
                </c:pt>
                <c:pt idx="6">
                  <c:v>-26.1</c:v>
                </c:pt>
                <c:pt idx="7">
                  <c:v>27.1</c:v>
                </c:pt>
                <c:pt idx="8">
                  <c:v>54.7</c:v>
                </c:pt>
                <c:pt idx="9">
                  <c:v>8.5</c:v>
                </c:pt>
              </c:numCache>
            </c:numRef>
          </c:val>
        </c:ser>
        <c:ser>
          <c:idx val="1"/>
          <c:order val="1"/>
          <c:tx>
            <c:strRef>
              <c:f>Hoja1!$C$1</c:f>
              <c:strCache>
                <c:ptCount val="1"/>
                <c:pt idx="0">
                  <c:v>Índice</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12</c:v>
                </c:pt>
                <c:pt idx="1">
                  <c:v>21.7</c:v>
                </c:pt>
                <c:pt idx="2">
                  <c:v>-4.6</c:v>
                </c:pt>
                <c:pt idx="3">
                  <c:v>31.2</c:v>
                </c:pt>
                <c:pt idx="4">
                  <c:v>18.3</c:v>
                </c:pt>
                <c:pt idx="5">
                  <c:v>28.7</c:v>
                </c:pt>
                <c:pt idx="6">
                  <c:v>-18.2</c:v>
                </c:pt>
                <c:pt idx="7">
                  <c:v>26.2</c:v>
                </c:pt>
                <c:pt idx="8">
                  <c:v>24.9</c:v>
                </c:pt>
                <c:pt idx="9">
                  <c:v>17.7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0">
                  <c:v>19.3</c:v>
                </c:pt>
                <c:pt idx="1">
                  <c:v>33.2</c:v>
                </c:pt>
                <c:pt idx="2">
                  <c:v>39.4</c:v>
                </c:pt>
                <c:pt idx="3">
                  <c:v>41.1</c:v>
                </c:pt>
                <c:pt idx="4">
                  <c:v>69.1</c:v>
                </c:pt>
                <c:pt idx="5">
                  <c:v>57.7</c:v>
                </c:pt>
                <c:pt idx="6">
                  <c:v>46.1</c:v>
                </c:pt>
                <c:pt idx="7">
                  <c:v>51.8</c:v>
                </c:pt>
                <c:pt idx="8">
                  <c:v>64.2</c:v>
                </c:pt>
                <c:pt idx="9">
                  <c:v>55</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49</c:v>
                </c:pt>
                <c:pt idx="1">
                  <c:v>49</c:v>
                </c:pt>
                <c:pt idx="2">
                  <c:v>49</c:v>
                </c:pt>
                <c:pt idx="3">
                  <c:v>49</c:v>
                </c:pt>
                <c:pt idx="4">
                  <c:v>49</c:v>
                </c:pt>
                <c:pt idx="5">
                  <c:v>49</c:v>
                </c:pt>
                <c:pt idx="6">
                  <c:v>49</c:v>
                </c:pt>
                <c:pt idx="7">
                  <c:v>49</c:v>
                </c:pt>
                <c:pt idx="8">
                  <c:v>49</c:v>
                </c:pt>
                <c:pt idx="9">
                  <c:v>49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Pt>
            <c:idx val="9"/>
            <c:invertIfNegative val="0"/>
            <c:bubble3D val="0"/>
            <c:spPr>
              <a:solidFill>
                <a:srgbClr val="C9C8C2"/>
              </a:solidFill>
            </c:spPr>
          </c:dPt>
          <c:dPt>
            <c:idx val="10"/>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Hoja1!$A$2:$A$12</c:f>
              <c:strCache>
                <c:ptCount val="11"/>
                <c:pt idx="0">
                  <c:v>Intuitive</c:v>
                </c:pt>
                <c:pt idx="1">
                  <c:v>Stryker</c:v>
                </c:pt>
                <c:pt idx="2">
                  <c:v>Boston Scientific</c:v>
                </c:pt>
                <c:pt idx="3">
                  <c:v>Medtronic</c:v>
                </c:pt>
                <c:pt idx="4">
                  <c:v>Abbott Laboratories</c:v>
                </c:pt>
                <c:pt idx="5">
                  <c:v>Edwards Lifesciences</c:v>
                </c:pt>
                <c:pt idx="6">
                  <c:v>Dexcom</c:v>
                </c:pt>
                <c:pt idx="7">
                  <c:v>Insulet</c:v>
                </c:pt>
                <c:pt idx="8">
                  <c:v>IDEXX Laboratories</c:v>
                </c:pt>
                <c:pt idx="9">
                  <c:v>ResMed</c:v>
                </c:pt>
                <c:pt idx="10">
                  <c:v>Zimmer Biomet</c:v>
                </c:pt>
              </c:strCache>
            </c:strRef>
          </c:cat>
          <c:val>
            <c:numRef>
              <c:f>Hoja1!$B$2:$B$12</c:f>
              <c:numCache>
                <c:formatCode>0.0"x"</c:formatCode>
                <c:ptCount val="11"/>
                <c:pt idx="0">
                  <c:v>28.6</c:v>
                </c:pt>
                <c:pt idx="1">
                  <c:v>14.2</c:v>
                </c:pt>
                <c:pt idx="2">
                  <c:v>10.9</c:v>
                </c:pt>
                <c:pt idx="3">
                  <c:v>11.7</c:v>
                </c:pt>
                <c:pt idx="4">
                  <c:v>14</c:v>
                </c:pt>
                <c:pt idx="5">
                  <c:v>19.9</c:v>
                </c:pt>
                <c:pt idx="6">
                  <c:v>18.5</c:v>
                </c:pt>
                <c:pt idx="7">
                  <c:v>12.1</c:v>
                </c:pt>
                <c:pt idx="8">
                  <c:v>22.9</c:v>
                </c:pt>
                <c:pt idx="9">
                  <c:v>13.3</c:v>
                </c:pt>
                <c:pt idx="10">
                  <c:v>8.4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Intuitive</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13.2</c:v>
                </c:pt>
              </c:numCache>
            </c:numRef>
          </c:xVal>
          <c:yVal>
            <c:numRef>
              <c:f>Hoja1!$C$2</c:f>
              <c:numCache>
                <c:formatCode>0.0"x"</c:formatCode>
                <c:ptCount val="1"/>
                <c:pt idx="0">
                  <c:v>28.6</c:v>
                </c:pt>
              </c:numCache>
            </c:numRef>
          </c:yVal>
          <c:smooth val="0"/>
        </c:ser>
        <c:ser>
          <c:idx val="1"/>
          <c:order val="1"/>
          <c:tx>
            <c:strRef>
              <c:f>Hoja1!$A$3</c:f>
              <c:strCache>
                <c:ptCount val="1"/>
                <c:pt idx="0">
                  <c:v>Stryker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12.3</c:v>
                </c:pt>
              </c:numCache>
            </c:numRef>
          </c:xVal>
          <c:yVal>
            <c:numRef>
              <c:f>Hoja1!$C$3</c:f>
              <c:numCache>
                <c:formatCode>0.0"x"</c:formatCode>
                <c:ptCount val="1"/>
                <c:pt idx="0">
                  <c:v>14.2</c:v>
                </c:pt>
              </c:numCache>
            </c:numRef>
          </c:yVal>
          <c:smooth val="0"/>
        </c:ser>
        <c:ser>
          <c:idx val="2"/>
          <c:order val="2"/>
          <c:tx>
            <c:strRef>
              <c:f>Hoja1!$A$4</c:f>
              <c:strCache>
                <c:ptCount val="1"/>
                <c:pt idx="0">
                  <c:v>Boston Scientific</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4.9</c:v>
                </c:pt>
              </c:numCache>
            </c:numRef>
          </c:xVal>
          <c:yVal>
            <c:numRef>
              <c:f>Hoja1!$C$4</c:f>
              <c:numCache>
                <c:formatCode>0.0"x"</c:formatCode>
                <c:ptCount val="1"/>
                <c:pt idx="0">
                  <c:v>10.9</c:v>
                </c:pt>
              </c:numCache>
            </c:numRef>
          </c:yVal>
          <c:smooth val="0"/>
        </c:ser>
        <c:ser>
          <c:idx val="3"/>
          <c:order val="3"/>
          <c:tx>
            <c:strRef>
              <c:f>Hoja1!$A$5</c:f>
              <c:strCache>
                <c:ptCount val="1"/>
                <c:pt idx="0">
                  <c:v>Medtronic</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5.5</c:v>
                </c:pt>
              </c:numCache>
            </c:numRef>
          </c:xVal>
          <c:yVal>
            <c:numRef>
              <c:f>Hoja1!$C$5</c:f>
              <c:numCache>
                <c:formatCode>0.0"x"</c:formatCode>
                <c:ptCount val="1"/>
                <c:pt idx="0">
                  <c:v>11.7</c:v>
                </c:pt>
              </c:numCache>
            </c:numRef>
          </c:yVal>
          <c:smooth val="0"/>
        </c:ser>
        <c:ser>
          <c:idx val="4"/>
          <c:order val="4"/>
          <c:tx>
            <c:strRef>
              <c:f>Hoja1!$A$6</c:f>
              <c:strCache>
                <c:ptCount val="1"/>
                <c:pt idx="0">
                  <c:v>Abbott Laboratories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14.9</c:v>
                </c:pt>
              </c:numCache>
            </c:numRef>
          </c:xVal>
          <c:yVal>
            <c:numRef>
              <c:f>Hoja1!$C$6</c:f>
              <c:numCache>
                <c:formatCode>0.0"x"</c:formatCode>
                <c:ptCount val="1"/>
                <c:pt idx="0">
                  <c:v>14</c:v>
                </c:pt>
              </c:numCache>
            </c:numRef>
          </c:yVal>
          <c:smooth val="0"/>
        </c:ser>
        <c:ser>
          <c:idx val="5"/>
          <c:order val="5"/>
          <c:tx>
            <c:strRef>
              <c:f>Hoja1!$A$7</c:f>
              <c:strCache>
                <c:ptCount val="1"/>
                <c:pt idx="0">
                  <c:v>Edwards Lifesciences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11.7</c:v>
                </c:pt>
              </c:numCache>
            </c:numRef>
          </c:xVal>
          <c:yVal>
            <c:numRef>
              <c:f>Hoja1!$C$7</c:f>
              <c:numCache>
                <c:formatCode>0.0"x"</c:formatCode>
                <c:ptCount val="1"/>
                <c:pt idx="0">
                  <c:v>19.9</c:v>
                </c:pt>
              </c:numCache>
            </c:numRef>
          </c:yVal>
          <c:smooth val="0"/>
        </c:ser>
        <c:ser>
          <c:idx val="6"/>
          <c:order val="6"/>
          <c:tx>
            <c:strRef>
              <c:f>Hoja1!$A$8</c:f>
              <c:strCache>
                <c:ptCount val="1"/>
                <c:pt idx="0">
                  <c:v>Dexcom</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14</c:v>
                </c:pt>
              </c:numCache>
            </c:numRef>
          </c:xVal>
          <c:yVal>
            <c:numRef>
              <c:f>Hoja1!$C$8</c:f>
              <c:numCache>
                <c:formatCode>0.0"x"</c:formatCode>
                <c:ptCount val="1"/>
                <c:pt idx="0">
                  <c:v>18.5</c:v>
                </c:pt>
              </c:numCache>
            </c:numRef>
          </c:yVal>
          <c:smooth val="0"/>
        </c:ser>
        <c:ser>
          <c:idx val="7"/>
          <c:order val="7"/>
          <c:tx>
            <c:strRef>
              <c:f>Hoja1!$A$9</c:f>
              <c:strCache>
                <c:ptCount val="1"/>
                <c:pt idx="0">
                  <c:v>Insulet</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18.9</c:v>
                </c:pt>
              </c:numCache>
            </c:numRef>
          </c:xVal>
          <c:yVal>
            <c:numRef>
              <c:f>Hoja1!$C$9</c:f>
              <c:numCache>
                <c:formatCode>0.0"x"</c:formatCode>
                <c:ptCount val="1"/>
                <c:pt idx="0">
                  <c:v>12.1</c:v>
                </c:pt>
              </c:numCache>
            </c:numRef>
          </c:yVal>
          <c:smooth val="0"/>
        </c:ser>
        <c:ser>
          <c:idx val="8"/>
          <c:order val="8"/>
          <c:tx>
            <c:strRef>
              <c:f>Hoja1!$A$10</c:f>
              <c:strCache>
                <c:ptCount val="1"/>
                <c:pt idx="0">
                  <c:v>IDEXX Laboratories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Hoja1!$B$10</c:f>
              <c:numCache>
                <c:formatCode>0"%"</c:formatCode>
                <c:ptCount val="1"/>
                <c:pt idx="0">
                  <c:v>10.7</c:v>
                </c:pt>
              </c:numCache>
            </c:numRef>
          </c:xVal>
          <c:yVal>
            <c:numRef>
              <c:f>Hoja1!$C$10</c:f>
              <c:numCache>
                <c:formatCode>0.0"x"</c:formatCode>
                <c:ptCount val="1"/>
                <c:pt idx="0">
                  <c:v>22.9</c:v>
                </c:pt>
              </c:numCache>
            </c:numRef>
          </c:yVal>
          <c:smooth val="0"/>
        </c:ser>
        <c:ser>
          <c:idx val="9"/>
          <c:order val="9"/>
          <c:tx>
            <c:strRef>
              <c:f>Hoja1!$A$11</c:f>
              <c:strCache>
                <c:ptCount val="1"/>
                <c:pt idx="0">
                  <c:v>ResMed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Hoja1!$B$11</c:f>
              <c:numCache>
                <c:formatCode>0"%"</c:formatCode>
                <c:ptCount val="1"/>
                <c:pt idx="0">
                  <c:v>4.4</c:v>
                </c:pt>
              </c:numCache>
            </c:numRef>
          </c:xVal>
          <c:yVal>
            <c:numRef>
              <c:f>Hoja1!$C$11</c:f>
              <c:numCache>
                <c:formatCode>0.0"x"</c:formatCode>
                <c:ptCount val="1"/>
                <c:pt idx="0">
                  <c:v>13.3</c:v>
                </c:pt>
              </c:numCache>
            </c:numRef>
          </c:yVal>
          <c:smooth val="0"/>
        </c:ser>
        <c:ser>
          <c:idx val="10"/>
          <c:order val="10"/>
          <c:tx>
            <c:strRef>
              <c:f>Hoja1!$A$12</c:f>
              <c:strCache>
                <c:ptCount val="1"/>
                <c:pt idx="0">
                  <c:v>Zimmer Biomet</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Hoja1!$B$12</c:f>
              <c:numCache>
                <c:formatCode>0"%"</c:formatCode>
                <c:ptCount val="1"/>
                <c:pt idx="0">
                  <c:v>3.8</c:v>
                </c:pt>
              </c:numCache>
            </c:numRef>
          </c:xVal>
          <c:yVal>
            <c:numRef>
              <c:f>Hoja1!$C$12</c:f>
              <c:numCache>
                <c:formatCode>0.0"x"</c:formatCode>
                <c:ptCount val="1"/>
                <c:pt idx="0">
                  <c:v>8.4</c:v>
                </c:pt>
              </c:numCache>
            </c:numRef>
          </c:yVal>
          <c:smooth val="0"/>
        </c:ser>
        <c:axId val="10"/>
        <c:axId val="20"/>
      </c:scatterChart>
      <c:valAx>
        <c:axId val="10"/>
        <c:scaling>
          <c:orientation val="minMax"/>
          <c:max val="23"/>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(USD,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2026e</c:v>
                </c:pt>
                <c:pt idx="1">
                  <c:v>2027e</c:v>
                </c:pt>
                <c:pt idx="2">
                  <c:v>2028e</c:v>
                </c:pt>
                <c:pt idx="3">
                  <c:v>2029e</c:v>
                </c:pt>
                <c:pt idx="4">
                  <c:v>2030e</c:v>
                </c:pt>
                <c:pt idx="5">
                  <c:v>2031e</c:v>
                </c:pt>
                <c:pt idx="6">
                  <c:v>2032e</c:v>
                </c:pt>
                <c:pt idx="7">
                  <c:v>2033e</c:v>
                </c:pt>
                <c:pt idx="8">
                  <c:v>2034e</c:v>
                </c:pt>
                <c:pt idx="9">
                  <c:v>2035e</c:v>
                </c:pt>
              </c:strCache>
            </c:strRef>
          </c:cat>
          <c:val>
            <c:numRef>
              <c:f>Hoja1!$B$2:$B$11</c:f>
              <c:numCache>
                <c:formatCode>#,##0</c:formatCode>
                <c:ptCount val="10"/>
                <c:pt idx="0">
                  <c:v>1821</c:v>
                </c:pt>
                <c:pt idx="1">
                  <c:v>2246</c:v>
                </c:pt>
                <c:pt idx="2">
                  <c:v>2761</c:v>
                </c:pt>
                <c:pt idx="3">
                  <c:v>3128</c:v>
                </c:pt>
                <c:pt idx="4">
                  <c:v>3705</c:v>
                </c:pt>
                <c:pt idx="5">
                  <c:v>4152</c:v>
                </c:pt>
                <c:pt idx="6">
                  <c:v>4851</c:v>
                </c:pt>
                <c:pt idx="7">
                  <c:v>5360</c:v>
                </c:pt>
                <c:pt idx="8">
                  <c:v>6135</c:v>
                </c:pt>
                <c:pt idx="9">
                  <c:v>6595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(USD,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23820</c:v>
                </c:pt>
                <c:pt idx="1">
                  <c:v>48765</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(USD) · precio actual 404,76</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165.59</c:v>
                </c:pt>
                <c:pt idx="1">
                  <c:v>226.95</c:v>
                </c:pt>
                <c:pt idx="2">
                  <c:v>299.2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(USD) · precio actual 404,76</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(328,57 – 603,88)</c:v>
                </c:pt>
                <c:pt idx="1">
                  <c:v>Precio objetivo de los analistas (324,00 – 685,00)</c:v>
                </c:pt>
                <c:pt idx="2">
                  <c:v>Comparables: EV/EBITDA NTM (180,59 – 255,54)</c:v>
                </c:pt>
                <c:pt idx="3">
                  <c:v>Comparables: PER NTM (151,75 – 250,34)</c:v>
                </c:pt>
                <c:pt idx="4">
                  <c:v>Transacciones precedentes (EV/ventas) (237,31 – 388,35)</c:v>
                </c:pt>
                <c:pt idx="5">
                  <c:v>DCF (WACC y g ± 0,5) (213,13 – 244,10)</c:v>
                </c:pt>
                <c:pt idx="6">
                  <c:v>Escenarios (bajista – alcista) (165,59 – 299,20)</c:v>
                </c:pt>
                <c:pt idx="7">
                  <c:v>DCF con la prima implícita del mercado (4,2 %)</c:v>
                </c:pt>
                <c:pt idx="8">
                  <c:v>Precio actual (404,76)</c:v>
                </c:pt>
              </c:strCache>
            </c:strRef>
          </c:cat>
          <c:val>
            <c:numRef>
              <c:f>Hoja1!$B$2:$B$10</c:f>
              <c:numCache>
                <c:formatCode>#,##0</c:formatCode>
                <c:ptCount val="9"/>
                <c:pt idx="0">
                  <c:v>328.57</c:v>
                </c:pt>
                <c:pt idx="1">
                  <c:v>324</c:v>
                </c:pt>
                <c:pt idx="2">
                  <c:v>180.59</c:v>
                </c:pt>
                <c:pt idx="3">
                  <c:v>151.75</c:v>
                </c:pt>
                <c:pt idx="4">
                  <c:v>237.31</c:v>
                </c:pt>
                <c:pt idx="5">
                  <c:v>213.13</c:v>
                </c:pt>
                <c:pt idx="6">
                  <c:v>165.59</c:v>
                </c:pt>
                <c:pt idx="7">
                  <c:v>216.41</c:v>
                </c:pt>
                <c:pt idx="8">
                  <c:v>402.74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(328,57 – 603,88)</c:v>
                </c:pt>
                <c:pt idx="1">
                  <c:v>Precio objetivo de los analistas (324,00 – 685,00)</c:v>
                </c:pt>
                <c:pt idx="2">
                  <c:v>Comparables: EV/EBITDA NTM (180,59 – 255,54)</c:v>
                </c:pt>
                <c:pt idx="3">
                  <c:v>Comparables: PER NTM (151,75 – 250,34)</c:v>
                </c:pt>
                <c:pt idx="4">
                  <c:v>Transacciones precedentes (EV/ventas) (237,31 – 388,35)</c:v>
                </c:pt>
                <c:pt idx="5">
                  <c:v>DCF (WACC y g ± 0,5) (213,13 – 244,10)</c:v>
                </c:pt>
                <c:pt idx="6">
                  <c:v>Escenarios (bajista – alcista) (165,59 – 299,20)</c:v>
                </c:pt>
                <c:pt idx="7">
                  <c:v>DCF con la prima implícita del mercado (4,2 %)</c:v>
                </c:pt>
                <c:pt idx="8">
                  <c:v>Precio actual (404,76)</c:v>
                </c:pt>
              </c:strCache>
            </c:strRef>
          </c:cat>
          <c:val>
            <c:numRef>
              <c:f>Hoja1!$C$2:$C$10</c:f>
              <c:numCache>
                <c:formatCode>#,##0</c:formatCode>
                <c:ptCount val="9"/>
                <c:pt idx="0">
                  <c:v>275.31</c:v>
                </c:pt>
                <c:pt idx="1">
                  <c:v>361</c:v>
                </c:pt>
                <c:pt idx="2">
                  <c:v>74.94999999999999</c:v>
                </c:pt>
                <c:pt idx="3">
                  <c:v>98.59</c:v>
                </c:pt>
                <c:pt idx="4">
                  <c:v>151.04000000000002</c:v>
                </c:pt>
                <c:pt idx="5">
                  <c:v>30.97</c:v>
                </c:pt>
                <c:pt idx="6">
                  <c:v>133.60999999999999</c:v>
                </c:pt>
                <c:pt idx="7">
                  <c:v>22.289999999999992</c:v>
                </c:pt>
                <c:pt idx="8">
                  <c:v>4.039999999999964</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2026-10-07T09:59:53.999Z</dcterms:created>
  <dcterms:modified xsi:type="dcterms:W3CDTF">2026-10-07T09:59:54.001Z</dcterms:modified>
</cp:coreProperties>
</file>

<file path=docProps/custom.xml><?xml version="1.0" encoding="utf-8"?>
<Properties xmlns="http://schemas.openxmlformats.org/officeDocument/2006/custom-properties" xmlns:vt="http://schemas.openxmlformats.org/officeDocument/2006/docPropsVTypes"/>
</file>