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KEYENCE CORPORATION</w:t>
      </w:r>
    </w:p>
    <w:p>
      <w:pPr>
        <w:spacing w:after="60"/>
        <w:rPr>
          <w:color w:val="52514E"/>
          <w:sz w:val="22"/>
          <w:szCs w:val="22"/>
        </w:rPr>
      </w:pPr>
      <w:r>
        <w:rPr>
          <w:color w:val="52514E"/>
          <w:sz w:val="22"/>
          <w:szCs w:val="22"/>
        </w:rPr>
        <w:t xml:space="preserve">6861 · Bolsa de Tokio (TSE Prime) · ISIN JP3236200006 · Information Technology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81.490,00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61.614,88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19.763.362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KEYENCE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6861 / JP3236200006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Information Technology / Electronic Equipment, Instruments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Osaka (Japón) · 1974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https://www.keyence.co.jp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81.490,00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51.510,00 – 87.920,00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19.763.362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16.668.841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49,6 mil M JPY/día (628 mil acciones; 3 meses, 60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61.614,88 JPY</w:t>
      </w:r>
      <w:r>
        <w:t xml:space="preserve"> frente a 81.490,00 · Rentabilidad total esperada a 12 meses </w:t>
      </w:r>
      <w:r>
        <w:rPr>
          <w:b/>
          <w:bCs/>
        </w:rPr>
        <w:t xml:space="preserve">-23,7 %</w:t>
      </w:r>
      <w:r>
        <w:t xml:space="preserve"> · Alcista / bajista -4,1 % / -50,1 %</w:t>
      </w:r>
    </w:p>
    <w:p>
      <w:pPr>
        <w:spacing w:after="100"/>
      </w:pPr>
      <w:r>
        <w:rPr>
          <w:b/>
        </w:rPr>
        <w:t xml:space="preserve">La recomendación y por qué.</w:t>
      </w:r>
      <w:r>
        <w:t xml:space="preserve"> Vender, con convicción baja. El valor objetivo es de 61.614,88 JPY frente a un precio de 81.490 JPY: una rentabilidad total esperada del −23,7 %, con el alcista (78.168,11 JPY) un 4,1 % por debajo del precio y el bajista (40.674,81 JPY) un 50,1 %. Keyence es probablemente el mejor negocio de automatización industrial del mundo, pero el precio pide más crecimiento del que ha logrado nunca sin la ayuda del yen. La convicción es baja porque nuestras cifras a tres años coinciden con el consenso (−1,6 % a −4,9 %) y la diferencia está en la tasa de descuento y en el largo plazo, sin un catalizador con fecha a nuestro favor.</w:t>
      </w:r>
    </w:p>
    <w:p>
      <w:pPr>
        <w:spacing w:after="100"/>
      </w:pPr>
      <w:r>
        <w:rPr>
          <w:b/>
        </w:rPr>
        <w:t xml:space="preserve">El negocio.</w:t>
      </w:r>
      <w:r>
        <w:t xml:space="preserve"> Venta directa con ingenieros propios, fabricación subcontratada y entrega en el día: margen bruto del 83 %, margen operativo del 51,0 % y un ROIC del 94,6 % sin la caja, frente a márgenes del 3-28 % de Cognex, Omron, SMC, Fanuc, Sick o Mettler-Toledo [1, 27, 28, 29, 30, 31, 32, 33, 34, 35]. Ha multiplicado las ventas por 2,8 en diez años (12,3 % anual) sin una sola compra. El foso es amplio y la debilidad es otra: los gastos de venta suben del 24,5 % al 29,3 % de las ventas porque crecer fuera de Japón exige contratar antes de vender [1].</w:t>
      </w:r>
    </w:p>
    <w:p>
      <w:pPr>
        <w:spacing w:after="100"/>
      </w:pPr>
      <w:r>
        <w:rPr>
          <w:b/>
        </w:rPr>
        <w:t xml:space="preserve">Sector y ciclo.</w:t>
      </w:r>
      <w:r>
        <w:t xml:space="preserve"> El ciclo está en expansión: el 1T26 creció un 32,8 % (+24,0 % en moneda local fuera de Japón) con un margen operativo del 54,0 % [15]. Pero 26.100 M JPY de ese crecimiento fueron divisa, y Keyence ya cayó un 6,0 % y un 2,5 % en FY2019-FY2020 [4].</w:t>
      </w:r>
    </w:p>
    <w:p>
      <w:pPr>
        <w:spacing w:after="100"/>
      </w:pPr>
      <w:r>
        <w:rPr>
          <w:b/>
        </w:rPr>
        <w:t xml:space="preserve">Finanzas.</w:t>
      </w:r>
      <w:r>
        <w:t xml:space="preserve"> Sin deuda y con 2,99 billones de JPY de efectivo y valores, el 15,2 % de la capitalización, que rentan en torno al 0,6 % [1, 9]. El dividendo subió de 350 a 550 JPY y en diez años no hubo recompras. Conversión de beneficio en caja del 92 %; nada en la calidad contable cambia la tesis.</w:t>
      </w:r>
    </w:p>
    <w:p>
      <w:pPr>
        <w:spacing w:after="100"/>
      </w:pPr>
      <w:r>
        <w:rPr>
          <w:b/>
        </w:rPr>
        <w:t xml:space="preserve">Equipo y gobierno.</w:t>
      </w:r>
      <w:r>
        <w:t xml:space="preserve"> Ni suma ni resta mucho. Primer ejecutivo nuevo (Tetsuya Nakano, desde dic-2025) y salida del fundador del consejo en jun-2026, aunque él y su sociedad siguen con el 18,22 % [20, 47, 54]. Sueldos fijos y bajos (182 M JPY el primer ejecutivo, 8,4 veces el salario medio), 44 % de independientes y un voto al primer ejecutivo del 77,1 % en 2025 [20, 52].</w:t>
      </w:r>
    </w:p>
    <w:p>
      <w:pPr>
        <w:spacing w:after="100"/>
      </w:pPr>
      <w:r>
        <w:rPr>
          <w:b/>
        </w:rPr>
        <w:t xml:space="preserve">Valoración.</w:t>
      </w:r>
      <w:r>
        <w:t xml:space="preserve"> El DCF da 57.330,19 JPY con un WACC del 8,50 %, porque el JGB a 10 años rinde un 3,103 % [65]. El DCF inverso es la clave: el precio exige un crecimiento del 14,4 % anual durante diez años (nuestro base, 7,9 %) o, dicho de otro modo, ofrece una rentabilidad del 6,4 %, solo 3,3 puntos sobre el bono. Keyence cotiza a 40,2 veces el beneficio, justo su media de diez años: el mercado paga el múltiplo de cuando el bono rendía cero. Frente a sus pares no está cara (prima del 12 % en EV/EBITDA, mediana de 73.423,32 JPY), pero todo el grupo cotiza alto.</w:t>
      </w:r>
    </w:p>
    <w:p>
      <w:pPr>
        <w:spacing w:after="100"/>
      </w:pPr>
      <w:r>
        <w:rPr>
          <w:b/>
        </w:rPr>
        <w:t xml:space="preserve">Riesgos y catalizadores.</w:t>
      </w:r>
      <w:r>
        <w:t xml:space="preserve"> El riesgo principal de la recomendación es que el múltiplo no se mueva: el consenso (13 compras de 15, objetivo de 97.866,67 JPY) y unos resultados del 2T el 29-oct-2026 contra una base fácil pueden subir el precio a corto plazo [60, 63]. A favor de la tesis: un yen más fuerte (cada yen frente al dólar resta ≈ 1.100 M JPY de resultado operativo) y el giro del ciclo [15].</w:t>
      </w:r>
    </w:p>
    <w:p>
      <w:pPr>
        <w:spacing w:after="100"/>
      </w:pPr>
      <w:r>
        <w:rPr>
          <w:b/>
        </w:rPr>
        <w:t xml:space="preserve">Qué cambiaría la decisión.</w:t>
      </w:r>
      <w:r>
        <w:t xml:space="preserve"> Por debajo de 65.681,46 JPY pasaríamos a Mantener y por debajo de 54.036,25 JPY, a Comprar. También cambiaría con un crecimiento exterior en moneda local por encima del 15 % durante cuatro trimestres con margen operativo superior al 55 %, una recompra de más del 5 % del capital o un JGB por debajo del 2,5 %.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61.614,88 JPY</w:t>
      </w:r>
      <w:r>
        <w:t xml:space="preserve"> (-24,4 % sobre 81.490,00; rentabilidad total esperada -23,7 %)</w:t>
      </w:r>
    </w:p>
    <w:p>
      <w:pPr>
        <w:spacing w:after="100"/>
      </w:pPr>
      <w:r>
        <w:t xml:space="preserve">Keyence vende sensores, sistemas de visión, equipos de medición y microscopios digitales directamente a las fábricas, con ingenieros de venta propios, sin distribuidores y sin fábricas: subcontrata la producción y entrega desde su stock en el día. El resultado es un margen bruto del 83 %, un margen operativo del 51,0 %, un ROIC del 94,6 % y ninguna deuda [1, 23]. Ha crecido un 12,3 % al año en diez años sin compras, y dos tercios de las ventas ya son de fuera de Japón [1].</w:t>
      </w:r>
    </w:p>
    <w:p>
      <w:pPr>
        <w:spacing w:after="100"/>
      </w:pPr>
      <w:r>
        <w:t xml:space="preserve">El precio, 81.490 JPY, es 40,2 veces el beneficio de los últimos doce meses, su media de diez años. El DCF inverso dice qué descuenta: un crecimiento del 14,4 % anual durante diez años con nuestro margen, o una rentabilidad del 6,4 % anual para el accionista, con el JGB a 10 años al 3,103 % [65]. Frente a sus comparables, la prima es del 12 % [67, 68, 69, 70, 71, 72, 73].</w:t>
      </w:r>
    </w:p>
    <w:p>
      <w:pPr>
        <w:spacing w:after="100"/>
      </w:pPr>
      <w:r>
        <w:t xml:space="preserve">El mercado acierta con el negocio y, a nuestro juicio, se equivoca con el precio del tiempo. Para invertir hay que creer que el crecimiento de la próxima década superará al de la pasada, que tuvo el viento a favor de un yen que se depreció de ≈ 108 a ≈ 156 por dólar, o que una prima de 3,3 puntos sobre el bono basta para una acción con una volatilidad del 40,3 % y un ciclo que ya le restó un 8 % de ventas en dos años [4, 58]. Nosotros no lo creemos, pero el múltiplo lleva diez años en ese nivel y nada obliga a que baje en doce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61.614,88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 -50,1 %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frente a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54.036,25 (rentabilidad total esperada ≥ 15 % y el alcista compensa al bajista)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54.036,25 y 65.681,46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65.681,46 (rentabilidad total esperada ≤ −10 %, o negativa con un bajista que pesa el doble que el alcista)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65.681,46 JPY, pasaríamos a Mantener; por debajo de 54.036,25 JPY, a Comprar.</w:t>
      </w:r>
    </w:p>
    <w:p>
      <w:pPr>
        <w:pStyle w:val="ListParagraph"/>
        <w:numPr>
          <w:ilvl w:val="0"/>
          <w:numId w:val="2"/>
        </w:numPr>
        <w:spacing w:after="60"/>
      </w:pPr>
      <w:r>
        <w:t xml:space="preserve">Si el crecimiento exterior en moneda local supera el +15 % durante cuatro trimestres seguidos con margen operativo por encima del 55 %, revisaríamos el crecimiento del base al alza.</w:t>
      </w:r>
    </w:p>
    <w:p>
      <w:pPr>
        <w:pStyle w:val="ListParagraph"/>
        <w:numPr>
          <w:ilvl w:val="0"/>
          <w:numId w:val="2"/>
        </w:numPr>
        <w:spacing w:after="60"/>
      </w:pPr>
      <w:r>
        <w:t xml:space="preserve">Si Keyence anuncia una recompra de más del 5 % del capital (≈ 1 billón de JPY), subiría el valor por acción y la convicción en la asignación de capital.</w:t>
      </w:r>
    </w:p>
    <w:p>
      <w:pPr>
        <w:pStyle w:val="ListParagraph"/>
        <w:numPr>
          <w:ilvl w:val="0"/>
          <w:numId w:val="2"/>
        </w:numPr>
        <w:spacing w:after="60"/>
      </w:pPr>
      <w:r>
        <w:t xml:space="preserve">Si el JGB a 10 años baja del 2,5 %, el WACC bajaría a ≈ 7,9 % y el DCF subiría a ≈ 62.500 JPY, aún por debajo del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Keyence vale lo que siempre ha valido: 40 veces el beneficio. El consenso espera un +24 % de ventas en FY2026e y un 54,8 % de margen EBITDA, con trece compras de quince analistas y un objetivo medio de 97.866,67 JPY [59, 60]. Implícitamente, descuenta un 14,4 % de crecimiento anual durante diez años o una rentabilidad del 6,4 %.</w:t>
      </w:r>
    </w:p>
    <w:p>
      <w:pPr>
        <w:keepNext/>
        <w:spacing w:after="100"/>
      </w:pPr>
      <w:r>
        <w:rPr>
          <w:b/>
          <w:bCs/>
        </w:rPr>
        <w:t xml:space="preserve">Lo que creemos nosotros.</w:t>
      </w:r>
    </w:p>
    <w:p>
      <w:pPr>
        <w:spacing w:after="100"/>
      </w:pPr>
      <w:r>
        <w:t xml:space="preserve">Las cifras a tres años del consenso son razonables y casi idénticas a las nuestras. Lo que no compartimos es el largo plazo y el precio del dinero: crecimiento medio del 7,9 % (con un año de corrección del ciclo, como FY2019), margen del 53 % y un WACC del 8,50 % que refleja un JGB al 3,103 %. Eso vale 57.330,19 JPY en el DCF y 61.614,88 JPY en la síntesis.</w:t>
      </w:r>
    </w:p>
    <w:p>
      <w:pPr>
        <w:keepNext/>
        <w:spacing w:after="100"/>
      </w:pPr>
      <w:r>
        <w:rPr>
          <w:b/>
          <w:bCs/>
        </w:rPr>
        <w:t xml:space="preserve">Por qué podemos tener razón.</w:t>
      </w:r>
    </w:p>
    <w:p>
      <w:pPr>
        <w:spacing w:after="100"/>
      </w:pPr>
      <w:r>
        <w:t xml:space="preserve">El múltiplo histórico de Keyence se formó con el bono japonés cerca del 0 % y un yen que se depreciaba: dos vientos a favor que hoy no están. El crecimiento de FY2016-FY2025 incluyó ≈ 2,5 puntos anuales de divisa (estimación propia), y la tasa libre ha subido tres puntos sin que el múltiplo se mueva. Si el mercado vuelve a exigir una prima de riesgo normal, el ajuste llega por el múltiplo, no por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margen operativo del 51,0 % y ROIC del 94,6 %, el doble del mejor comparable.</w:t>
      </w:r>
    </w:p>
    <w:p>
      <w:pPr>
        <w:pStyle w:val="ListParagraph"/>
        <w:numPr>
          <w:ilvl w:val="0"/>
          <w:numId w:val="2"/>
        </w:numPr>
        <w:spacing w:after="60"/>
      </w:pPr>
      <w:r>
        <w:rPr>
          <w:b/>
        </w:rPr>
        <w:t xml:space="preserve">Crecimiento orgánico probado</w:t>
      </w:r>
      <w:r>
        <w:t xml:space="preserve">: ventas ×2,8 en diez años (12,3 % anual) sin una sola compra.</w:t>
      </w:r>
    </w:p>
    <w:p>
      <w:pPr>
        <w:pStyle w:val="ListParagraph"/>
        <w:numPr>
          <w:ilvl w:val="0"/>
          <w:numId w:val="2"/>
        </w:numPr>
        <w:spacing w:after="60"/>
      </w:pPr>
      <w:r>
        <w:rPr>
          <w:b/>
        </w:rPr>
        <w:t xml:space="preserve">Ciclo a favor a corto plazo</w:t>
      </w:r>
      <w:r>
        <w:t xml:space="preserve">: el 1T26 creció un 32,8 % con un margen operativo del 54,0 %.</w:t>
      </w:r>
    </w:p>
    <w:p>
      <w:pPr>
        <w:pStyle w:val="ListParagraph"/>
        <w:numPr>
          <w:ilvl w:val="0"/>
          <w:numId w:val="2"/>
        </w:numPr>
        <w:spacing w:after="60"/>
      </w:pPr>
      <w:r>
        <w:rPr>
          <w:b/>
        </w:rPr>
        <w:t xml:space="preserve">Balance sin deuda</w:t>
      </w:r>
      <w:r>
        <w:t xml:space="preserve">: 2,99 billones de JPY de efectivo y valores, el 15,2 % de la capitalización, con margen para recompras.</w:t>
      </w:r>
    </w:p>
    <w:p>
      <w:pPr>
        <w:pStyle w:val="ListParagraph"/>
        <w:numPr>
          <w:ilvl w:val="0"/>
          <w:numId w:val="2"/>
        </w:numPr>
        <w:spacing w:after="60"/>
      </w:pPr>
      <w:r>
        <w:rPr>
          <w:b/>
        </w:rPr>
        <w:t xml:space="preserve">Prima pequeña frente a sus pares</w:t>
      </w:r>
      <w:r>
        <w:t xml:space="preserve">: 19,8x EV/EBITDA NTM frente a la mediana de 17,6x.</w:t>
      </w:r>
    </w:p>
    <w:p>
      <w:pPr>
        <w:pStyle w:val="Heading2"/>
      </w:pPr>
      <w:r>
        <w:t xml:space="preserve">En contra</w:t>
      </w:r>
    </w:p>
    <w:p>
      <w:pPr>
        <w:pStyle w:val="ListParagraph"/>
        <w:numPr>
          <w:ilvl w:val="0"/>
          <w:numId w:val="2"/>
        </w:numPr>
        <w:spacing w:after="60"/>
      </w:pPr>
      <w:r>
        <w:rPr>
          <w:b/>
        </w:rPr>
        <w:t xml:space="preserve">El precio exige un 14,4 % anual durante diez años</w:t>
      </w:r>
      <w:r>
        <w:t xml:space="preserve">, frente al 7,9 % de nuestro base y al 12,3 % histórico con yen débil.</w:t>
      </w:r>
    </w:p>
    <w:p>
      <w:pPr>
        <w:pStyle w:val="ListParagraph"/>
        <w:numPr>
          <w:ilvl w:val="0"/>
          <w:numId w:val="2"/>
        </w:numPr>
        <w:spacing w:after="60"/>
      </w:pPr>
      <w:r>
        <w:rPr>
          <w:b/>
        </w:rPr>
        <w:t xml:space="preserve">Rentabilidad implícita del 6,4 %</w:t>
      </w:r>
      <w:r>
        <w:t xml:space="preserve">, solo 3,3 puntos sobre un JGB a 10 años al 3,103 %.</w:t>
      </w:r>
    </w:p>
    <w:p>
      <w:pPr>
        <w:pStyle w:val="ListParagraph"/>
        <w:numPr>
          <w:ilvl w:val="0"/>
          <w:numId w:val="2"/>
        </w:numPr>
        <w:spacing w:after="60"/>
      </w:pPr>
      <w:r>
        <w:rPr>
          <w:b/>
        </w:rPr>
        <w:t xml:space="preserve">Múltiplo en su media histórica (40,2x)</w:t>
      </w:r>
      <w:r>
        <w:t xml:space="preserve"> pese a tres puntos más de tasa libre.</w:t>
      </w:r>
    </w:p>
    <w:p>
      <w:pPr>
        <w:pStyle w:val="ListParagraph"/>
        <w:numPr>
          <w:ilvl w:val="0"/>
          <w:numId w:val="2"/>
        </w:numPr>
        <w:spacing w:after="60"/>
      </w:pPr>
      <w:r>
        <w:rPr>
          <w:b/>
        </w:rPr>
        <w:t xml:space="preserve">Ciclo</w:t>
      </w:r>
      <w:r>
        <w:t xml:space="preserve">: FY2019-FY2020 restaron un 8 % de las ventas; el bajista vale 40.674,81 JPY.</w:t>
      </w:r>
    </w:p>
    <w:p>
      <w:pPr>
        <w:pStyle w:val="ListParagraph"/>
        <w:numPr>
          <w:ilvl w:val="0"/>
          <w:numId w:val="2"/>
        </w:numPr>
        <w:spacing w:after="60"/>
      </w:pPr>
      <w:r>
        <w:rPr>
          <w:b/>
        </w:rPr>
        <w:t xml:space="preserve">Caja ociosa</w:t>
      </w:r>
      <w:r>
        <w:t xml:space="preserve">: 3 billones de JPY rentan en torno al 0,6 % y no ha habido recompras en diez años.</w:t>
      </w:r>
    </w:p>
    <w:p>
      <w:pPr>
        <w:pStyle w:val="ListParagraph"/>
        <w:numPr>
          <w:ilvl w:val="0"/>
          <w:numId w:val="2"/>
        </w:numPr>
        <w:spacing w:after="60"/>
      </w:pPr>
      <w:r>
        <w:rPr>
          <w:b/>
        </w:rPr>
        <w:t xml:space="preserve">Margen bajo presión</w:t>
      </w:r>
      <w:r>
        <w:t xml:space="preserve">: gastos de venta del 29,3 % de las ventas, frente al 24,5 % de FY2016.</w:t>
      </w:r>
    </w:p>
    <w:p>
      <w:pPr>
        <w:pStyle w:val="Heading2"/>
      </w:pPr>
      <w:r>
        <w:t xml:space="preserve">Qué tiene que pasar para que la tesis funcione</w:t>
      </w:r>
    </w:p>
    <w:p>
      <w:pPr>
        <w:spacing w:after="100"/>
      </w:pPr>
      <w:r>
        <w:t xml:space="preserve">La tesis depende de que el crecimiento vuelva a una cifra de un dígito alto cuando pase el ciclo y de que el mercado exija una prima normal sobre un JGB al 3 %. La señal de que nos equivocamos sería un crecimiento exterior en moneda local por encima del 15 % durante cuatro trimestres seguidos con un margen operativo por encima del 55 %, como en FY2017 y FY2021: eso acercaría el crecimiento real al 14,4 % que descuenta el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exterior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+15 % cuatro trimestres o 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la variable del DCF inverso.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red comercial nueva madura o si el ciclo gira.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JGB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3,103 % (6-oct-2026)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WACC y la prima que paga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1.100 M JPY de resultado operativo por cada yen.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local y geopolítica.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M&amp;A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Ninguna en diez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Recompra &gt; 5 % del capital o compra &gt; 1 billón de JPY</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los 3 billones de JPY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 / 32,9x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 · -4,5x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Takemitsu Takizaki fundó Lead Electric en Itami (Hyogo) en marzo de 1972 y la constituyó como sociedad anónima en mayo de 1974; desde 1973 vende sensores para automatizar fábricas [25]. Las decisiones que la definen llegaron pronto: en 1985 abrió filial en EE. UU. y una sociedad de fabricación propia, y en 1986 unificó marca y razón social como KEYENCE [25]. Cotiza desde 1987 (segunda sección de Osaka) y desde 1990 en la primera sección de Tokio y Osaka, hoy segmento Prime [25]. La expansión exterior fue gradual: Alemania en 1990, China en 2001 y, entre 2011 y 2016, Brasil, India, Indonesia, Vietnam y Filipinas [25]. Las ventas fuera de Japón pasaron de algo menos del 30 % hace quince años al 66,6 % en el ejercicio a marzo de 2026, y en ese periodo las ventas totales se multiplicaron por unas 7,7 veces [1, 24]. No ha hecho adquisiciones relevantes en el negocio central; la empresa dice ahora que usará compras para entrar en áreas digitales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Takemitsu Takizaki crea Lead Electric en Itami (Hyogo): controles automáticos y equipos electrónicos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y vender sensores para automatizar fábricas, el núcleo del negocio actual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como Lead Electric Co., Ltd. en Amagasaki (mayo)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KEYENCE Corporation of America y crea la sociedad de fabricación Krepo, hoy KEYENCE Engineering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razón social a KEYENCE para unificarla con la marca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la segunda sección de Osaka; en 1989, segunda sección de Tokio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la primera sección de Tokio y Osaka y abre filial en Alemania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filial en China; China es hoy el 16,0 % de las ventas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 el centro logístico de Takatsuki, base del envío en el día de todo el catálogo [23,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Brasil e India (2011), Indonesia (2013), Vietnam (2014) y Filipinas (2016)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al segmento Prime de la Bolsa de Tokio con la reforma de mercados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1.169.289 M JPY (+10,4 %) y beneficio operativo de 595.759 M JPY (51,0 % de margen); 12.784 empleados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KEYENCE diseña y vende componentes para automatizar e inspeccionar fábricas: sensores fotoeléctricos y de posición, sistemas de visión artificial, instrumentos de medición, microscopios digitales, lectores de códigos y marcadores láser y autómatas programables. En el último ejercicio añadió impresoras 3D para planta, sensores para cilindros lineales y válvulas inteligentes [1, 23]. Vende a todas las industrias (automoción, semiconductores, electrónica, metal, alimentación, farmacia, logística), lo que la hace menos dependiente de un sector concreto [23]. La web de inversores habla de más de 350.000 clientes; el informe anual, de unos 400.000 en unos 110 países [1, 23]. No tiene distribuidores: vende con ingenieros de ventas organizados por territorios y envía todo el catálogo el mismo día del pedido [23]. Es *fabless*: concentra los recursos en planificación, desarrollo y diseño y subcontrata la fabricación, aunque conserva la tecnología de producción clave y presta utillaje a sus fábricas asociadas [23]. En el ejercicio a marzo de 2026, Japón fue el 33,4 % de las ventas, EE. UU. el 19,3 %, China el 16,0 % y el resto del mundo el 31,4 % [1].</w:t>
      </w:r>
    </w:p>
    <w:p>
      <w:pPr>
        <w:pStyle w:val="Heading2"/>
      </w:pPr>
      <w:r>
        <w:t xml:space="preserve">Cómo gana dinero</w:t>
      </w:r>
    </w:p>
    <w:p>
      <w:pPr>
        <w:spacing w:after="100"/>
      </w:pPr>
      <w:r>
        <w:t xml:space="preserve">Cobra por producto vendido: no declara contratos plurianuales ni ingresos recurrentes, y reporta un único segmento porque un grupo de productos supera el 90 % de las ventas [1]. El margen sale del precio, no del coste: en torno al 70 % de sus productos nuevos tiene una función o un concepto «primero del mundo» o «primero del sector», y la empresa dice que no compite en precio ni en especificaciones [23]. Con la fabricación subcontratada, el margen bruto trimestral del ejercicio a marzo de 2026 fue del 82,6 % al 83,5 % y el beneficio operativo, el 51,0 % de las ventas: el grueso del gasto está en ventas y administración, no en la fábrica [1, 15]. La I+D costó 32.839 M JPY, el 2,8 % de las ventas [1]. Lanza unas diez series nuevas al año, y los productos de menos de dos años suponen entre el 10 % y el 20 % de las ventas [24]. El gran coste fijo es la plantilla comercial; aun así, el margen aguanta las caídas: en el ejercicio a marzo de 2021 las ventas bajaron un 2,5 % y el beneficio operativo solo un 0,3 % [4].</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nula: ningún cliente superó el 10 % de las ventas en los dos últimos ejercicios [1], y la organización por territorios está pensada para no depender de clientes concretos [23]. La base es de 350.000-400.000 clientes en unos 110 países, y la venta es pedido a pedido, con envío el mismo día; no hay contratos de duración ni tasas de renovación publicadas [1, 23]. La empresa no publica subidas de tarifa, pero el poder de precios se ve en el margen: el beneficio operativo fue el 51,4 % de las ventas en el ejercicio a marzo de 2021, el 51,2 % en el de 2024 y el 51,0 % en el de 2026, a pesar de la inflación de costes de 2022-2024 [1, 4, 26]. El riesgo de clientes está en el ciclo de inversión industrial, no en ninguno en particular.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extranjero,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+24,0 %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en el extranjero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en el FY2016; 70,4 % en el 1T26 [1, 2,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17,0 % en el FY2021; 10,8 % en el FY2016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+33,9 %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otros,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débil; +12,8 %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 en el 1T26, con ayuda del yen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8.961 en el FY2021; sueldo medio en la matriz de 21,8 M JPY, edad media 35,0 años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lleva a gastos; no se activa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componentes de detección, inspección y medición para automatizar fábricas: sensores industriales, visión artificial, instrumentos de medición y microscopía, lectura de códigos y marcado. No es el de robots ni el de máquina-herramienta, que KEYENCE no fabrica. No hay una estadística que cubra ese perímetro entero, así que usamos como referencia la </w:t>
      </w:r>
      <w:r>
        <w:rPr>
          <w:b/>
        </w:rPr>
        <w:t xml:space="preserve">visión artificial</w:t>
      </w:r>
      <w:r>
        <w:t xml:space="preserve">, el submercado mejor medido y donde KEYENCE aparece entre los cinco primeros en las dos fuentes [36, 37]. Las dos fuentes difieren mucho en tamaño (15.830 M USD frente a 22.600 M USD en 2025) porque Grand View incluye más software y aplicaciones fuera de fábrica; tomamos MarketsandMarkets, la más conservadora [36, 37]. Como contexto, los sensores industriales sumaban 27.900 M USD en 2024, aunque esa cifra incluye sensores de nivel, temperatura y gas que KEYENCE no vende [38]. Perímetro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15.830 M USD en 2025 (visión artificial mundial; MarketsandMarkets [36]); Grand View Research lo estima en 22.600 M USD [37]. Sensores industriales: 27.900 M USD en 2024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isión artificial mundi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calidad y eficiencia energética en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MarketsandMarkets prevé que la visión artificial crezca un 8,3 % anual en 2025-2030, y Asia-Pacífico un 9,2 % [36]; KEYENCE cita automatización, calidad y eficiencia energética como motores de su demanda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industrial (máquina-herramienta, bienes de equipo)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máquina-herramienta japonesa sumaron 1.604.320 M JPY en 2025, un 8,0 % más, el primer año de crecimiento en tres [41]. En Alemania, VDMA esperaba visión artificial plana en 3.100 M EUR en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e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Omron atribuye a la demanda ligada a la IA generativa el alza del 12,3 % de su negocio de automatización industrial en el ejercicio a marzo de 2026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visión y sensores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Hikrobot facturó más de 6.452 M CNY en 2025 y lleva más de 10 millones de productos de visión vendidos [42]; SICK cita la presión de precios de China como causa de su margen EBIT del 3,0 %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software abierto en visión artificial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avisa de que la IA y las plataformas abiertas pueden bajar las barreras de entrada y fragmentar más el mercado [27]; a la vez amplía las aplicaciones de la inspección.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primer trimestre del ejercicio 2026 (abril-junio) las ventas exteriores de KEYENCE crecieron un 39,0 % en yenes y un 24,0 % en moneda local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describe el mercado de visión como fragmentado y competitivo [27]. La rivalidad aprieta a los que venden por catálogo y precio (SICK, margen EBIT del 3,0 % [35]; Cognex, 16,4 % [28]). Ni los grandes de la automatización se acercan: Rockwell Automation ganó un 20,4 % operativo sobre 8.342 M USD en el ejercicio a septiembre de 2025 [29], mientras KEYENCE mantiene el 51,0 %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miles de clientes y ninguno por encima del 10 % de las ventas [1, 23]; el componente pesa poco en el coste de una línea y una parada cuesta mucho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a varias fábricas, con utillaje y tecnología clave propios [23]. El riesgo está en los chips: Cognex señala su dependencia de proveedores de Taiwán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el software abierto bajan la barrera técnica [27] y los fabricantes chinos ganan escala (Hikrobot, más de 6.452 M CNY en 2025 [42]). La barrera comercial es alta: replicar una red de venta directa como la de KEYENCE, con 12.784 empleados, lleva décadas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de ingeniería propios de los clientes y las herramientas abiertas, también con IA [27]; la inspección manual es más cara y menos fiable.</w:t>
            </w:r>
          </w:p>
        </w:tc>
      </w:tr>
    </w:tbl>
    <w:p>
      <w:pPr>
        <w:spacing w:after="160" w:before="0"/>
      </w:pPr>
    </w:p>
    <w:p>
      <w:pPr>
        <w:pStyle w:val="Heading2"/>
      </w:pPr>
      <w:r>
        <w:t xml:space="preserve">Ciclo</w:t>
      </w:r>
    </w:p>
    <w:p>
      <w:pPr>
        <w:spacing w:after="100"/>
      </w:pPr>
      <w:r>
        <w:t xml:space="preserve">Tres indicadores apuntan a expansión: los pedidos de máquina-herramienta japonesa crecieron un 8,0 % en 2025 tras dos años de caída [41], el negocio de automatización de Omron subió un 12,3 % en el ejercicio a marzo de 2026 [31] y las ventas de KEYENCE crecieron un 32,8 % en abril-junio de 2026 (24,0 % en moneda local fuera de Japón) [15]. Europa va por detrás: VDMA esperaba visión artificial plana en Alemania en 2025 tras caer en 2024 [39]. En las caídas, KEYENCE aguanta mejor que el sector: en el ejercicio a marzo de 2021 sus ventas bajaron un 2,5 % [4], y en el de 2024 el beneficio operativo cedió un 0,8 % [26], cuando los ingresos de Cognex caían un 16,8 % en 2023 [28]. No hemos podido verificar la caída de 2009 con documentos originales.</w:t>
      </w:r>
    </w:p>
    <w:p>
      <w:pPr>
        <w:pStyle w:val="Heading2"/>
      </w:pPr>
      <w:r>
        <w:t xml:space="preserve">Regulación</w:t>
      </w:r>
    </w:p>
    <w:p>
      <w:pPr>
        <w:spacing w:after="100"/>
      </w:pPr>
      <w:r>
        <w:t xml:space="preserve">No hay una regulación sectorial que fije precios o márgenes. Lo que afecta a las cifras son las barreras al comercio: los aranceles de EE. UU. han encarecido materiales y logística (Omron lo cita como causa de su menor margen bruto en el ejercicio a marzo de 2026 [31]) y los controles de exportación de EE. UU. a China ya han restado ventas a Cognex en ese país [27]. Para KEYENCE, que vende el 16,0 % en China y el 19,3 % en EE. UU. [1], el riesgo es doble. Además, cada producto debe cumplir la normativa de seguridad y de sustancias químicas del país de venta, aunque se fabrique fuera; KEYENCE lo recoge entre sus riesgos [1].</w:t>
      </w:r>
    </w:p>
    <w:p>
      <w:pPr>
        <w:pStyle w:val="Heading2"/>
      </w:pPr>
      <w:r>
        <w:t xml:space="preserve">Tendencias y disrupción</w:t>
      </w:r>
    </w:p>
    <w:p>
      <w:pPr>
        <w:spacing w:after="100"/>
      </w:pPr>
      <w:r>
        <w:t xml:space="preserve">La tendencia dominante es la IA en la inspección. Cognex ha lanzado OneVision, una plataforma en la nube para entrenar modelos [27], y KEYENCE lanzó en julio de 2026 la serie VS-G de visión con IA [37]. La IA amplía el mercado, pero también abarata la entrada y favorece a fabricantes chinos con escala, como Hikrobot [27, 42]. KEYENCE responde ampliando su campo: en una década sus ventas en automatización de fábricas se multiplicaron por 2,6 y las de fuera de ese campo (I+D, calidad, logística, comercio) por 3,5. Además entra en áreas digitales (comercio electrónico, CAD 3D, análisis de datos, RPA) y no descarta comprar empresas [24]. Gana mientras siga lanzando productos que solo ella tiene; pierde si la visión se convierte en una mercancía de software.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los cinco primeros del mundo en visión artificial según MarketsandMarkets y Grand View, junto a Cognex, Basler, Omron y Teledyne o SICK [36, 37], y la más rentable del grupo. KEYENCE no desglosa sus ventas por línea, así que no publica cuota: con 1.169.289 M JPY es varias veces mayor que Cognex (155.800 M JPY) y que el segmento de automatización de Omron (409.500 M JPY), y su margen operativo duplica al de los mejores competidores [1, 28,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visión artificial y lectores de códigos; 994,4 M USD de ingresos y 162,6 M USD de resultado operativo en 2025 [28], convertidos a 156,67 JPY/USD del 31-dic-2025 [40]. También fabless, pero vende por canal mixto y sus ingresos cayeron un 16,8 % en 2023 [27,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 (Industrial Automation Business)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6645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IAB, ejercicio a marzo de 2026: 409.500 M JPY de ventas externas y 42.800 M JPY de beneficio operativo [31]. Catálogo más amplio que el de KEYENCE: autómatas, robots, seguridad y sensores.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6273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Neumática (cilindros, válvulas), con solape creciente por los sensores de cilindro y las válvulas inteligentes que KEYENCE lanzó en 2025-26 [1]. Ejercicio a marzo de 2026: 842.541 M JPY y 190.559 M JPY de beneficio operativo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6954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 robots y robomáquinas; comparte cliente y ciclo, no producto. Ejercicio a marzo de 2026: 857.831 M JPY y 183.763 M JPY de beneficio operativo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industrial y software de fabricación. Segmento 2025: 1.853,5 M EUR de ventas y 476,0 M EUR de EBIT1 ajustado [34], a 184,09 JPY/EUR del 31-dic-2025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Sensores y visión, competidor directo por catálogo. 1.850 M EUR de ventas y 54,7 M EUR de EBIT en 2025; cita la presión de precios china [35], a 184,09 JPY/EUR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precisión y pesaje, solape en medición e inspección. 4.026,4 M USD en 2025 [30]; margen estimado (estimación propia: beneficio antes de impuestos de 1.048,9 M USD más gasto financiero de 68,5 M USD, sobre ventas), a 156,67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Hikrobot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Hikvision, no cotiza. Más de 6.452 M CNY de ingresos en 2025 en visión y robots móviles, con más de 10 millones de productos de visión vendidos [42]; convertido a 22,38 JPY/CNY del 31-dic-2025 [40]. Compite en precio en China.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Lo más parecido es el circuito de información: los ingenieros de ventas recogen problemas en cientos de miles de plantas y eso alimenta el desarrollo [2]; es una ventaja de información más que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componente queda integrado y configurado en la línea, y cambiarlo exige revalidar el proceso. No hay datos de retención; la prueba indirecta es el margen operativo del 51 % mantenido entre los ejercicios a marzo de 2021 y 2026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70 % de los productos nuevos tiene una función o un concepto «primero del mundo» o «primero del sector» [2], y los productos de menos de dos años generan entre el 10 % y el 20 % de las ventas [3]. El margen bruto trimestral, entre el 82,6 % y el 85,0 % [21], es propio de producto diferenciado.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Fabless y con I+D del 2,8 % de las ventas [1]. La ventaja está más en el precio que en el coste: el beneficio operativo es del 51,0 % frente al 16,4 % de Cognex y al 10,4 % del segmento de automatización de Omron [1,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red de venta directa con envío en el día es cara de replicar. Estimación propia: 91,5 M JPY de ventas por empleado (1.169.289 M JPY entre 12.784) [1], frente a unos 33,5 M JPY en SICK (1.850 M EUR entre 10.158 empleados, a 184,09 JPY/EUR) [15, 20].</w:t>
            </w:r>
          </w:p>
        </w:tc>
      </w:tr>
    </w:tbl>
    <w:p>
      <w:pPr>
        <w:spacing w:after="160" w:before="0"/>
      </w:pPr>
    </w:p>
    <w:p>
      <w:pPr>
        <w:pStyle w:val="Heading2"/>
      </w:pPr>
      <w:r>
        <w:t xml:space="preserve">Amenazas</w:t>
      </w:r>
    </w:p>
    <w:p>
      <w:pPr>
        <w:spacing w:after="100"/>
      </w:pPr>
      <w:r>
        <w:t xml:space="preserve">La primera amenaza es China, donde KEYENCE hace el 16,0 % de las ventas [1]. Allí Hikrobot ya factura más de 6.452 M CNY y compite en precio [42]; SICK culpa a esa presión de su margen del 3,0 % [35]. Probabilidad media: afecta primero a los productos de catálogo, no a los únicos. La segunda es la IA, que abarata desarrollar visión y puede convertirla en software barato [27]. Probabilidad media a largo plazo. La tercera es la propia red de ventas: crecer fuera exige contratar y formar ingenieros, y la productividad por persona fuera de Japón es la mitad que dentro [24]; si se diluye la cultura comercial, se erosiona el foso. Hoy el yen débil infla las cifras: fuera de Japón, +39,0 % en yenes frente a +24,0 % en moneda local en abril-junio de 2026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12,3 %</w:t>
      </w:r>
      <w:r>
        <w:t xml:space="preserve">, EBITDA </w:t>
      </w:r>
      <w:r>
        <w:rPr>
          <w:b/>
          <w:bCs/>
        </w:rPr>
        <w:t xml:space="preserve">11,9 %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412.699 M JPY en el FY2016 a 1.169.289 M JPY en el FY2025, un 12,3 % anual compuesto, todo orgánico: no ha habido cambios de perímetro relevantes [1, 6, 7]. El único retroceso fue el de FY2019-FY2020 (-6,0 % y -2,5 %), con la guerra comercial y la pandemia [4]; el FY2021 rebotó un 40,3 % [3]. El margen operativo tocó máximos del 55,6 % (FY2017) y 55,4 % (FY2021) y ha bajado al 51,0 % en el FY2025 (-440 p.b. desde el FY2021) porque los gastos de venta y administración subieron del 24,5 % al 29,3 % de las ventas, por la contratación comercial fuera de Japón, mientras el margen bruto se mantuvo en torno al 83 % [1, 3]. El yen débil ha sumado: en el FY2024 aportó unos 33.100 M JPY de ventas y 22.400 M JPY de resultado operativo [17]; en el FY2025, solo 3.100 y 1.800 M JPY [16]. El 1T26 marca un cambio de ritmo: ventas +32,8 %, de las que unos 26.100 M JPY son efecto divisa, y margen operativo del 54,0 % [15]. No da previsiones de resultados, solo del dividendo [7].</w:t>
      </w:r>
    </w:p>
    <w:p>
      <w:pPr>
        <w:pStyle w:val="Heading2"/>
      </w:pPr>
      <w:r>
        <w:t xml:space="preserve">Ajustes y partidas no recurrentes</w:t>
      </w:r>
    </w:p>
    <w:p>
      <w:pPr>
        <w:spacing w:after="100"/>
      </w:pPr>
      <w:r>
        <w:t xml:space="preserve">Se usan cifras reportadas en JGAAP, sin ajustes. Las cuentas no incluyen arrendamientos operativos en balance (no aplica NIIF 16; la norma japonesa equivalente, ASBJ n.º 34, se aplicará desde el ejercicio que empieza el 21-mar-2028) [1]: el EBITDA está «antes de alquileres», y los alquileres van dentro del gasto operativo. `gastos_generales` incluye gastos de venta y administración más I+D (32.839 M JPY en el FY2025), para que ventas menos costes cuadre con el resultado operativo [1]. `resultado_financiero` es «otros ingresos (gastos) netos»: intereses y dividendos cobrados (16.368 M JPY en el FY2025), diferencias de cambio (16.270 M JPY de beneficio en el FY2025 frente a 4.221 M JPY de pérdida en el FY2024) y la participación en asociadas (6.460 M JPY), que no está dentro del EBIT [1, 2]. No hay deuda ni gastos por intereses. BPA y DPA de FY2016-FY2018 divididos por dos por el desdoblamiento 2x1 de noviembre de 2019 [4]. El FCF de los últimos doce meses no se calcula porque el 1T no publica estado de flujos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Keyence no publica transcripciones ni resúmenes de preguntas y respuestas de sus reuniones con analistas; solo las diapositivas [15, 16] y el *kessan tanshin* [7, 9]. Lo que sigue sale de esos documentos. Las cifras de cada trimestre son la diferencia entre los acumulados de los tanshin [7, 8, 9, 10, 11, 12, 13, 14]; el EBITDA suma la amortización trimestral de las presentaciones, redondeada a 100 M JPY [15, 16, 17, 18, 19], y el BPA del 2T24 usa un 1T24 estimado (beneficio entre acciones medias). En la presentación del FY2025 (24-abr-2026) la dirección añadió por primera vez una «estrategia de despliegue de capital»: prioridad a nuevos productos, expansión exterior, venta directa y capacidad logística; M&amp;A «sin límite de calendario ni de tamaño»; dividendo estable y recompras «flexibles» [16]. También anunció un centro logístico en Takatsuki (Osaka) con unas cuatro veces la superficie actual, que termina de construirse en nov-2026 y opera desde nov-2027 [16]. El dividendo pasó de 350 a 550 JPY (*payout* del 30,0 %) y prevé 550 para el FY2026 [7]. En el 1T26 (28-jul-2026) el discurso no cambió, pero los números sí: ventas +32,8 %, extranjero +24,0 % en moneda local, Asia +33,9 %, Japón +19,9 %, margen bruto del 85,0 % y operativo del 54,0 % [15]. La sensibilidad al dólar subió de unos 900 a unos 1.100 M JPY de resultado operativo por yen [15, 16]. Frente al consenso, el BPA del 1T26 superó lo esperado en un 24 % según Simply Wall St [21], mientras que el del 1T25 se quedó un 2,9 % por debajo [22]. Lo que no se aborda: cuánto del salto del 1T26 es adelanto de pedidos (las existencias subieron a 101.073 M JPY, +18,5 % en el trimestre [9]) y por qué no hay recompras con 3 billones de JPY de liquidez.</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3.670.655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tesorería con una empresa industrial dentro. La liquidez pasó de 1.046.838 M JPY en el FY2016 a 2.978.396 M JPY en el FY2025 [1, 6]: retiene el 80 % del flujo libre, porque los dividendos solo se han llevado el 19 % del acumulado de diez años. Desde el FY2021 la caja se ha ido alargando hacia bonos y certificados a más de un año (de 788.123 M JPY en el FY2020 a 1.464.288 M JPY) [1, 4]. El circulante operativo (clientes + existencias - proveedores) es de 451.838 M JPY, el 38,6 % de las ventas: los clientes rondan los 110-120 días de venta en toda la serie, porque cobra a plazos largos sobre todo en Japón, y las existencias saltaron en el FY2021-FY2022 por la escasez de componentes (87.389 M JPY) [3]. El inmovilizado neto se multiplicó por 2,5 en el FY2022 por la compra de terrenos (de 7.060 a 35.662 M JPY) [3], compatible con el nuevo centro logístico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2.621.700</w:t>
      </w:r>
      <w:r>
        <w:t xml:space="preserve">, conversión </w:t>
      </w:r>
      <w:r>
        <w:rPr>
          <w:b/>
          <w:bCs/>
        </w:rPr>
        <w:t xml:space="preserve">92 %</w:t>
      </w:r>
      <w:r>
        <w:t xml:space="preserve"> del beneficio neto; adquisiciones 0, dividendos 488.080, recompras 693.</w:t>
      </w:r>
    </w:p>
    <w:p>
      <w:pPr>
        <w:spacing w:after="100"/>
      </w:pPr>
      <w:r>
        <w:t xml:space="preserve">La conversión es alta y estable: el flujo operativo fue de 430.680 M JPY en el FY2025, el 97 % del beneficio neto, y el FCF (operativo menos inversión en inmovilizado) de 402.309 M JPY, el 90 % [1]. En diez años el flujo operativo sumó 2,75 billones de JPY y el capex solo 131.788 M JPY, el 1,8 % de las ventas acumuladas [1, 2, 3, 4, 5, 6]. Los años de capex alto tienen causa: el FY2022 (39.345 M JPY) por la compra de terrenos [3] y el FY2025 (28.371 M JPY) por la obra del centro logístico de Takatsuki [16]. Además, en el FY2025 hubo 32.124 M JPY de «otros» en inversión sin desglose, que coinciden con la subida de «otros activos» a largo de 17.026 a 41.391 M JPY [1]: si fueran anticipos de obra, el capex real del año sería mayor. La empresa no separa mantenimiento y crecimiento; estimación propia: el mantenimiento se acerca a la amortización (17.227 M JPY, 1,5 % de las ventas) y el resto es crecimiento. Los intereses y dividendos cobrados (12.406 M JPY) y los impuestos (181.644 M JPY) van en explotación [7]. «Otros» de financiación (4.573 M JPY) no se desglosa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 (有限責任監査法人トーマツ)</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Tohmatsu desde 1987, 39 años seguidos; rotan los socios firmantes, pero la permanencia es larga incluso para Japón, y su red cobra más por otros servicios que por la auditoría (134 frente a 50 M JPY) [20]. La opinión de FY2025 es favorable; la única cuestión clave es el corte de ingresos en la matriz y en Keyence (China) [1]. No hay cambios de criterio, la I+D va a gastos y no hay remuneración en acciones ni valores dilutivos [7, 20]. El tipo efectivo es estable (30,0 % en FY2025 frente a un legal del 30,5 %) [1]. El beneficio antes de impuestos depende algo de partidas financieras: las diferencias de cambio pasaron de −4.221 a +16.270 M JPY en un año, y explican parte del salto del resultado financiero a 39.996 M JPY [1]. Los tres indicadores no avisan de nada: un Altman Z de 62,25 (zona segura, sin significado con un 95 % de patrimonio sobre activo), un Piotroski F de 6 (fallan la conversión en caja de FY2025, el margen bruto y la rotación) y un Beneish M de −2,32, por debajo del umbral de manipulación. Dos detalles a vigilar: 32.124 M JPY de «otros» en inversión sin explicar en FY2025 y la subida del 18,5 % de las existencias en el 1T26 [1,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años con la misma firma (Tohmatsu) [20]; rotan los socios, no la firma.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latentes en la cartera de bonos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22.377 M JPY brutos a 20-mar-2026, contra patrimonio; el 0,8 % de la liquidez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 el beneficio antes de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+16.270 M JPY en el FY2025 (2,6 % del BAI) frente a -4.221 M JPY en el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inversión sin desglose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32.124 M JPY de «otros» en inversión en el FY2025, sin explicar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existencias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85.273 a 101.073 M JPY en un trimestre (+18,5 %) con ventas récord; vigilar si es preparación de demanda o acumulación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JGAAP sin NIIF 16 hasta marzo de 2028; con poca planta propia, el efecto en el EBITDA es menor que en un minorista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87,6 % · </w:t>
      </w:r>
      <w:r>
        <w:rPr>
          <w:b/>
          <w:bCs/>
        </w:rPr>
        <w:t xml:space="preserve">WACC</w:t>
      </w:r>
      <w:r>
        <w:t xml:space="preserve">: 8,5 %.</w:t>
      </w:r>
    </w:p>
    <w:p>
      <w:pPr>
        <w:spacing w:after="100"/>
      </w:pPr>
      <w:r>
        <w:t xml:space="preserve">Keyence crea valor con holgura: el ROIC fue del 94,6 % en FY2025 frente a un WACC del 8,50 %, y no ha bajado del 94 % en diez años (máximo del 140,2 % en FY2017). El ROIC se mide sin la caja: el capital investido son 440.917 M JPY, sobre todo circulante comercial (38,6 % de las ventas por los cobros a clientes), porque la fabricación está subcontratada y el capex es del 1-2 % de las ventas [1]. La caída desde FY2017 tiene dos causas: el margen operativo pierde 4,6 puntos (de 55,6 % a 51,0 %) por la contratación comercial fuera de Japón y el circulante pasa del 34,9 % al 38,6 % de las ventas [1]. El ROIC incremental de FY2016-FY2025 es del 87,6 %: el crecimiento reciente es casi tan rentable como el negocio entero. El ROE, en cambio, es solo del 13,5 %, porque el 81 % del activo es liquidez que renta alrededor de un 0,6 % [1]. Los comparables quedan lejos con su propia definición: Mettler-Toledo 42,3 %, Rockwell 21,4 %, Fanuc 12,8 % y Omron 5,4 % [75, 77, 79, 80].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-2.995.278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Liquidez a 20-mar-2026 de 2.978.396 M JPY (81 % del activo): efectivo 451.269, depósitos a plazo 145.706, valores negociables a corto 896.913 (bonos del Estado 62.454, bonos corporativos 278.458 y certificados de depósito 556.000), valores de inversión a largo 1.464.288 (bonos del Estado 537.638, corporativos 585.196, certificados de depósito 335.000 y acciones 6.453) y depósitos a largo 20.220 [1]. Aparte, participaciones en asociadas por 50.015 M JPY [1]. A 20-jun-2026: efectivo y depósitos 564.751, valores a corto 861.843 y valores de inversión 1.598.277 (incluye asociadas)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ni planes de pensiones de prestación definida (solo aportación definida y pagos anticipados de jubilación, con un gasto de 3.296 M JPY en el FY2025) [1], ni pagos aplazados de compras. El pasivo total es de 199.182 M JPY y casi todo es de explotación: impuestos a pagar (102.331), bonus devengados (22.271), proveedores (10.890) y otros (52.338) [1]. Hay arrendamientos operativos fuera de balance por no aplicar NIIF 16; la empresa aún está midiendo el efecto de la norma ASBJ n.º 34, que aplicará desde marzo de 2028 [1]. La cartera de bonos tiene pérdidas latentes brutas de 22.377 M JPY (11.020 en deuda pública y 11.357 en corporativa) frente a 5.123 M JPY de plusvalías, por la subida de tipos en Japón; van contra patrimonio [1]. No hay litigios ni garantías relevantes declarados.</w:t>
      </w:r>
    </w:p>
    <w:p>
      <w:pPr>
        <w:pStyle w:val="Heading1"/>
      </w:pPr>
      <w:r>
        <w:t xml:space="preserve">12. Asignación de capital</w:t>
      </w:r>
    </w:p>
    <w:p>
      <w:pPr>
        <w:pStyle w:val="Confianza"/>
        <w:spacing w:after="100"/>
      </w:pPr>
      <w:r>
        <w:t xml:space="preserve">Confianza: Alta</w:t>
      </w:r>
    </w:p>
    <w:p>
      <w:pPr>
        <w:spacing w:after="100"/>
      </w:pPr>
      <w:r>
        <w:t xml:space="preserve">Desde abril de 2026, la política de capital es explícita: primero, inversión en producto, red comercial, logística y fabricación «sin un presupuesto prefijado»; después, M&amp;A «sin limitaciones de momento ni de tamaño»; después, capital humano; y por último, un dividendo «estable y continuo» con recompras «flexibles» [16, 90]. El dividendo pasó de 350 a 550 JPY (payout del 30 %) y la empresa prevé otros 550 JPY para FY2026e [7]. La junta de 2026 aprobó que el consejo pueda recomprar acciones sin pasar por la junta [49, 51]. En diez años no ha hecho recompras ni compras relevantes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Keyence ha crecido sin compras: no hay cambios de perímetro relevantes ni fondo de comercio en el balance [1, 7], y su única participación significativa son asociadas por 50.015 M JPY, sin detalle en el informe anual [1]. Como asignadora de capital tiene dos caras. En el negocio, invierte poco y con mucho retorno: 131.788 M JPY de capex en diez años para generar 2,75 billones de JPY de flujo operativo [1, 2, 3, 4, 5, 6]. Con el excedente, en cambio, acumula: la liquidez llega a 2,98 billones de JPY, el 86 % del patrimonio, y renta poco (intereses y dividendos de 16.368 M JPY en el FY2025, en torno al 0,6 %) [1]. La subida del dividendo a 550 JPY y el anuncio de recompras y M&amp;A «sin límites» en abril de 2026 [7, 16] son el primer cambio de discurso; sin recompras ejecutadas, aún no es un cambio de hechos. El número de acciones está plano (242,5 millones en circulación) desde hace diez años: no hay dilución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(Representative Director); preside el consejo y el comité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2004; director de la división de sistemas de control (2020), consejero desde junio de 2023 y director de la división internacional desde diciembre de 2023 [44]. Presidente desde el 22-dic-2025, con 44 años, por acuerdo del consejo de 29-oct-2025 [54]. No declara acciones de la compañía [20, 44]. Lleva menos de un año en el cargo: aún no hay resultados medibles atribuibles a él.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(経営情報室長) y de Apoyo al Negocio; responsable de la información financiera (Keyence no tiene un CFO con ese título)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planificación corporativa y de apoyo al negocio desde marzo de 2021 y consejero desde junio de 2021 [44]. Firma como persona de contacto los hechos relevantes financieros [48] y es miembro del comité de nombramientos y retribuciones [20]. No declara acciones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(特別顧問); presidente y primer ejecutivo de diciembre de 2019 a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la división de sensores (2018), consejero en 2019 y presidente desde diciembre de 2019 hasta el 22-dic-2025 [44, 54]. En su mandato las ventas pasaron de 755.174 M JPY (FY2021) a 1.169.289 M JPY (FY2025) [3, 48], con un margen operativo del 51,0 % en FY2025 [48]. Posee 500 acciones [44]. Único consejero con más de 100 M JPY de retribución en FY2025: 182 M JPY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 honor (名誉会長), no consejero desde el 12-jun-2026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predecesora de Keyence (Lead Electric) [20]. Fue consejero y presidente de honor hasta la junta del 12-jun-2026, cuando dejó el consejo por expiración del mandato y quedó como presidente de honor sin puesto de consejero [47]. Controla el 18,22 % del capital sin autocartera: 3,15 % directo y 15,07 % a través de T.T Corporation (株式会社ティ・ティ), su coposeedor declarado [20, 55]. Ha donado 11,1 M de acciones (4,57 %) a la Fundación Keyence [20, 55, 57].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 (山口昭司)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1994; dirige la promoción del desarrollo de producto desde 2016 y es consejero desde junio de 2017 [44, 46]. No declara acciones [20]. La convocatoria en inglés transcribe su nombre como «Akiji» y la web como «Shoji» [44,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Kazuhiko Terada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de la división de TIC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Keyence desde 1999; director de TIC desde 2016 y consejero desde junio de 2025 [44]. No declara acciones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no publica previsiones de ventas ni de beneficio; solo del dividendo: 350 JPY por acción (abr-2025)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 JPY: subida anunciada con el 2T (oct-2025) y pagada [7,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Keyence </w:t>
      </w:r>
      <w:r>
        <w:rPr>
          <w:b/>
        </w:rPr>
        <w:t xml:space="preserve">no publica previsiones de ventas ni de beneficio</w:t>
      </w:r>
      <w:r>
        <w:t xml:space="preserve">: lo dice la propia empresa al explicar la diferencia con el ejercicio anterior [48], y el Kessan Tanshin solo adelanta el dividendo (550 JPY por acción para el ejercicio que cierra en marzo de 2027) [7]. No hay, por tanto, historial de guía que contrastar; la credibilidad se juzga por lo entregado: ventas de 1.169.289 M JPY y margen operativo del 51,0 % en FY2025 [48].</w:t>
      </w:r>
    </w:p>
    <w:p>
      <w:pPr>
        <w:spacing w:after="100"/>
      </w:pPr>
      <w:r>
        <w:t xml:space="preserve">El equipo está en plena transición. En siete meses cambió el primer ejecutivo (Yu Nakata por Tetsuya Nakano, de 44 años, en diciembre de 2025) [54] y el fundador dejó el consejo (junio de 2026) [47]. La sucesión es interna, de directivos de la casa, pero ningún consejero interno tiene acciones salvo Nakata, con 500 [20]. El fundador y su sociedad patrimonial conservan el 18,2 %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y de Apoyo al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Kazuhiko Terada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TIC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(primer ejecutivo de 2019 a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desde la junta de 2026 (fue miembro del comité de nombramientos y retribuciones en FY2025)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Seiichi Taniguchi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 socio de Minori Audit)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Kumiko Suenaga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(abogada, Oh-Ebashi LPC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Michifumi Yoshioka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(catedrático de informática, Universidad Metropolitana de Osaka)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Ryoko Satomi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(auditora de cuentas y asesora fiscal); 100 acciones según la corrección de la convocatoria [45]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 Corporation (株式会社ティ・ティ), sociedad patrimonial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(vehículo)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36,57 M de acciones en 2022 y en 2026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7,65 M de acciones; donó 3,65 M en 2020 y 7,45 M en 2022 a la Fundación Keyence [20, 55,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Keyence (公益財団法人キーエンス財団)</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interés público (acciones donadas por 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M de acciones, sin cambios desde 2022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BlackRock (último informe de participación significativa)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febrero de 2023; Keyence no puede confirmar la posición actual y lo deja fuera de su lista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Bank of New York Mellon 140042</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BNYM as Agent/Clients Non Treaty JASDEC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505103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682.548 acciones a 20-mar-2026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internos cobran un </w:t>
      </w:r>
      <w:r>
        <w:rPr>
          <w:b/>
        </w:rPr>
        <w:t xml:space="preserve">sueldo mensual fijo</w:t>
      </w:r>
      <w:r>
        <w:t xml:space="preserve">. Se calcula multiplicando la retribución del año anterior de un jefe de organización de la plantilla por un coeficiente con techo de 3,0. Esa retribución de referencia depende del beneficio operativo: entre el 60 % y el 75 % va ligado a resultados [20]. No hay bonus propio, ni acciones, ni opciones, ni indemnización por cese. En FY2025 los 7 consejeros internos cobraron 295 M JPY, todo fijo, y los 7 externos (consejeros y miembros del Audit &amp; Supervisory Board), 39 M [20]. El primer ejecutivo saliente, Yu Nakata, cobró 182 M JPY, unas 8,4 veces el salario medio de la matriz (21,78 M JPY) [20]. El presidente reparte la retribución individual por delegación del consejo, dentro del tope de 500 M JPY aprobado en 2022 [20]. Dos salvedades. Las cifras excluyen el sueldo como empleado de los consejeros que también son empleados [20]. Y en Japón </w:t>
      </w:r>
      <w:r>
        <w:rPr>
          <w:b/>
        </w:rPr>
        <w:t xml:space="preserve">no se vota la retribución</w:t>
      </w:r>
      <w:r>
        <w:t xml:space="preserve"> cada año: en 2024-2026 no hubo ninguna propuesta de retribución [51, 52, 53]. Lo más parecido es el voto a la reelección del primer ejecutivo: un 82,73 % a favor de Nakata en 2024, un 77,06 % en 2025 (22,5 % en contra) y un 86,73 % a favor de Nakano en 2026, el más bajo de los nueve consejeros [51, 52, 53].</w:t>
      </w:r>
    </w:p>
    <w:p>
      <w:pPr>
        <w:pStyle w:val="Heading2"/>
      </w:pPr>
      <w:r>
        <w:t xml:space="preserve">Operaciones vinculadas, estructura de control y defensas</w:t>
      </w:r>
    </w:p>
    <w:p>
      <w:pPr>
        <w:spacing w:after="100"/>
      </w:pPr>
      <w:r>
        <w:t xml:space="preserve">El fundador Takemitsu Takizaki y su sociedad patrimonial T.T Corporation, coposeedores declarados, suman el </w:t>
      </w:r>
      <w:r>
        <w:rPr>
          <w:b/>
        </w:rPr>
        <w:t xml:space="preserve">18,2 % del capital</w:t>
      </w:r>
      <w:r>
        <w:t xml:space="preserve">. La Fundación Keyence, a la que él donó acciones, añade un 4,6 % [20, 55]. Eso no da el control de la junta: en 2026 se emitieron unos 2,22 M de votos, y el bloque del fundador (unos 0,44 M) pesa un 20 % [20, 51]. Tampoco hay pruebas de que el fundador nombre al primer ejecutivo: lo propone un comité de nombramientos con mayoría independiente, aunque lo preside el propio presidente [20, 44]. Takizaki dejó el consejo en junio de 2026 [47]. Hay una sola clase de acciones, no hay medidas antiopa y no hay operaciones con partes vinculadas [20]. La junta de 2026 aprobó (94,96 %) que el consejo pueda recomprar acciones sin pasar por la junta [49, 51]. </w:t>
      </w:r>
      <w:r>
        <w:rPr>
          <w:b/>
        </w:rPr>
        <w:t xml:space="preserve">Estimación propia:</w:t>
      </w:r>
      <w:r>
        <w:t xml:space="preserve"> suponiendo que el bloque del fundador votó a favor, el voto en contra del capital libre presente fue del 28,2 % en la reelección de Nakata en 2025 y del 16,1 % en la de Nakano en 2026. El Corporate Governance Report de abril de 2026 da la misma lista de accionistas [56]. El consejo dice que estudiará «con prudencia» rebajar la unidad mínima de inversión, sin calendario [50].</w:t>
      </w:r>
    </w:p>
    <w:p>
      <w:pPr>
        <w:pStyle w:val="Heading2"/>
      </w:pPr>
      <w:r>
        <w:t xml:space="preserve">Señales de alerta</w:t>
      </w:r>
    </w:p>
    <w:p>
      <w:pPr>
        <w:pStyle w:val="ListParagraph"/>
        <w:numPr>
          <w:ilvl w:val="0"/>
          <w:numId w:val="2"/>
        </w:numPr>
        <w:spacing w:after="60"/>
      </w:pPr>
      <w:r>
        <w:t xml:space="preserve">Doble relevo en siete meses: Nakano sustituyó a Nakata como primer ejecutivo el 22-dic-2025, con menos de dos meses de preaviso [54], y el fundador dejó el consejo el 12-jun-2026 [47].</w:t>
      </w:r>
    </w:p>
    <w:p>
      <w:pPr>
        <w:pStyle w:val="ListParagraph"/>
        <w:numPr>
          <w:ilvl w:val="0"/>
          <w:numId w:val="2"/>
        </w:numPr>
        <w:spacing w:after="60"/>
      </w:pPr>
      <w:r>
        <w:t xml:space="preserve">Voto bajo y persistente al primer ejecutivo: 82,73 % a favor de Nakata en 2024 y 77,06 % en 2025; 86,73 % para Nakano en 2026, el menor del consejo [51, 52, 53]. El reparto del beneficio también encontró oposición: el dividendo tuvo un 82,61 % a favor en 2024 y un 81,61 % en 2025 [52, 53], y subió al 91,87 % en 2026, después de que el dividendo por acción pasara de 350 a 550 JPY (30 % del beneficio) [7, 51].</w:t>
      </w:r>
    </w:p>
    <w:p>
      <w:pPr>
        <w:pStyle w:val="ListParagraph"/>
        <w:numPr>
          <w:ilvl w:val="0"/>
          <w:numId w:val="2"/>
        </w:numPr>
        <w:spacing w:after="60"/>
      </w:pPr>
      <w:r>
        <w:t xml:space="preserve">El auditor no ha rotado desde 1987 (Deloitte Tohmatsu). En FY2025 su red cobró 134 M JPY por servicios ajenos a la auditoría, sobre todo fiscales, frente a 50 M por la auditoría [20].</w:t>
      </w:r>
    </w:p>
    <w:p>
      <w:pPr>
        <w:pStyle w:val="ListParagraph"/>
        <w:numPr>
          <w:ilvl w:val="0"/>
          <w:numId w:val="2"/>
        </w:numPr>
        <w:spacing w:after="60"/>
      </w:pPr>
      <w:r>
        <w:t xml:space="preserve">La retribución publicada no incluye el sueldo como empleado de los consejeros que también lo son: el coste real de los consejeros internos supera los 295 M declarados [20].</w:t>
      </w:r>
    </w:p>
    <w:p>
      <w:pPr>
        <w:pStyle w:val="ListParagraph"/>
        <w:numPr>
          <w:ilvl w:val="0"/>
          <w:numId w:val="2"/>
        </w:numPr>
        <w:spacing w:after="60"/>
      </w:pPr>
      <w:r>
        <w:t xml:space="preserve">Presidente del consejo y primer ejecutivo son la misma persona, que además preside el comité de nombramientos y retribuciones y reparte la retribución individual por delegación del consejo [20].</w:t>
      </w:r>
    </w:p>
    <w:p>
      <w:pPr>
        <w:pStyle w:val="ListParagraph"/>
        <w:numPr>
          <w:ilvl w:val="0"/>
          <w:numId w:val="2"/>
        </w:numPr>
        <w:spacing w:after="60"/>
      </w:pPr>
      <w:r>
        <w:t xml:space="preserve">Salvo Nakata (500 acciones), ningún consejero interno tiene acciones de la compañía: el capital no alinea a la dirección con el accionista [20, 44].</w:t>
      </w:r>
    </w:p>
    <w:p>
      <w:pPr>
        <w:pStyle w:val="ListParagraph"/>
        <w:numPr>
          <w:ilvl w:val="0"/>
          <w:numId w:val="2"/>
        </w:numPr>
        <w:spacing w:after="60"/>
      </w:pPr>
      <w:r>
        <w:t xml:space="preserve">Keyence paga a la universidad de un consejero independiente (Yoshioka) menos de 10 M JPY al año por investigación; la empresa lo considera irrelevante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Keyence no publica previsiones de ventas ni de beneficio: el Kessan Tanshin solo da la previsión de dividendo. Para el ejercicio que cierra el 20-mar-2027 mantiene 275 JPY a mitad de año y 275 JPY al cierre, 550 JPY en total, igual que el anterior, sin cambios desde la última comunicación (28-jul-2026) [9]. El primer trimestre (21-mar a 20-jun-2026) trajo ventas de 346.621 M JPY (+32,8 %) y beneficio operativo de 187.076 M JPY (+44,7 %, margen del 54,0 %) [9]. Sin plan a medio plazo numérico: el mercado se guía solo por el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868.007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97.866,67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77.000,00 – 120.000,00</w:t>
            </w:r>
          </w:p>
        </w:tc>
      </w:tr>
    </w:tbl>
    <w:p>
      <w:pPr>
        <w:spacing w:after="160" w:before="0"/>
      </w:pPr>
    </w:p>
    <w:p>
      <w:pPr>
        <w:pStyle w:val="Heading2"/>
      </w:pPr>
      <w:r>
        <w:t xml:space="preserve">Revisiones de estimaciones</w:t>
      </w:r>
    </w:p>
    <w:p>
      <w:pPr>
        <w:spacing w:after="100"/>
      </w:pPr>
      <w:r>
        <w:t xml:space="preserve">Mapeo de periodos: MarketScreener etiqueta por año de cierre («2027» = ejercicio abr-2026 a mar-2027); aquí se usa la etiqueta de Keyence por año de inicio, así que su «2027» es FY2026e, «2028» FY2027e y «2029» FY2028e [59]. El consenso pide +24,0 % de ventas y +30,0 % de EBIT en FY2026e, tras un FY2025 real de 1.169.289 M JPY de ventas y 595.759 M JPY de EBIT [59]; el 1T ya creció un 32,8 % [9]. La serie de revisiones a 3 y 12 meses solo está en gráficos en MarketScreener y no se puede leer como cifra (hueco). Señales cualitativas: Daiwa subió a «Outperform» con precio objetivo de 95.000 JPY el 4-ago-2026, tras el 1T; Jefferies había bajado su objetivo a 69.900 JPY el 17-feb-2026 [60]. El precio objetivo medio (97.867 JPY) está un 20,1 % por encima del cierre [60]. Contraste: Minkabu da el mismo objetivo medio (97.866 JPY) con 10 «compra fuerte», 3 «compra», 2 «neutral» y ninguna venta [62]; ambas parecen beber del mismo panel de 15 analistas, así que el cruce confirma la lectura, no la independiza. Rareza: el consenso de dividendo (641,4 JPY) supera los 550 JPY que la empresa prevé [9,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rentabilidad total, Keyence sube un 45,0 % en 2026 frente al 25,4 % del TOPIX y al 44,0 % del índice sectorial de aparatos eléctricos y de precisión [58]. El salto es de este año: a 3 y 5 años anualiza un 14,8 % y un 6,2 %, menos de la mitad que el TOPIX (25,6 % y 19,5 %) [58]. Entre 2022 y 2025 perdió terreno tres de cuatro años: −28,5 % en 2022 con la subida de tipos y el ciclo de la automatización, y −11,6 % en 2025 cuando el TOPIX ganó un 25,6 % [58]. El giro coincide con la vuelta del crecimiento: el 1T del ejercicio en curso (publicado el 28-jul-2026) llevó las ventas un 32,8 % arriba y el beneficio operativo un 44,7 % [9], y Daiwa subió la recomendación el 4-ago [60]. Cotiza a 81.490 JPY, un 7 % por debajo del máximo de 52 semanas (87.920) y un 58 % sobre el mínimo (51.510) [58]. Beta de 1,07 frente al Nikkei y volatilidad del 40,3 % a un año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81.490 JPY, Keyence cotiza a 40,2x el beneficio de los últimos doce meses, justo en su media de diez años (40,3x, percentil 50; mínimo 29,9x y máximo 61,8x), y a 24,8x el EBITDA, algo por encima de su media (23,5x, percentil 60). El mercado le paga lo de siempre. Lo que ha cambiado es el tipo de interés: el JGB a 10 años rinde un 3,103 % [65], cuando en la mayor parte de esos diez años rondaba el 0 %. Pagar el mismo múltiplo con tres puntos más de tasa libre equivale a aceptar una prima de riesgo mucho menor, y esa es la tesis del informe. La subida del 48,5 % desde el cierre del ejercicio (54.860 JPY en mar-2026) es sobre todo vuelta del múltiplo a su media tras el mínimo de 2025, no solo beneficio [58].</w:t>
      </w:r>
    </w:p>
    <w:p>
      <w:pPr>
        <w:pStyle w:val="Heading1"/>
      </w:pPr>
      <w:r>
        <w:t xml:space="preserve">18. Comparables cotizados</w:t>
      </w:r>
    </w:p>
    <w:p>
      <w:pPr>
        <w:pStyle w:val="Confianza"/>
        <w:spacing w:after="100"/>
      </w:pPr>
      <w:r>
        <w:t xml:space="preserve">Confianza: Media</w:t>
      </w:r>
    </w:p>
    <w:p>
      <w:pPr>
        <w:spacing w:after="100"/>
      </w:pPr>
      <w:r>
        <w:t xml:space="preserve">Siete cotizadas de automatización industrial, sensores, visión artificial y metrología: Cognex (visión y lectores de códigos, el rival más directo), Omron (sensores y control), SMC (neumática con margen alto y caja neta, el par japonés más parecido en balance), Fanuc (CNC y robots), Hexagon (metrología), Mettler-Toledo (instrumentos de precisión de alto margen) y Rockwell (control y automatización). Sick no cotiza y se excluye; Basler es demasiado pequeña y Teradyne es sobre todo prueba de semiconductores. Ninguna iguala el margen de Keyence ni su venta directa sin fábrica.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19.763.362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7.913.001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17,6x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19,9x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29,4x / 31,5x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48.745,04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26,4 + -0,84 × crecimiento; R² = 0,26. El crecimiento explica poco los múltiplos de estos comparables (R² &lt; 0,3): la regresión no se usa en la valoración.</w:t>
      </w:r>
    </w:p>
    <w:p>
      <w:pPr>
        <w:spacing w:after="100"/>
      </w:pPr>
      <w:r>
        <w:t xml:space="preserve">Keyence cotiza a 19,8x el EBITDA de los próximos doce meses y 32,9x el beneficio, frente a una mediana de 17,6x y 29,4x de siete comparables, una prima de ≈ 12 % [67, 68, 69, 70, 71, 72, 73]. Es poca prima para un margen EBITDA del 52 % frente al 12-37 % del grupo y un ROIC del 94,6 % sin caja: frente a sus pares, Keyence no está cara. Los múltiplos del grupo, en cambio, sí lo están en términos absolutos: Cognex 27,2x, Mettler-Toledo 23,4x y Rockwell 21,8x, con crecimientos del 5-12 %. La mediana da 73.423,32 JPY por acción (−9,9 %). Dos advertencias: la muestra es frágil (la mediana va de 16,5x a 19,7x según qué empresa se quite) y el crecimiento no explica los múltiplos (R² de 0,26), así que la regresión no se usa. Sick no cotiza y se excluye. Uso la mediana del EV/EBITDA y el PER de los próximos doce meses,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 Vision (visión artificial,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50 EUR/acción; valor empresa de 1.094 M EUR con deuda neta incluida; ventas FY2018/19 de 154 M EUR y EBIT de 34 M (32x EV/EBIT); prima del 43 % sobre el cierre del 7-feb-2020 y del 29 % sobre la media de tres meses [84]. No publica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FLIR Systems (cámaras térmicas y sensores)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Teledyne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1.264.708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valorada en ≈ 8.000 M USD (56 USD/acción en efectivo y acciones) [82]; estimación propia: ese importe ya equivale al valor empresa (deuda neta de 441 M USD a dic-2020). Ventas 2020: 1.923,7 M USD; EBITDA contable 412,0 M (beneficio operativo 317,2 + amortizaciones 94,7) [86]. Prima del 40 % sobre la media de 30 sesiones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prueba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USD/acción, 8.200 M USD por las acciones [81]; estimación propia del valor empresa: + deuda 541,6 M − caja e inversiones a corto 140,0 M a dic-2022 = 8.601,6 M USD [87]. Ventas 2022: 1.657,0 M USD; EBITDA contable 282,8 M (192,1 + 90,7) [87]. Prima del 49 % sobre el cierre previo al anuncio de la revisión estratégica (12-ene-2023)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1.580.886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USD/acción, valor empresa ≈ 10.000 M USD y prima del 19 % sobre el cierre no afectado del 21-oct-2024 [83]. EV/ventas sobre las ventas de 2023 (612,7 M USD) [89]; con las de 2024 (665,8 M) baja a 15,0x. El EBITDA contable (39 M USD en 2023) no es significativo por la remuneración en acciones: múltiplo omitido.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AspenTech (software de optimización de procesos), 43 %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265 USD/acción por el 43 % que no tenía; valora el 100 % en 16.800 M USD de valor empresa [85]. Ventas del ejercicio a jun-2024: 1.127,5 M USD; EBITDA contable 403,5 M (pérdida operativa de 89,5 + amortizaciones de 493,0, casi todas de intangibles de la operación de 2022) [88]. Compra de minoritarios por un accionista de control: la prima no es comparable con una OPA y no se usa.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 (24,9x – 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96.950,89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81.718,92 – 112.459,82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múltiplo publicado o recalculable dan una mediana de 7,1x EV/ventas y, en las tres con EBITDA significativo, 19,4x-41,6x EV/EBITDA contable [81, 82, 83, 84, 85, 86, 87, 88, 89]. Los múltiplos de software (Altair, AspenTech, 15-16x ventas) no son trasladables a hardware; los de hardware y medida (FLIR, NI, ISRA) van de 4,2x a 7,1x ventas. Keyence cotiza por encima de todos en EV/ventas (≈ 13x LTM, estimación propia) porque su margen EBITDA (52 %) duplica el de esas compañías: en EV/EBITDA su ≈ 24x LTM queda entre FLIR (19,4x) y NI (30,4x). Las primas pagadas van del 19 % al 49 %. Una opa sobre Keyence es poco realista: con ≈ 16,7 billones de JPY de valor empresa (≈ 105.000 M USD al cambio de hoy), supera con mucho a cualquier operación del sector. Valores empresa convertidos a JPY al tipo del BCE del 6-oct-2026, no al de la fecha de cada operación (solo para dar escala; los múltiplos no cambian) [66]. Faltan Zebra-Matrox (875 M USD, sin múltiplo publicado) y Rockwell-Clearpath (precio no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+22 % (1.426.533 M JPY), un 1,6 % por debajo del consenso (+24 %) [59]. El 1T creció un 32,8 %, pero 26.100 M JPY fueron divisa (USD/JPY de 159 frente a 146) [15]; con el yen a 158, el viento a favor se agota en el 2S. FY2027e +11 % y FY2028e +9 %, también algo por debajo del consenso (+12,2 % y +10,3 %). FY2029e −5 %: un giro del ciclo como el de FY2019 (−6,0 %) [4]. Luego 10 %, 9 %, 8 %, 6,5 %, 5 % y 3,5 %: la media de diez años es del 7,9 %, frente al 12,3 % de FY2016-FY2025, que incluyó un yen que pasó de ≈ 108 a ≈ 156 por dólar y aportó en torno a 2,5 puntos al año (estimación propia sobre el 67 % de ventas en el exterior) [1, 16].</w:t>
      </w:r>
    </w:p>
    <w:p>
      <w:pPr>
        <w:keepNext/>
        <w:spacing w:after="100"/>
      </w:pPr>
      <w:r>
        <w:rPr>
          <w:b/>
          <w:bCs/>
        </w:rPr>
        <w:t xml:space="preserve">Márgenes.</w:t>
      </w:r>
    </w:p>
    <w:p>
      <w:pPr>
        <w:spacing w:after="100"/>
      </w:pPr>
      <w:r>
        <w:t xml:space="preserve">Margen EBITDA del 54,5 % en FY2026e-FY2027e (consenso 54,8 % y 54,6 %; el 1T dio un 55,3 %) [9, 59], 54 % en FY2028e, 51 % en el año de corrección (FY2019 bajó 3,4 puntos, a 51,8 %) y 53 % a largo plazo. El 53 % está entre el 52,4 % de FY2025 y la media de diez años (54,0 %), y por debajo de los máximos (56,5 %) porque los gastos de venta y administración han subido del 24,5 % al 29,3 % de las ventas por la contratación de ingenieros de venta fuera de Japón, y esa inversión no se detiene [1]. El margen bruto del 83 % no se toca.</w:t>
      </w:r>
    </w:p>
    <w:p>
      <w:pPr>
        <w:keepNext/>
        <w:spacing w:after="100"/>
      </w:pPr>
      <w:r>
        <w:rPr>
          <w:b/>
          <w:bCs/>
        </w:rPr>
        <w:t xml:space="preserve">Inversión y circulante.</w:t>
      </w:r>
    </w:p>
    <w:p>
      <w:pPr>
        <w:spacing w:after="100"/>
      </w:pPr>
      <w:r>
        <w:t xml:space="preserve">Capex del 3,0 % de las ventas en FY2026e por el centro logístico de Takatsuki (cuatro veces el actual; fin de obra en nov-2026) [16], 2,5 % en FY2027e y 2,0 % a largo plazo, por encima del 1,8 % de media de diez años y de la amortización (1,8 %): en estado estacionario no se desinvierte [1]. Circulante comercial del 38,5 % de las ventas en FY2026e (38,6 % en FY2025) que converge al 37,5 %, la media de FY2020-FY2025 (36,1-39,6 %). Es la partida que más caja consume: cada 100 JPY de ventas nuevas inmovilizan ≈ 38 JPY de cobros y existencias. Tipo impositivo del 30 %, el de FY2025 [1].</w:t>
      </w:r>
    </w:p>
    <w:p>
      <w:pPr>
        <w:keepNext/>
        <w:spacing w:after="100"/>
      </w:pPr>
      <w:r>
        <w:rPr>
          <w:b/>
          <w:bCs/>
        </w:rPr>
        <w:t xml:space="preserve">Coste del capital.</w:t>
      </w:r>
    </w:p>
    <w:p>
      <w:pPr>
        <w:spacing w:after="100"/>
      </w:pPr>
      <w:r>
        <w:t xml:space="preserve">Todo en JPY. Tasa libre: JGB a 10 años al 3,103 % a 6-oct-2026 (Ministerio de Finanzas) [65], contrastado con Trading Economics, que da un 3,11 % el 7-oct [95]. Beta de 1,07 a cinco años mensual frente al Nikkei 225, ajustada de Blume a 1,05 (Stock Analysis da 1,02) [58, 64]. Prima de mercado del 5,14 %, la de Damodaran para Japón (prima madura más 0,91 puntos de riesgo país), en vez del 5,5 % genérico [93]: con dos tercios de las ventas fuera de Japón, el riesgo país pesa menos, pero la tasa libre ya es alta. Sin deuda, el WACC es el coste del capital: 8,50 %. Con la prima madura (≈ 4,2 %), sería del 7,5 % y el DCF daría 66.598,29 JPY: la conclusión no cambia.</w:t>
      </w:r>
    </w:p>
    <w:p>
      <w:pPr>
        <w:keepNext/>
        <w:spacing w:after="100"/>
      </w:pPr>
      <w:r>
        <w:rPr>
          <w:b/>
          <w:bCs/>
        </w:rPr>
        <w:t xml:space="preserve">Valor terminal.</w:t>
      </w:r>
    </w:p>
    <w:p>
      <w:pPr>
        <w:spacing w:after="100"/>
      </w:pPr>
      <w:r>
        <w:t xml:space="preserve">Gordon con un 2,5 % nominal en JPY: inflación esperada cerca del objetivo del 2 % del Banco de Japón, que el JGB al 3,1 % ya descuenta, más algo de crecimiento real en las ventas exteriores. Es más alto que el 1-1,5 % que usaríamos con un JGB cerca de cero, y queda 6 puntos por debajo del WACC. El múltiplo implícito es de 11,1x el EBITDA de FY2035e, menos de la mitad de los 24,8x de hoy: es la diferencia que más pesa. Un múltiplo de salida de 20x, como el de los comparables de calidad (Mettler-Toledo y Rockwell, 22-23x NTM) [72, 73], equivaldría a crecer un 5,09 % a perpetuidad en yenes, más del doble de la inflación esperada; por eso no lo usamos.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2.457.406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405.957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26.048.507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4.151.584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6.657.900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57.330,19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76.028,32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61.537,62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63.142,07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55.928,45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47.861,43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49.205,63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52.514,44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54.582,44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59.427,37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62.652,70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51.742,27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63.724,68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61.413,34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65.868,62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 (base: 7,9 %)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79,3 %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8,5 %)</w:t>
            </w:r>
          </w:p>
        </w:tc>
      </w:tr>
    </w:tbl>
    <w:p>
      <w:pPr>
        <w:spacing w:after="160" w:before="0"/>
      </w:pPr>
    </w:p>
    <w:p>
      <w:pPr>
        <w:spacing w:after="100"/>
      </w:pPr>
      <w:r>
        <w:t xml:space="preserve">El DCF da 57.330,19 JPY por acción, un 29,6 % por debajo del precio, con un rango de 51.935,87 a 64.834,39 JPY al mover WACC y crecimiento terminal medio punto. El valor terminal pesa un 62 %. La pregunta central es qué crecimiento descuenta un múltiplo tradicionalmente alto, y el DCF inverso la responde: para justificar 81.490 JPY con nuestros márgenes y nuestro WACC, las ventas tendrían que crecer un 14,4 % al año de media en FY2026e-FY2035e, frente al 7,9 % del caso base y al 12,3 % de los últimos diez años, que incluyeron un yen débil y ninguna compra. Con nuestro crecimiento, haría falta un margen EBITDA del 79,3 %, con un margen bruto del 83 %: imposible. Dicho de otra forma, el precio descuenta una rentabilidad anual del 6,4 % frente al 8,50 % que exigimos: con un JGB al 3,1 %, una prima de 3,3 puntos para una acción con una volatilidad del 40,3 % [58]. Es exigente frente a la historia y frente a la tasa libre, no frente al consenso a tres años, que coincide con el nuestro con diferencias del 1,6-4,9 %.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40.674,81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bienes de equipo gira tras un FY2026e de +22 %: en FY2027e las ventas caen un 8 % y el margen EBITDA baja al 49,5 %, algo peor que en FY2019 (−6,0 % y −3,4 puntos), porque el pico de partida es más alto y el yen se aprecia a la vez [4, 15]. China (16,0 % de las ventas) pierde cuota frente a Hikrobot y los proveedores locales [1, 42]. Después, el crecimiento queda dos puntos por debajo del base cada año, el margen 2,5 puntos más bajo, el WACC medio punto más alto y el terminal en 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siguen al consenso hasta FY2028e con un descuento del 1,6-3,8 % (+22 %, +11 %, +9 %), con el margen EBITDA en el 54-54,5 % por apalancamiento operativo [59]. En FY2029e llega la corrección del ciclo (−5 %, margen del 51 %), calibrada con FY2019 [4]; luego el crecimiento vuelve al 8-10 % por la expansión fuera de Japón y converge al 3,5 % en FY2035e, con el margen en el 53 %, entre el 52,4 % de FY2025 y la media de diez años (54,0 %).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78.168,11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cierra la brecha de productividad fuera de Japón, que hoy es la mitad de la japonesa por persona [24]: tres puntos más de crecimiento cada año que en el base (10,9 % de media en diez años, cerca del 12,3 % de FY2016-FY2025), un punto más de margen gracias a la escala comercial, medio punto menos de WACC y un terminal del 3,0 %, coherente con un JGB al 3,1 % [65].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58.375,83 JPY (-28,4 %).</w:t>
      </w:r>
    </w:p>
    <w:p>
      <w:pPr>
        <w:spacing w:after="100"/>
      </w:pPr>
      <w:r>
        <w:t xml:space="preserve">La asimetría es desfavorable: el alcista (78.168,11 JPY) queda un 4,1 % por debajo del precio, el base un 29,6 % y el bajista (40.674,81 JPY) un 50,1 %. El valor ponderado por probabilidades es 58.375,83 JPY. Ni siquiera un crecimiento medio del 10,9 % durante diez años, cerca del histórico, justifica el precio con un WACC del 8,0 %. El bajista no es cosmético: FY2019-FY2020 encadenaron dos años de caída (−6,0 % y −2,5 %) y la acción perdió un 28,5 % en 2022 [4, 58]; aun así, 40.674,81 JPY serían 22 veces el BPA de FY2025, por debajo del mínimo de diez años (29,9x), así que el bajista combina ciclo y caída del múltiplo. El perfil del bajista concentra la caída en FY2027e y no la convierte en una pérdida de nivel permanente.</w:t>
      </w:r>
    </w:p>
    <w:p>
      <w:pPr>
        <w:pStyle w:val="Heading1"/>
      </w:pPr>
      <w:r>
        <w:t xml:space="preserve">22. Suma de partes</w:t>
      </w:r>
    </w:p>
    <w:p>
      <w:pPr>
        <w:pStyle w:val="Confianza"/>
        <w:spacing w:after="100"/>
      </w:pPr>
      <w:r>
        <w:t xml:space="preserve">Confianza: Alta</w:t>
      </w:r>
    </w:p>
    <w:p>
      <w:pPr>
        <w:spacing w:after="100"/>
      </w:pPr>
      <w:r>
        <w:t xml:space="preserve">No aplica. Keyence tiene un solo segmento (equipos electrónicos de automatización) y una familia de producto con más del 90 % de las ventas; vende sensores, visión, medición y microscopios a los mismos clientes, con la misma red comercial y los mismos márgenes [1]. La liquidez y los valores (2.995.278 M JPY) y las asociadas (99.243 M JPY a valor de cotización) ya están en el puente [1, 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97.866,67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81.718,92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64.834,39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58.375,83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78.168,11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81.082,55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81.897,45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61.614,88 JPY (-24,4 % sobre 81.490,00).</w:t>
      </w:r>
    </w:p>
    <w:p>
      <w:pPr>
        <w:spacing w:after="100"/>
      </w:pPr>
      <w:r>
        <w:t xml:space="preserve">El DCF pesa un 50 % porque es el único método que separa lo que vale el negocio de lo que el mercado paga por el sector, y porque la pregunta del informe es qué crecimiento descuenta el precio. Los escenarios pesan un 25 % para recoger el ciclo. Los comparables pesan un 25 %: Keyence no tiene un par de verdad (margen del 52 % frente al 12-37 %) y la muestra es frágil. Las transacciones no pesan: Keyence vale ≈ 16,7 billones de JPY de valor empresa y no hay comprador posible; sus múltiplos (mediana 96.950,89 JPY por acción) incluyen prima de control. La dispersión es grande: de 40.674,81 JPY (bajista) a 96.950,89 (transacciones), y el precio de mercado (81.490) solo queda dentro del rango de los múltiplos del sector y de las transacciones. Puente a 20-jun-2026: sin deuda, 2.995.278 M JPY de efectivo, depósitos y valores (el 52 % a más de un año, casi todo deuda pública, corporativa y certificados de depósito) y 99.243 M JPY de asociadas a valor de cotización [1, 9]. La caja es el 15,2 % de la capitalización y renta en torno al 0,6 % [1].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(jun-sep 2026), fecha confirmada por Kabutan [63]; el del año anterior salió el 29-oct-2025 [91]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FY2025 (284.224 M JPY) es una base fácil y el yen sigue débil: un crecimiento por encima del 25 % confirmaría el consenso; por debajo del 20 % empezaría la revisión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29/30-oct-2026 y 17/18-dic-2026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Reuniones del Banco de Japón [92]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tipos fortalecería el yen: cada yen frente al dólar mueve ≈ 1.100 M JPY de resultado operativo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obra del centro logístico de Takatsuki (cuatro veces el actual); operativo en nov-2027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capex en FY2026e; capacidad de envío para la siguiente década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 acciones o compra relevante, ya sin pasar por la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 1 billón de JPY) usaría un tercio de la caja; una compra grande y cara sería el riesgo contrario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comparación exigente (3T25 +11,4 %) y sin apoyo de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propuesta de dividendo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dividendo por encima de 550 JPY o una política de payout explícita (el consenso espera 641 JPY)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manufactureros de EE. UU., China y la zona euro; pedidos de máquina-herramienta de JMTBA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Indicadores adelantados del ciclo de inversión; los pedidos japoneses subieron un 8,0 % en 2025 tras dos años de caídas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el precio no converja: el mercado sigue pagando 40x por Keyence aunque el JGB rinda un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(contra la tesis)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para el precio objetivo de consenso (97.866,67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una recomendación de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doce meses por encima de 35x tras el 2T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industrial en FY2027-FY2028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sobre el base (bajista: 40.674,81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costes variables (fabricación subcontratada) y una base de clientes muy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exterior en moneda local por debajo del +8 %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a −7 % del resultado operativo con un yen un 10 % más fuerte frente al dólar, el euro y el yuan (estimación propia con la sensibilidad publicada)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I+D y fabricación en Japón: la divisa afecta sobre todo a la conversión, no a la competitividad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China (16,0 % de las ventas) deja de crecer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China ya bajó del 17,0 % de FY2021; India, Sudeste Asiático y Américas crecen más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14 % o ventas de Hikrobot por encima de 10.000 M CNY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por la expansión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(sensibilidad: 56.410,44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estable del 83 %; los vendedores nuevos maduran en dos o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de venta y administración por encima del 30 %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capital: una compra grande y cara con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billón de JPY pagado a 30x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sin compras relevantes y un ROIC del 94,6 % como listón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fuera de la automatización de fábrica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cultura tras la salida del fundador del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(prima de calidad del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sigue como presidente de honor y primer accionista (18,22 % con su sociedad)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de directivos o voto en contra del primer ejecutivo por encima del 25 % [52]</w:t>
            </w:r>
          </w:p>
        </w:tc>
      </w:tr>
    </w:tbl>
    <w:p>
      <w:pPr>
        <w:spacing w:after="160" w:before="0"/>
      </w:pPr>
    </w:p>
    <w:p>
      <w:pPr>
        <w:pStyle w:val="Heading2"/>
      </w:pPr>
      <w:r>
        <w:t xml:space="preserve">Pre-mortem</w:t>
      </w:r>
    </w:p>
    <w:p>
      <w:pPr>
        <w:spacing w:after="100"/>
      </w:pPr>
      <w:r>
        <w:t xml:space="preserve">Octubre de 2029. Vender Keyence a 81.490 JPY fue un error: cotiza a 115.000 JPY. Qué pasó. Primero, el ciclo no giró: la automatización de fábricas en EE. UU. y la India, empujada por la relocalización y la falta de mano de obra, mantuvo el crecimiento exterior por encima del 15 % en moneda local tres años seguidos, como en el 1T26 (+24 %) [15]. Las ventas pasaron de 1,9 billones de JPY en FY2028, un 10 % por encima de nuestro base. Segundo, el margen volvió al 56 %, como en FY2017 y FY2021, porque los ingenieros de venta contratados en 2022-2025 maduraron [1]. Tercero, la empresa usó por fin la caja: recompró un 5 % del capital y subió el payout al 40 %. Y cuarto, el mercado nunca exigió el 8,5 %: siguió pagando 40 veces el beneficio, como hace desde hace diez años, aunque el JGB rindiera un 3 %. La cadena es la de 2017 y 2021: crecimiento por encima del 20 % con el múltiplo intacto. Las señales que lo habrían anticipado: el crecimiento en moneda local del 2T y 3T FY2026 por encima del 20 %, el margen operativo por encima del 55 % y el primer anuncio de recompra.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pesan en las cifras. </w:t>
      </w:r>
      <w:r>
        <w:rPr>
          <w:b/>
        </w:rPr>
        <w:t xml:space="preserve">Capital humano</w:t>
      </w:r>
      <w:r>
        <w:t xml:space="preserve">, porque el foso es la red de ventas: la matriz tiene 3.306 empleados con 35,0 años de edad media, 11,3 años de antigüedad y un salario medio de 21,78 M JPY [25], un coste alto que a la vez es barrera de entrada. Los hombres tomaron baja por paternidad en un 84,7 %, pero las mujeres cobran de media el 43,2 % que los hombres, por la composición de la plantilla [25]. </w:t>
      </w:r>
      <w:r>
        <w:rPr>
          <w:b/>
        </w:rPr>
        <w:t xml:space="preserve">Clima</w:t>
      </w:r>
      <w:r>
        <w:t xml:space="preserve">: las emisiones propias son mínimas (alcances 1 y 2, 3.528 t de CO₂ en el ejercicio a marzo de 2026) frente a 1.315.823 t del alcance 3, el 99,7 % del total [43]. El objetivo es reducir los alcances 1 y 2 un 43 % en el ejercicio 2030 respecto al de 2016 y llegar a la neutralidad en 2050 [43]. **Calidad en la cadena *fabless***: un fallo grave en una fábrica subcontratada puede obligar a una retirada masiva [1].</w:t>
      </w:r>
    </w:p>
    <w:p>
      <w:pPr>
        <w:pStyle w:val="Heading2"/>
      </w:pPr>
      <w:r>
        <w:t xml:space="preserve">Controversias</w:t>
      </w:r>
    </w:p>
    <w:p>
      <w:pPr>
        <w:spacing w:after="100"/>
      </w:pPr>
      <w:r>
        <w:t xml:space="preserve">El informe anual y el informe de valores del ejercicio a marzo de 2026 no recogen litigios, sanciones ni investigaciones relevantes, y la empresa no declara asuntos laborales notables con su sindicato [1, 25]. Tampoco hemos encontrado sanciones laborales documentadas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+24,0 % exterior en moneda local del 1T26 viene de semiconductores y electrónica, y cuánto de pedidos adelantados por aranceles?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base supone +22 % en FY2026e y una corrección en FY2029e; si el 1T es un pico de reposición, el giro llega 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liquidez considera la empresa necesario y por qué mantiene 3 billones de JPY rentando en torno al 0,6 % con el JGB al 3,1 %?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15 % de la capitalización; una recompra del 5 % cambiaría el BPA y la tesis de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múltiplos está dispuesta a pagar con la nueva política de M&amp;A «sin límite de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crecimiento orgánico con un ROIC del 94,6 %: cualquier compra a precios del sector diluye la rentabilidad.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ingenieros de venta se han contratado fuera de Japón en FY2025 y en el 1T26, y cuánto tardan en alcanzar la productividad japonesa?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la productividad exterior es la mitad de la japonesa: es el motor del caso alcista y de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y la cuota en China frente a Hikrobot y los proveedores locales de 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16,0 % de las ventas y el único mercado con competidores locales de escala.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payout hay detrás de los 550 JPY y por qué no se prevé subirlos en FY2026e si el beneficio crece un 25-30 %?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641 JPY: la diferencia dice si el salto de 2026 fue un cambio de política o un gesto aislado.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 el fundador como presidente de honor fuera del consejo, y cómo vota T.T Corporation en la junta?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bloque es el 18,22 % del capital y ≈ 20 % de los votos emitidos; el voto al primer ejecutivo bajó al 77,1 %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95 (60 primarias); citas distintas en el texto: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38,6 % real: genera una variación de circulante de 97.377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0,26: el crecimiento no explica los múltiplos de estos comparables; no uses el valor de la regresión. Explicación: R² de 0,26: el crecimiento no explica los múltiplos de estos siete comparables (Mettler y Rockwell crecen un 5-6 % y cotizan a 22-23x).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16,5x a 19,7x según qué comparable se quite (70.145,31 a 81.274,67 por acción): la muestra es frágil; explícalo y no le des mucho peso. Explicación: La mediana del EV/EBITDA NTM va de 16,5x a 19,7x según qué comparable se quite: ninguno se parece de verdad a Keyence (margen EBITDA del 52 % frente al 12-37 %). Por eso los comparables pesan un 25 % y el comentario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Biblioteca de inversores de Keyence (results.jsp): solo kessan tanshin y diapositivas, sin transcripción ni resumen de preguntas; 2) búsqueda web de transcripciones o resúmenes de las conferencias de abril y julio de 2026: no aparecen; 3) prensa y agregadores (Simply Wall St): solo cifras frente al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las diapositivas y el tanshin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2T24-4T24 y 2T25-4T25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Keyence no publica previsiones de resultados; 2) búsqueda de notas de resultados frente al consenso: solo aparecen el 1T25 y el 1T26 (Simply Wall St); 3) no hay otra fuente gratuita con el consenso previo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solo dan el crecimiento en moneda local del extranjero, no el total; 2) tanshin: no lo da; 3) derivado para el 1T26 con el efecto divisa publicado (+26.100 M JPY en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1T26: +22,8 %)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del 1T26: no incluye estado de flujos; 2) presentación del 1T26: solo capex y amortización; 3) no se puede derivar el flujo operativo trimestral sin el estado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por producto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informe anual: un solo segmento y una familia de producto con más del 90 % de las ventas, sin desglose; 2) Securities Report: mismo criterio; 3) presentaciones: desglose por industria cliente en tramos del 5 %, no por producto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como segmentos las cuatro geografías que publica la nota 13 (Japón, EE. UU., China y resto)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en inglés: los intangibles van dentro de «otros» de inversiones; 2) tanshin: tampoco los separa; 3) no se buscó en el Securities Report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detalle de «otros» de inversión del FY2025 (32.124 M JPY)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informe anual: «Other - net» sin nota; 2) tanshin del FY2025: igual; 3) no se revisó el estado de flujos detallado del Securities Report en japonés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comenta como señal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totales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los desglosa; 2) Securities Report: plantilla y sueldo medio de la matriz, no gasto total del grupo; 3) no se buscó en el detalle de gastos de venta del yuho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y tcac_historico_pct del mercado de visión artificial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resumen público de la edición 2025: solo 2025, 2030e y tres regiones de 2024; 2) VDMA (serie alemana): notas originales en Business Wire con 403 y artículos de prensa solo con 2025; 3) ediciones anteriores de MarketsandMarkets (2020, 2022, 2023) solo en agregadores de terceros, no verificables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MarketsandMarkets y Grand View: nombran a los líderes sin cuotas; 2) Cognex 10-K 2025: dice que el mercado está fragmentado, sin cuotas; 3) cálculo propio: imposible porque KEYENCE no desglosa ventas de 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KEYENCE y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2026: un solo segmento, sin ventas por línea; 2) web de inversores (Business Model, Growth Strategy): sin cuota; 3) informes de mercado: solo listas de líderes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KEYENCE en 2009 (ejercicios a marzo de 2009 y 2010)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AnnualReport_2010_en.pdf y AnnualReport_2011_en.pdf en keyence.co.jp: 404; 2) informe de valores antiguo en EDINET (S1005XKK): texto ilegible por la codificación de fuentes y cubre los ejercicios 2011-2015; 3) búsqueda en japonés: solo cifras en resúmenes y sitios de terceros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KEYENCE: la calificación se carga con JavaScript y no aparece en el HTML; 2) Yahoo Finance, pestaña de sostenibilidad: sin datos ESG; 3) web de sostenibilidad de KEYENCE (sostenibilidad y medio ambiente): no publica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Hikrobot y cuentas de Luster y OPT Machine 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Hikvision en securityworldmarket: 403; 2) 36Kr: solo ingresos de Hikrobot; 3) no hubo tiempo para los informes anuales en chino de Luster (688400) y OPT (688686)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臨時報告書 de las juntas de 2024, 2025 y 2026 en EDINET: ninguna propuesta de retribución; 2) convocatoria de 2026: propuestas de dividendo, estatutos, consejeros y auditor suplente, sin retribución; 3) yuho: el último voto de retribución fue en la junta de 2022 (tope de 500 M JPY), fuera de las tres últimas juntas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Japón no se vota la retribución cada año; como sustituto, el texto da el voto a la reelección del primer ejecutivo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solo hay informes de participaciones ≥ 5 % (el último del fundador es de marzo de 2022) y la API exige clave; 2) yuho y convocatoria: acciones de cada consejero (ninguna salvo Nakata, con 500, y Satomi, con 100), sin variaciones que indiquen operaciones; 3) Japón no tiene un registro público en línea como el Form 4 (los informes de compraventa de directivos se consultan en la Oficina Financiera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ha podido comprobar en un registro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variacion de las participaciones de custodios y fondos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yuho FY2025: solo la foto a 20-mar-2026; 2) Corporate Governance Report: mismas cifras (el texto japonés sale ilegible por la codificación de la fuente); 3) EDINET: la búsqueda de informes de participaciones significativas no está disponible sin la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solo gráficos, sin cifras en el HTML; 2) Minkabu y Kabutan: dan objetivo y recomendaciones, no la evolución de las estimaciones; 3) Investing (consensus-estimates) devuelve 403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las revisiones de recomendación y de precio objetivo publicadas)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 (total declarado)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JPX (umbral público del 0,5 %), vía el subagente D: sin dato agregado; 2) karauri.net, que recopila las declaraciones de la JPX: «no se encontró información de cortos institucionales» sobre Keyence [94], es decir, ningún tenedor por encima del umbral; 3) Stock Analysis y Yahoo solo publican el interés corto de valores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(ningún corto declarado por encima del 0,5 %; el total no se publica)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 (ejercicio cerrado el 20-mar-2026,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(FY2020 y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(FY2018 y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(FY2016 y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March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https://www.keyence.co.jp/pdf/SummaryOfConsolidatedFinancialResultsForTheYearEndedMarch_20_2026(JP_GAAP).pdf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March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https://www.keyence.co.jp/pdf/ConsolidatedFinancialResultsForTheYearEndedMarch_20_2025(JP_GAAP).pdf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2nd Quarter Ended September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https://www.keyence.co.jp/pdf/FinancialResultsForThe2ndQuarterEndedSeptember_20_2025(JP_GAAP).pdf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2nd Quarter Ended September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https://www.keyence.co.jp/pdf/ConsolidatedFinancialResultsForThe2ndQuarterEndedSeptember20_2024(JP_GAAP).pdf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of FY2026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(Securities Report) FY2025, 第57期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https://www.keyence.co.jp/pdf/AnnualSecuritiesReport_202606_ja.pdf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Just Beat EPS By 24%: Here's What Analysts Think Will Happen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https://simplywall.st/stocks/jp/tech/tse-6861/keyence-shares/news/keyence-corporation-just-beat-eps-by-24-heres-what-analysts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First Quarter 2026 Earnings: EPS Misses Expectations (1T del FY2025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https://simplywall.st/stocks/jp/tech/tse-6861/keyence-shares/news/keyence-first-quarter-2026-earnings-eps-misses-expectations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Model and Strengths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Growth Strategy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https://www.keyence.co.jp/investor/en/strategy.jsp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ejercicio a 20-mar-2026: Enkaku (historia) y plantilla, texto en EDINET DB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 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https://edinetdb.jp/company/E01967/text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(ejercicio cerrado el 20-mar-2024)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https://www.sec.gov/Archives/edgar/data/851205/000085120526000012/cgnx-20251231.htm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companyfacts XBRL (ingresos y resultado operativo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https://data.sec.gov/api/xbrl/companyfacts/CIK0000851205.json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companyfacts XBRL (ejercicio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https://data.sec.gov/api/xbrl/companyfacts/CIK0001024478.json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companyfacts XBRL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https://data.sec.gov/api/xbrl/companyfacts/CIK0001037646.json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https://www.omron.com/global/en/assets/file/ir/irlib/20260513_financial_results.pdf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cuenta de resultados anual (ejercicio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achieves more sales in the 2025 fiscal year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https://www.sick.com/ae/en/sick-achieves-more-sales-in-the-2025-fiscal-year-/w/press-2026-fiscal-year-2025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 Global Forecast to 2030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https://www.marketsandmarkets.com/Market-Reports/industrial-machine-vision-market-234246734.html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Size, Share &amp; Trends, 2026-2033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https://www.grandviewresearch.com/industry-analysis/machine-vision-market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Sensors Market - Global Forecast to 2029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https://www.marketsandmarkets.com/PressReleases/industrial-sensor.asp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Industrial Automation Revenues to Drop by 10% in 2025 (previsión de VDMA Robotics +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Systems Design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https://www.vision-systems.com/factory/article/55294280/german-industrial-automation-revenues-to-drop-by-10-in-2025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JMTBA Notes 2026-01: Monthly Machine Tool Orders (December 2025) y total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https://www.jmtba.or.jp/english/wjmtbap/wp-content/uploads/2026/02/JMTBA-NOTES-2026-01.pdf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Hikrobot's 2025 Annual Revenue Exceeds 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https://eu.36kr.com/en/p/3782137908403457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medio ambiente (datos de emisiones de alcances 1-3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https://www.keyence.co.jp/sustainability/environment/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Partial Corrections to the Notice of Convocation of the 57th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https://www.keyence.co.jp/pdf/57thGeneralmeetingConvocation_202605_en_Revised.pdf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(consejeros y Audit &amp; Supervisory Board,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https://www.keyence.co.jp/investor/en/compliance/officers.jsp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取締役の異動に関するお知らせ (salida del fundador Takemitsu Takizaki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2026年3月期の連結業績と前期の連結業績との差異に関するお知らせ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定款の一部変更に関するお知らせ (recompra por acuerdo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投資単位の引下げに関する考え方及び方針等について</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https://disclosure2dl.edinet-fsa.go.jp/searchdocument/pdf/S100YBHM.pdf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13-jun-2025)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https://disclosure2dl.edinet-fsa.go.jp/searchdocument/pdf/S100VYGE.pdf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14-jun-2024)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https://disclosure2dl.edinet-fsa.go.jp/searchdocument/pdf/S100TN3D.pdf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(cambio de representante: Tetsuya Nakano presidente, acuerdo del consejo de 29-oct-2025)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https://disclosure2dl.edinet-fsa.go.jp/searchdocument/pdf/S100X96K.pdf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No.7 (participación significativa de Takemitsu Takizaki y su coposeedor T.T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https://disclosure2dl.edinet-fsa.go.jp/searchdocument/pdf/S100NMLF.pdf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(TSE)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https://www.keyence.co.jp/pdf/CorporateGovernance_20260428_01.pdf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(participación significativa de Takemitsu Takizaki, donación de 3,65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https://disclosure2dl.edinet-fsa.go.jp/searchdocument/pdf/S100ITEZ.pdf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6861.T, ^N225, 1306.T y 1625.T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https://finance.yahoo.com/quote/6861.T/history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Consensus (analysts' opinion, target prices)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株価予想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https://minkabu.jp/stock/6861/analysis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ficha: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constant maturity yields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https://www.marketscreener.com/quote/stock/OMRON-CORPORATION-6491550/finances/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(CGNX)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https://stockanalysis.com/stocks/cgnx/statistics/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(TYO:6645)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https://stockanalysis.com/quote/tyo/6645/statistics/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(STO:HEXA.B)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https://stockanalysis.com/quote/sto/HEXA.B/statistics/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Advance Global Automation Leadership Through Acquisition of NI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Emerson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to Acquire FLIR Systems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https://www.sec.gov/Archives/edgar/data/1094285/000109428521000003/acquisitionannouncementfin.htm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https://news.siemens.com/en-us/siemens-altair/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partner with global machine vision specialist ISRA VISION AG through public takeover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https://www.atlascopcogroup.com/en/media/press-releases/2020/20200210-isra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Remaining Outstanding Shares of AspenTech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https://ir.emerson.com/_assets/_ddd6d0cfbba431a5ed842dba94ef97d5/emerson/news/2025-01-27_Emerson_to_Acquire_Remaining_Outstanding_Shares_16.pdf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FLIR Systems,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https://data.sec.gov/api/xbrl/companyfacts/CIK0000354908.json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XBRL company facts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https://data.sec.gov/api/xbrl/companyfacts/CIK0000935494.json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 Technology, XBRL company facts (10-K ejercicio a 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https://data.sec.gov/api/xbrl/companyfacts/CIK0001897982.json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XBRL company facts (10-K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https://data.sec.gov/api/xbrl/companyfacts/CIK0001701732.json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Allocation Policy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https://www.keyence.co.jp/investor/en/capital-allocation-policy.jsp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FY2025 Financial Results Materials (fecha de publicación del 2T)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Monetary Policy Meetings: schedule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https://www.boj.or.jp/en/mopo/mpmsche_minu/index.htm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空売り残高 (posiciones cortas declaradas)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 (datos de la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https://tradingeconomics.com/japan/government-bond-yield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capital</w:t>
      </w:r>
      <w:r>
        <w:t xml:space="preserve"> · Generado el 7 oct 2026.</w:t>
      </w:r>
    </w:p>
    <w:p>
      <w:pPr>
        <w:pStyle w:val="Nota"/>
        <w:spacing w:after="100"/>
      </w:pPr>
      <w:r>
        <w:t xml:space="preserve">Una sola línea cotizada (Bolsa de Tokio, Prime: 6861), cuentas y cotización en yenes: no hay conversión de divisa en las cifras de la empresa. Las cuentas son JGAAP, no NIIF: no se aplica la NIIF 16, así que los arrendamientos operativos están fuera de balance y fuera del EBITDA hasta la norma ASBJ n.º 34, que entra en vigor el 21-mar-2028; su importe es menor [1]. El ejercicio cierra el 20 de marzo y la empresa lo nombra por el año de inicio: FY2025 va del 21-mar-2025 al 20-mar-2026 y FY2026e es el ejercicio en curso. MarketScreener, Yahoo y Stock Analysis etiquetan por el año de cierre: su «2027» es nuestro FY2026e, y así se ha mapeado el consenso [59]. Los «trimestres» son de la empresa: 1T26 es abr-jun de 2026. Los precios de cierre de ejercicio de la serie histórica son los del 31 de marzo, no los del día 20 [58]. El precio es el cierre del 6-oct-2026 (81.490 JPY), porque el del 7-oct no estaba publicado al calcular [58]. Keyence es monosegmento: los «segmentos» son las cuatro geografías de su nota de información geográfica [1]. Keyence no publica guía de resultados ni transcripciones de sus conferencias [7]. Los comparables extranjeros están convertidos a JPY al tipo del BCE del 6-oct-2026 [66]. Los textos japoneses de algunos documentos de EDINET salieron ilegibles al extraerlos y se han leído por las cifras y el orden de las propuestas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KEYENCE CORPORATION (6861)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(51.935,87 – 64.834,39)</c:v>
                </c:pt>
                <c:pt idx="6">
                  <c:v>Escenarios (bajista – alcista) (40.674,81 – 78.168,11)</c:v>
                </c:pt>
                <c:pt idx="7">
                  <c:v>Precio actual (81.490,00)</c:v>
                </c:pt>
              </c:strCache>
            </c:strRef>
          </c:cat>
          <c:val>
            <c:numRef>
              <c:f>Hoja1!$B$2:$B$9</c:f>
              <c:numCache>
                <c:formatCode>#,##0</c:formatCode>
                <c:ptCount val="8"/>
                <c:pt idx="0">
                  <c:v>51510</c:v>
                </c:pt>
                <c:pt idx="1">
                  <c:v>77000</c:v>
                </c:pt>
                <c:pt idx="2">
                  <c:v>59363.76</c:v>
                </c:pt>
                <c:pt idx="3">
                  <c:v>59242.41</c:v>
                </c:pt>
                <c:pt idx="4">
                  <c:v>81718.92</c:v>
                </c:pt>
                <c:pt idx="5">
                  <c:v>51935.87</c:v>
                </c:pt>
                <c:pt idx="6">
                  <c:v>40674.81</c:v>
                </c:pt>
                <c:pt idx="7">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(51.935,87 – 64.834,39)</c:v>
                </c:pt>
                <c:pt idx="6">
                  <c:v>Escenarios (bajista – alcista) (40.674,81 – 78.168,11)</c:v>
                </c:pt>
                <c:pt idx="7">
                  <c:v>Precio actual (81.490,00)</c:v>
                </c:pt>
              </c:strCache>
            </c:strRef>
          </c:cat>
          <c:val>
            <c:numRef>
              <c:f>Hoja1!$C$2:$C$9</c:f>
              <c:numCache>
                <c:formatCode>#,##0</c:formatCode>
                <c:ptCount val="8"/>
                <c:pt idx="0">
                  <c:v>36410</c:v>
                </c:pt>
                <c:pt idx="1">
                  <c:v>43000</c:v>
                </c:pt>
                <c:pt idx="2">
                  <c:v>31996.879999999997</c:v>
                </c:pt>
                <c:pt idx="3">
                  <c:v>18962.53</c:v>
                </c:pt>
                <c:pt idx="4">
                  <c:v>30740.90000000001</c:v>
                </c:pt>
                <c:pt idx="5">
                  <c:v>12898.519999999997</c:v>
                </c:pt>
                <c:pt idx="6">
                  <c:v>37493.3</c:v>
                </c:pt>
                <c:pt idx="7">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Japón</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206324</c:v>
                </c:pt>
                <c:pt idx="1">
                  <c:v>246259</c:v>
                </c:pt>
                <c:pt idx="2">
                  <c:v>275117</c:v>
                </c:pt>
                <c:pt idx="3">
                  <c:v>260147</c:v>
                </c:pt>
                <c:pt idx="4">
                  <c:v>236905</c:v>
                </c:pt>
                <c:pt idx="5">
                  <c:v>310180</c:v>
                </c:pt>
                <c:pt idx="6">
                  <c:v>348079</c:v>
                </c:pt>
                <c:pt idx="7">
                  <c:v>344567</c:v>
                </c:pt>
                <c:pt idx="8">
                  <c:v>372753</c:v>
                </c:pt>
                <c:pt idx="9">
                  <c:v>390066</c:v>
                </c:pt>
              </c:numCache>
            </c:numRef>
          </c:val>
        </c:ser>
        <c:ser>
          <c:idx val="1"/>
          <c:order val="1"/>
          <c:tx>
            <c:strRef>
              <c:f>Hoja1!$C$1</c:f>
              <c:strCache>
                <c:ptCount val="1"/>
                <c:pt idx="0">
                  <c:v>Estados Unidos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61515</c:v>
                </c:pt>
                <c:pt idx="1">
                  <c:v>78798</c:v>
                </c:pt>
                <c:pt idx="2">
                  <c:v>86938</c:v>
                </c:pt>
                <c:pt idx="3">
                  <c:v>81561</c:v>
                </c:pt>
                <c:pt idx="4">
                  <c:v>77421</c:v>
                </c:pt>
                <c:pt idx="5">
                  <c:v>110480</c:v>
                </c:pt>
                <c:pt idx="6">
                  <c:v>152190</c:v>
                </c:pt>
                <c:pt idx="7">
                  <c:v>170843</c:v>
                </c:pt>
                <c:pt idx="8">
                  <c:v>197579</c:v>
                </c:pt>
                <c:pt idx="9">
                  <c:v>225751</c:v>
                </c:pt>
              </c:numCache>
            </c:numRef>
          </c:val>
        </c:ser>
        <c:ser>
          <c:idx val="2"/>
          <c:order val="2"/>
          <c:tx>
            <c:strRef>
              <c:f>Hoja1!$D$1</c:f>
              <c:strCache>
                <c:ptCount val="1"/>
                <c:pt idx="0">
                  <c:v>China</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44661</c:v>
                </c:pt>
                <c:pt idx="1">
                  <c:v>64435</c:v>
                </c:pt>
                <c:pt idx="2">
                  <c:v>69700</c:v>
                </c:pt>
                <c:pt idx="3">
                  <c:v>63887</c:v>
                </c:pt>
                <c:pt idx="4">
                  <c:v>86165</c:v>
                </c:pt>
                <c:pt idx="5">
                  <c:v>128511</c:v>
                </c:pt>
                <c:pt idx="6">
                  <c:v>153475</c:v>
                </c:pt>
                <c:pt idx="7">
                  <c:v>142547</c:v>
                </c:pt>
                <c:pt idx="8">
                  <c:v>157891</c:v>
                </c:pt>
                <c:pt idx="9">
                  <c:v>186550</c:v>
                </c:pt>
              </c:numCache>
            </c:numRef>
          </c:val>
        </c:ser>
        <c:ser>
          <c:idx val="3"/>
          <c:order val="3"/>
          <c:tx>
            <c:strRef>
              <c:f>Hoja1!$E$1</c:f>
              <c:strCache>
                <c:ptCount val="1"/>
                <c:pt idx="0">
                  <c:v>Otros países</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100199</c:v>
                </c:pt>
                <c:pt idx="1">
                  <c:v>137355</c:v>
                </c:pt>
                <c:pt idx="2">
                  <c:v>155340</c:v>
                </c:pt>
                <c:pt idx="3">
                  <c:v>146248</c:v>
                </c:pt>
                <c:pt idx="4">
                  <c:v>137643</c:v>
                </c:pt>
                <c:pt idx="5">
                  <c:v>206003</c:v>
                </c:pt>
                <c:pt idx="6">
                  <c:v>268678</c:v>
                </c:pt>
                <c:pt idx="7">
                  <c:v>309331</c:v>
                </c:pt>
                <c:pt idx="8">
                  <c:v>330920</c:v>
                </c:pt>
                <c:pt idx="9">
                  <c:v>366920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Japón</c:v>
                </c:pt>
                <c:pt idx="1">
                  <c:v>Estados Unidos</c:v>
                </c:pt>
                <c:pt idx="2">
                  <c:v>China</c:v>
                </c:pt>
                <c:pt idx="3">
                  <c:v>Otros países</c:v>
                </c:pt>
              </c:strCache>
            </c:strRef>
          </c:cat>
          <c:val>
            <c:numRef>
              <c:f>Hoja1!$B$2:$B$5</c:f>
              <c:numCache>
                <c:formatCode>General</c:formatCode>
                <c:ptCount val="4"/>
                <c:pt idx="0">
                  <c:v>33.4</c:v>
                </c:pt>
                <c:pt idx="1">
                  <c:v>19.3</c:v>
                </c:pt>
                <c:pt idx="2">
                  <c:v>16</c:v>
                </c:pt>
                <c:pt idx="3">
                  <c:v>31.4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Japón</c:v>
                </c:pt>
                <c:pt idx="1">
                  <c:v>Estados Unidos</c:v>
                </c:pt>
                <c:pt idx="2">
                  <c:v>China</c:v>
                </c:pt>
                <c:pt idx="3">
                  <c:v>Resto del mundo</c:v>
                </c:pt>
              </c:strCache>
            </c:strRef>
          </c:cat>
          <c:val>
            <c:numRef>
              <c:f>Hoja1!$B$2:$B$5</c:f>
              <c:numCache>
                <c:formatCode>0"%"</c:formatCode>
                <c:ptCount val="4"/>
                <c:pt idx="0">
                  <c:v>33.4</c:v>
                </c:pt>
                <c:pt idx="1">
                  <c:v>19.3</c:v>
                </c:pt>
                <c:pt idx="2">
                  <c:v>16</c:v>
                </c:pt>
                <c:pt idx="3">
                  <c:v>31.3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(visión artificial mundial,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15830</c:v>
                </c:pt>
                <c:pt idx="1">
                  <c:v>23630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Keyence</c:v>
                </c:pt>
                <c:pt idx="1">
                  <c:v>Cognex</c:v>
                </c:pt>
                <c:pt idx="2">
                  <c:v>OMRON (Industrial Automation Business)</c:v>
                </c:pt>
                <c:pt idx="3">
                  <c:v>SMC</c:v>
                </c:pt>
                <c:pt idx="4">
                  <c:v>FANUC</c:v>
                </c:pt>
                <c:pt idx="5">
                  <c:v>Hexagon (Manufacturing Intelligence)</c:v>
                </c:pt>
                <c:pt idx="6">
                  <c:v>SICK</c:v>
                </c:pt>
                <c:pt idx="7">
                  <c:v>Mettler-Toledo</c:v>
                </c:pt>
                <c:pt idx="8">
                  <c:v>Hikrobot</c:v>
                </c:pt>
              </c:strCache>
            </c:strRef>
          </c:cat>
          <c:val>
            <c:numRef>
              <c:f>Hoja1!$B$2:$B$10</c:f>
              <c:numCache>
                <c:formatCode>0.0"%"</c:formatCode>
                <c:ptCount val="9"/>
                <c:pt idx="0">
                  <c:v>51</c:v>
                </c:pt>
                <c:pt idx="1">
                  <c:v>16.4</c:v>
                </c:pt>
                <c:pt idx="2">
                  <c:v>10.4</c:v>
                </c:pt>
                <c:pt idx="3">
                  <c:v>22.6</c:v>
                </c:pt>
                <c:pt idx="4">
                  <c:v>21.4</c:v>
                </c:pt>
                <c:pt idx="5">
                  <c:v>25.7</c:v>
                </c:pt>
                <c:pt idx="6">
                  <c:v>3</c:v>
                </c:pt>
                <c:pt idx="7">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412699</c:v>
                </c:pt>
                <c:pt idx="1">
                  <c:v>526847</c:v>
                </c:pt>
                <c:pt idx="2">
                  <c:v>587095</c:v>
                </c:pt>
                <c:pt idx="3">
                  <c:v>551843</c:v>
                </c:pt>
                <c:pt idx="4">
                  <c:v>538134</c:v>
                </c:pt>
                <c:pt idx="5">
                  <c:v>755174</c:v>
                </c:pt>
                <c:pt idx="6">
                  <c:v>922422</c:v>
                </c:pt>
                <c:pt idx="7">
                  <c:v>967288</c:v>
                </c:pt>
                <c:pt idx="8">
                  <c:v>1059145</c:v>
                </c:pt>
                <c:pt idx="9">
                  <c:v>1169289</c:v>
                </c:pt>
                <c:pt idx="10">
                  <c:v>1426533</c:v>
                </c:pt>
                <c:pt idx="11">
                  <c:v>1583451</c:v>
                </c:pt>
                <c:pt idx="12">
                  <c:v>1725962</c:v>
                </c:pt>
                <c:pt idx="13">
                  <c:v>1639664</c:v>
                </c:pt>
                <c:pt idx="14">
                  <c:v>1803630</c:v>
                </c:pt>
                <c:pt idx="15">
                  <c:v>1965957</c:v>
                </c:pt>
                <c:pt idx="16">
                  <c:v>2123233</c:v>
                </c:pt>
                <c:pt idx="17">
                  <c:v>2261243</c:v>
                </c:pt>
                <c:pt idx="18">
                  <c:v>2374306</c:v>
                </c:pt>
                <c:pt idx="19">
                  <c:v>2457406</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222401</c:v>
                </c:pt>
                <c:pt idx="1">
                  <c:v>297467</c:v>
                </c:pt>
                <c:pt idx="2">
                  <c:v>324156</c:v>
                </c:pt>
                <c:pt idx="3">
                  <c:v>285626</c:v>
                </c:pt>
                <c:pt idx="4">
                  <c:v>284313</c:v>
                </c:pt>
                <c:pt idx="5">
                  <c:v>426666</c:v>
                </c:pt>
                <c:pt idx="6">
                  <c:v>510437</c:v>
                </c:pt>
                <c:pt idx="7">
                  <c:v>508781</c:v>
                </c:pt>
                <c:pt idx="8">
                  <c:v>564968</c:v>
                </c:pt>
                <c:pt idx="9">
                  <c:v>612986</c:v>
                </c:pt>
                <c:pt idx="10">
                  <c:v>777460</c:v>
                </c:pt>
                <c:pt idx="11">
                  <c:v>862981</c:v>
                </c:pt>
                <c:pt idx="12">
                  <c:v>932019</c:v>
                </c:pt>
                <c:pt idx="13">
                  <c:v>836228</c:v>
                </c:pt>
                <c:pt idx="14">
                  <c:v>946906</c:v>
                </c:pt>
                <c:pt idx="15">
                  <c:v>1041957</c:v>
                </c:pt>
                <c:pt idx="16">
                  <c:v>1125314</c:v>
                </c:pt>
                <c:pt idx="17">
                  <c:v>1198459</c:v>
                </c:pt>
                <c:pt idx="18">
                  <c:v>1258382</c:v>
                </c:pt>
                <c:pt idx="19">
                  <c:v>1302425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80.8</c:v>
                </c:pt>
                <c:pt idx="1">
                  <c:v>82.1</c:v>
                </c:pt>
                <c:pt idx="2">
                  <c:v>82.3</c:v>
                </c:pt>
                <c:pt idx="3">
                  <c:v>81.8</c:v>
                </c:pt>
                <c:pt idx="4">
                  <c:v>81.9</c:v>
                </c:pt>
                <c:pt idx="5">
                  <c:v>82.3</c:v>
                </c:pt>
                <c:pt idx="6">
                  <c:v>81.8</c:v>
                </c:pt>
                <c:pt idx="7">
                  <c:v>83</c:v>
                </c:pt>
                <c:pt idx="8">
                  <c:v>83.8</c:v>
                </c:pt>
                <c:pt idx="9">
                  <c:v>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53.9</c:v>
                </c:pt>
                <c:pt idx="1">
                  <c:v>56.5</c:v>
                </c:pt>
                <c:pt idx="2">
                  <c:v>55.2</c:v>
                </c:pt>
                <c:pt idx="3">
                  <c:v>51.8</c:v>
                </c:pt>
                <c:pt idx="4">
                  <c:v>52.8</c:v>
                </c:pt>
                <c:pt idx="5">
                  <c:v>56.5</c:v>
                </c:pt>
                <c:pt idx="6">
                  <c:v>55.3</c:v>
                </c:pt>
                <c:pt idx="7">
                  <c:v>52.6</c:v>
                </c:pt>
                <c:pt idx="8">
                  <c:v>53.3</c:v>
                </c:pt>
                <c:pt idx="9">
                  <c:v>52.4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53</c:v>
                </c:pt>
                <c:pt idx="1">
                  <c:v>55.6</c:v>
                </c:pt>
                <c:pt idx="2">
                  <c:v>54.1</c:v>
                </c:pt>
                <c:pt idx="3">
                  <c:v>50.3</c:v>
                </c:pt>
                <c:pt idx="4">
                  <c:v>51.4</c:v>
                </c:pt>
                <c:pt idx="5">
                  <c:v>55.4</c:v>
                </c:pt>
                <c:pt idx="6">
                  <c:v>54.1</c:v>
                </c:pt>
                <c:pt idx="7">
                  <c:v>51.2</c:v>
                </c:pt>
                <c:pt idx="8">
                  <c:v>51.9</c:v>
                </c:pt>
                <c:pt idx="9">
                  <c:v>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37.1</c:v>
                </c:pt>
                <c:pt idx="1">
                  <c:v>40</c:v>
                </c:pt>
                <c:pt idx="2">
                  <c:v>38.5</c:v>
                </c:pt>
                <c:pt idx="3">
                  <c:v>35.9</c:v>
                </c:pt>
                <c:pt idx="4">
                  <c:v>36.7</c:v>
                </c:pt>
                <c:pt idx="5">
                  <c:v>40.2</c:v>
                </c:pt>
                <c:pt idx="6">
                  <c:v>39.3</c:v>
                </c:pt>
                <c:pt idx="7">
                  <c:v>38.2</c:v>
                </c:pt>
                <c:pt idx="8">
                  <c:v>37.6</c:v>
                </c:pt>
                <c:pt idx="9">
                  <c:v>38.1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10.1</c:v>
                </c:pt>
                <c:pt idx="1">
                  <c:v>7.7</c:v>
                </c:pt>
                <c:pt idx="2">
                  <c:v>9.2</c:v>
                </c:pt>
                <c:pt idx="3">
                  <c:v>5.6</c:v>
                </c:pt>
                <c:pt idx="4">
                  <c:v>5.9</c:v>
                </c:pt>
                <c:pt idx="5">
                  <c:v>11.4</c:v>
                </c:pt>
                <c:pt idx="6">
                  <c:v>17.9</c:v>
                </c:pt>
                <c:pt idx="7">
                  <c:v>32.8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Hoja1!$C$2:$C$9</c:f>
              <c:numCache>
                <c:formatCode>0.0"%"</c:formatCode>
                <c:ptCount val="8"/>
                <c:pt idx="7">
                  <c:v>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113</c:v>
                </c:pt>
                <c:pt idx="1">
                  <c:v>111</c:v>
                </c:pt>
                <c:pt idx="2">
                  <c:v>105</c:v>
                </c:pt>
                <c:pt idx="3">
                  <c:v>107</c:v>
                </c:pt>
                <c:pt idx="4">
                  <c:v>126</c:v>
                </c:pt>
                <c:pt idx="5">
                  <c:v>120</c:v>
                </c:pt>
                <c:pt idx="6">
                  <c:v>117</c:v>
                </c:pt>
                <c:pt idx="7">
                  <c:v>116</c:v>
                </c:pt>
                <c:pt idx="8">
                  <c:v>110</c:v>
                </c:pt>
                <c:pt idx="9">
                  <c:v>118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112</c:v>
                </c:pt>
                <c:pt idx="1">
                  <c:v>135</c:v>
                </c:pt>
                <c:pt idx="2">
                  <c:v>135</c:v>
                </c:pt>
                <c:pt idx="3">
                  <c:v>122</c:v>
                </c:pt>
                <c:pt idx="4">
                  <c:v>131</c:v>
                </c:pt>
                <c:pt idx="5">
                  <c:v>169</c:v>
                </c:pt>
                <c:pt idx="6">
                  <c:v>190</c:v>
                </c:pt>
                <c:pt idx="7">
                  <c:v>172</c:v>
                </c:pt>
                <c:pt idx="8">
                  <c:v>166</c:v>
                </c:pt>
                <c:pt idx="9">
                  <c:v>157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34</c:v>
                </c:pt>
                <c:pt idx="1">
                  <c:v>41</c:v>
                </c:pt>
                <c:pt idx="2">
                  <c:v>22</c:v>
                </c:pt>
                <c:pt idx="3">
                  <c:v>35</c:v>
                </c:pt>
                <c:pt idx="4">
                  <c:v>40</c:v>
                </c:pt>
                <c:pt idx="5">
                  <c:v>43</c:v>
                </c:pt>
                <c:pt idx="6">
                  <c:v>40</c:v>
                </c:pt>
                <c:pt idx="7">
                  <c:v>30</c:v>
                </c:pt>
                <c:pt idx="8">
                  <c:v>32</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138521</c:v>
                </c:pt>
                <c:pt idx="1">
                  <c:v>196164</c:v>
                </c:pt>
                <c:pt idx="2">
                  <c:v>202020</c:v>
                </c:pt>
                <c:pt idx="3">
                  <c:v>195191</c:v>
                </c:pt>
                <c:pt idx="4">
                  <c:v>188294</c:v>
                </c:pt>
                <c:pt idx="5">
                  <c:v>265314</c:v>
                </c:pt>
                <c:pt idx="6">
                  <c:v>263283</c:v>
                </c:pt>
                <c:pt idx="7">
                  <c:v>375424</c:v>
                </c:pt>
                <c:pt idx="8">
                  <c:v>395180</c:v>
                </c:pt>
                <c:pt idx="9">
                  <c:v>402309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153156</c:v>
                </c:pt>
                <c:pt idx="1">
                  <c:v>210595</c:v>
                </c:pt>
                <c:pt idx="2">
                  <c:v>226147</c:v>
                </c:pt>
                <c:pt idx="3">
                  <c:v>198124</c:v>
                </c:pt>
                <c:pt idx="4">
                  <c:v>197289</c:v>
                </c:pt>
                <c:pt idx="5">
                  <c:v>303360</c:v>
                </c:pt>
                <c:pt idx="6">
                  <c:v>362963</c:v>
                </c:pt>
                <c:pt idx="7">
                  <c:v>369642</c:v>
                </c:pt>
                <c:pt idx="8">
                  <c:v>398656</c:v>
                </c:pt>
                <c:pt idx="9">
                  <c:v>445185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110</c:v>
                </c:pt>
                <c:pt idx="1">
                  <c:v>140.2</c:v>
                </c:pt>
                <c:pt idx="2">
                  <c:v>131.7</c:v>
                </c:pt>
                <c:pt idx="3">
                  <c:v>105.6</c:v>
                </c:pt>
                <c:pt idx="4">
                  <c:v>99.8</c:v>
                </c:pt>
                <c:pt idx="5">
                  <c:v>133.9</c:v>
                </c:pt>
                <c:pt idx="6">
                  <c:v>116.2</c:v>
                </c:pt>
                <c:pt idx="7">
                  <c:v>94.7</c:v>
                </c:pt>
                <c:pt idx="8">
                  <c:v>101.6</c:v>
                </c:pt>
                <c:pt idx="9">
                  <c:v>94.6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12.9</c:v>
                </c:pt>
                <c:pt idx="1">
                  <c:v>16.4</c:v>
                </c:pt>
                <c:pt idx="2">
                  <c:v>15.2</c:v>
                </c:pt>
                <c:pt idx="3">
                  <c:v>11.8</c:v>
                </c:pt>
                <c:pt idx="4">
                  <c:v>10.7</c:v>
                </c:pt>
                <c:pt idx="5">
                  <c:v>14.8</c:v>
                </c:pt>
                <c:pt idx="6">
                  <c:v>15.6</c:v>
                </c:pt>
                <c:pt idx="7">
                  <c:v>14</c:v>
                </c:pt>
                <c:pt idx="8">
                  <c:v>13.5</c:v>
                </c:pt>
                <c:pt idx="9">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-4.71</c:v>
                </c:pt>
                <c:pt idx="1">
                  <c:v>-4.12</c:v>
                </c:pt>
                <c:pt idx="2">
                  <c:v>-4.33</c:v>
                </c:pt>
                <c:pt idx="3">
                  <c:v>-5.5</c:v>
                </c:pt>
                <c:pt idx="4">
                  <c:v>-6.04</c:v>
                </c:pt>
                <c:pt idx="5">
                  <c:v>-4.52</c:v>
                </c:pt>
                <c:pt idx="6">
                  <c:v>-4.17</c:v>
                </c:pt>
                <c:pt idx="7">
                  <c:v>-4.77</c:v>
                </c:pt>
                <c:pt idx="8">
                  <c:v>-4.81</c:v>
                </c:pt>
                <c:pt idx="9">
                  <c:v>-4.86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12127</c:v>
                </c:pt>
                <c:pt idx="1">
                  <c:v>15158</c:v>
                </c:pt>
                <c:pt idx="2">
                  <c:v>18189</c:v>
                </c:pt>
                <c:pt idx="3">
                  <c:v>24252</c:v>
                </c:pt>
                <c:pt idx="4">
                  <c:v>48505</c:v>
                </c:pt>
                <c:pt idx="5">
                  <c:v>48505</c:v>
                </c:pt>
                <c:pt idx="6">
                  <c:v>60631</c:v>
                </c:pt>
                <c:pt idx="7">
                  <c:v>72757</c:v>
                </c:pt>
                <c:pt idx="8">
                  <c:v>78820</c:v>
                </c:pt>
                <c:pt idx="9">
                  <c:v>109136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462</c:v>
                </c:pt>
                <c:pt idx="1">
                  <c:v>45</c:v>
                </c:pt>
                <c:pt idx="2">
                  <c:v>31</c:v>
                </c:pt>
                <c:pt idx="3">
                  <c:v>43</c:v>
                </c:pt>
                <c:pt idx="4">
                  <c:v>26</c:v>
                </c:pt>
                <c:pt idx="5">
                  <c:v>22</c:v>
                </c:pt>
                <c:pt idx="6">
                  <c:v>10</c:v>
                </c:pt>
                <c:pt idx="7">
                  <c:v>23</c:v>
                </c:pt>
                <c:pt idx="8">
                  <c:v>19</c:v>
                </c:pt>
                <c:pt idx="9">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4</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T.T Corporation (株式会社ティ・ティ), sociedad patrimonial del fundador</c:v>
                </c:pt>
                <c:pt idx="1">
                  <c:v>Takemitsu Takizaki (fundador)</c:v>
                </c:pt>
                <c:pt idx="2">
                  <c:v>Fundación Keyence (公益財団法人キーエンス財団)</c:v>
                </c:pt>
                <c:pt idx="3">
                  <c:v>The Master Trust Bank of Japan (cuenta fiduciaria)</c:v>
                </c:pt>
                <c:pt idx="4">
                  <c:v>Custody Bank of Japan (cuenta fiduciaria)</c:v>
                </c:pt>
                <c:pt idx="5">
                  <c:v>Grupo BlackRock (último informe de participación significativa)</c:v>
                </c:pt>
                <c:pt idx="6">
                  <c:v>State Street Bank and Trust Company 505001</c:v>
                </c:pt>
                <c:pt idx="7">
                  <c:v>The Bank of New York Mellon 140042</c:v>
                </c:pt>
                <c:pt idx="8">
                  <c:v>BNYM as Agent/Clients Non Treaty JASDEC</c:v>
                </c:pt>
                <c:pt idx="9">
                  <c:v>Government of Norway</c:v>
                </c:pt>
                <c:pt idx="10">
                  <c:v>State Street Bank and Trust Company 505103</c:v>
                </c:pt>
                <c:pt idx="11">
                  <c:v>Autocartera</c:v>
                </c:pt>
              </c:strCache>
            </c:strRef>
          </c:cat>
          <c:val>
            <c:numRef>
              <c:f>Hoja1!$B$2:$B$13</c:f>
              <c:numCache>
                <c:formatCode>0.0"%"</c:formatCode>
                <c:ptCount val="12"/>
                <c:pt idx="0">
                  <c:v>15.07</c:v>
                </c:pt>
                <c:pt idx="1">
                  <c:v>3.15</c:v>
                </c:pt>
                <c:pt idx="2">
                  <c:v>4.57</c:v>
                </c:pt>
                <c:pt idx="3">
                  <c:v>12.8</c:v>
                </c:pt>
                <c:pt idx="4">
                  <c:v>7.33</c:v>
                </c:pt>
                <c:pt idx="5">
                  <c:v>5.09</c:v>
                </c:pt>
                <c:pt idx="6">
                  <c:v>2.6</c:v>
                </c:pt>
                <c:pt idx="7">
                  <c:v>1.88</c:v>
                </c:pt>
                <c:pt idx="8">
                  <c:v>1.65</c:v>
                </c:pt>
                <c:pt idx="9">
                  <c:v>1.49</c:v>
                </c:pt>
                <c:pt idx="10">
                  <c:v>1.38</c:v>
                </c:pt>
                <c:pt idx="11">
                  <c:v>0.28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57.8</c:v>
                </c:pt>
                <c:pt idx="2">
                  <c:v>-11.6</c:v>
                </c:pt>
                <c:pt idx="3">
                  <c:v>38.7</c:v>
                </c:pt>
                <c:pt idx="4">
                  <c:v>51.5</c:v>
                </c:pt>
                <c:pt idx="5">
                  <c:v>25</c:v>
                </c:pt>
                <c:pt idx="6">
                  <c:v>-28.5</c:v>
                </c:pt>
                <c:pt idx="7">
                  <c:v>21.4</c:v>
                </c:pt>
                <c:pt idx="8">
                  <c:v>4.5</c:v>
                </c:pt>
                <c:pt idx="9">
                  <c:v>-11.6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19.6</c:v>
                </c:pt>
                <c:pt idx="2">
                  <c:v>22.8</c:v>
                </c:pt>
                <c:pt idx="3">
                  <c:v>21.5</c:v>
                </c:pt>
                <c:pt idx="4">
                  <c:v>24.1</c:v>
                </c:pt>
                <c:pt idx="5">
                  <c:v>36.8</c:v>
                </c:pt>
                <c:pt idx="6">
                  <c:v>28</c:v>
                </c:pt>
                <c:pt idx="7">
                  <c:v>26.5</c:v>
                </c:pt>
                <c:pt idx="8">
                  <c:v>28.4</c:v>
                </c:pt>
                <c:pt idx="9">
                  <c:v>20.3</c:v>
                </c:pt>
                <c:pt idx="10">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23.5</c:v>
                </c:pt>
                <c:pt idx="1">
                  <c:v>23.5</c:v>
                </c:pt>
                <c:pt idx="2">
                  <c:v>23.5</c:v>
                </c:pt>
                <c:pt idx="3">
                  <c:v>23.5</c:v>
                </c:pt>
                <c:pt idx="4">
                  <c:v>23.5</c:v>
                </c:pt>
                <c:pt idx="5">
                  <c:v>23.5</c:v>
                </c:pt>
                <c:pt idx="6">
                  <c:v>23.5</c:v>
                </c:pt>
                <c:pt idx="7">
                  <c:v>23.5</c:v>
                </c:pt>
                <c:pt idx="8">
                  <c:v>23.5</c:v>
                </c:pt>
                <c:pt idx="9">
                  <c:v>23.5</c:v>
                </c:pt>
                <c:pt idx="10">
                  <c:v>23.5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Keyence</c:v>
                </c:pt>
                <c:pt idx="1">
                  <c:v>Cognex</c:v>
                </c:pt>
                <c:pt idx="2">
                  <c:v>Omron</c:v>
                </c:pt>
                <c:pt idx="3">
                  <c:v>SMC</c:v>
                </c:pt>
                <c:pt idx="4">
                  <c:v>Fanuc</c:v>
                </c:pt>
                <c:pt idx="5">
                  <c:v>Hexagon</c:v>
                </c:pt>
                <c:pt idx="6">
                  <c:v>Mettler-Toledo</c:v>
                </c:pt>
                <c:pt idx="7">
                  <c:v>Rockwell Automation</c:v>
                </c:pt>
              </c:strCache>
            </c:strRef>
          </c:cat>
          <c:val>
            <c:numRef>
              <c:f>Hoja1!$B$2:$B$9</c:f>
              <c:numCache>
                <c:formatCode>0.0"x"</c:formatCode>
                <c:ptCount val="8"/>
                <c:pt idx="0">
                  <c:v>19.8</c:v>
                </c:pt>
                <c:pt idx="1">
                  <c:v>27.2</c:v>
                </c:pt>
                <c:pt idx="2">
                  <c:v>8.8</c:v>
                </c:pt>
                <c:pt idx="3">
                  <c:v>11.4</c:v>
                </c:pt>
                <c:pt idx="4">
                  <c:v>17.6</c:v>
                </c:pt>
                <c:pt idx="5">
                  <c:v>15.4</c:v>
                </c:pt>
                <c:pt idx="6">
                  <c:v>23.4</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Keyence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17.2</c:v>
                </c:pt>
              </c:numCache>
            </c:numRef>
          </c:xVal>
          <c:yVal>
            <c:numRef>
              <c:f>Hoja1!$C$2</c:f>
              <c:numCache>
                <c:formatCode>0.0"x"</c:formatCode>
                <c:ptCount val="1"/>
                <c:pt idx="0">
                  <c:v>19.8</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Omron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8.8</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11.4</c:v>
                </c:pt>
              </c:numCache>
            </c:numRef>
          </c:yVal>
          <c:smooth val="0"/>
        </c:ser>
        <c:ser>
          <c:idx val="4"/>
          <c:order val="4"/>
          <c:tx>
            <c:strRef>
              <c:f>Hoja1!$A$6</c:f>
              <c:strCache>
                <c:ptCount val="1"/>
                <c:pt idx="0">
                  <c:v>Fanuc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9.7</c:v>
                </c:pt>
              </c:numCache>
            </c:numRef>
          </c:xVal>
          <c:yVal>
            <c:numRef>
              <c:f>Hoja1!$C$6</c:f>
              <c:numCache>
                <c:formatCode>0.0"x"</c:formatCode>
                <c:ptCount val="1"/>
                <c:pt idx="0">
                  <c:v>17.6</c:v>
                </c:pt>
              </c:numCache>
            </c:numRef>
          </c:yVal>
          <c:smooth val="0"/>
        </c:ser>
        <c:ser>
          <c:idx val="5"/>
          <c:order val="5"/>
          <c:tx>
            <c:strRef>
              <c:f>Hoja1!$A$7</c:f>
              <c:strCache>
                <c:ptCount val="1"/>
                <c:pt idx="0">
                  <c:v>Hexagon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11.3</c:v>
                </c:pt>
              </c:numCache>
            </c:numRef>
          </c:xVal>
          <c:yVal>
            <c:numRef>
              <c:f>Hoja1!$C$7</c:f>
              <c:numCache>
                <c:formatCode>0.0"x"</c:formatCode>
                <c:ptCount val="1"/>
                <c:pt idx="0">
                  <c:v>15.4</c:v>
                </c:pt>
              </c:numCache>
            </c:numRef>
          </c:yVal>
          <c:smooth val="0"/>
        </c:ser>
        <c:ser>
          <c:idx val="6"/>
          <c:order val="6"/>
          <c:tx>
            <c:strRef>
              <c:f>Hoja1!$A$8</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23.4</c:v>
                </c:pt>
              </c:numCache>
            </c:numRef>
          </c:yVal>
          <c:smooth val="0"/>
        </c:ser>
        <c:ser>
          <c:idx val="7"/>
          <c:order val="7"/>
          <c:tx>
            <c:strRef>
              <c:f>Hoja1!$A$9</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5.8</c:v>
                </c:pt>
              </c:numCache>
            </c:numRef>
          </c:xVal>
          <c:yVal>
            <c:numRef>
              <c:f>Hoja1!$C$9</c:f>
              <c:numCache>
                <c:formatCode>0.0"x"</c:formatCode>
                <c:ptCount val="1"/>
                <c:pt idx="0">
                  <c:v>21.8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ISRA Vision (visión artificial, Alemania)</c:v>
                </c:pt>
                <c:pt idx="1">
                  <c:v>FLIR Systems (cámaras térmicas y sensores)</c:v>
                </c:pt>
                <c:pt idx="2">
                  <c:v>National Instruments (NI, prueba y medida)</c:v>
                </c:pt>
                <c:pt idx="3">
                  <c:v>Altair Engineering (software de simulación)</c:v>
                </c:pt>
                <c:pt idx="4">
                  <c:v>AspenTech (software de optimización de procesos), 43 % restante</c:v>
                </c:pt>
              </c:strCache>
            </c:strRef>
          </c:cat>
          <c:val>
            <c:numRef>
              <c:f>Hoja1!$B$2:$B$6</c:f>
              <c:numCache>
                <c:formatCode>0.0"x"</c:formatCode>
                <c:ptCount val="5"/>
                <c:pt idx="1">
                  <c:v>19.4</c:v>
                </c:pt>
                <c:pt idx="2">
                  <c:v>30.4</c:v>
                </c:pt>
                <c:pt idx="4">
                  <c:v>41.6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410469</c:v>
                </c:pt>
                <c:pt idx="1">
                  <c:v>520080</c:v>
                </c:pt>
                <c:pt idx="2">
                  <c:v>569609</c:v>
                </c:pt>
                <c:pt idx="3">
                  <c:v>589787</c:v>
                </c:pt>
                <c:pt idx="4">
                  <c:v>582392</c:v>
                </c:pt>
                <c:pt idx="5">
                  <c:v>648813</c:v>
                </c:pt>
                <c:pt idx="6">
                  <c:v>697742</c:v>
                </c:pt>
                <c:pt idx="7">
                  <c:v>754153</c:v>
                </c:pt>
                <c:pt idx="8">
                  <c:v>803804</c:v>
                </c:pt>
                <c:pt idx="9">
                  <c:v>844657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4151584</c:v>
                </c:pt>
                <c:pt idx="1">
                  <c:v>6657900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81.490,00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40674.81</c:v>
                </c:pt>
                <c:pt idx="1">
                  <c:v>57330.19</c:v>
                </c:pt>
                <c:pt idx="2">
                  <c:v>78168.11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(51.935,87 – 64.834,39)</c:v>
                </c:pt>
                <c:pt idx="6">
                  <c:v>Escenarios (bajista – alcista) (40.674,81 – 78.168,11)</c:v>
                </c:pt>
                <c:pt idx="7">
                  <c:v>Precio actual (81.490,00)</c:v>
                </c:pt>
              </c:strCache>
            </c:strRef>
          </c:cat>
          <c:val>
            <c:numRef>
              <c:f>Hoja1!$B$2:$B$9</c:f>
              <c:numCache>
                <c:formatCode>#,##0</c:formatCode>
                <c:ptCount val="8"/>
                <c:pt idx="0">
                  <c:v>51510</c:v>
                </c:pt>
                <c:pt idx="1">
                  <c:v>77000</c:v>
                </c:pt>
                <c:pt idx="2">
                  <c:v>59363.76</c:v>
                </c:pt>
                <c:pt idx="3">
                  <c:v>59242.41</c:v>
                </c:pt>
                <c:pt idx="4">
                  <c:v>81718.92</c:v>
                </c:pt>
                <c:pt idx="5">
                  <c:v>51935.87</c:v>
                </c:pt>
                <c:pt idx="6">
                  <c:v>40674.81</c:v>
                </c:pt>
                <c:pt idx="7">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(51.935,87 – 64.834,39)</c:v>
                </c:pt>
                <c:pt idx="6">
                  <c:v>Escenarios (bajista – alcista) (40.674,81 – 78.168,11)</c:v>
                </c:pt>
                <c:pt idx="7">
                  <c:v>Precio actual (81.490,00)</c:v>
                </c:pt>
              </c:strCache>
            </c:strRef>
          </c:cat>
          <c:val>
            <c:numRef>
              <c:f>Hoja1!$C$2:$C$9</c:f>
              <c:numCache>
                <c:formatCode>#,##0</c:formatCode>
                <c:ptCount val="8"/>
                <c:pt idx="0">
                  <c:v>36410</c:v>
                </c:pt>
                <c:pt idx="1">
                  <c:v>43000</c:v>
                </c:pt>
                <c:pt idx="2">
                  <c:v>31996.879999999997</c:v>
                </c:pt>
                <c:pt idx="3">
                  <c:v>18962.53</c:v>
                </c:pt>
                <c:pt idx="4">
                  <c:v>30740.90000000001</c:v>
                </c:pt>
                <c:pt idx="5">
                  <c:v>12898.519999999997</c:v>
                </c:pt>
                <c:pt idx="6">
                  <c:v>37493.3</c:v>
                </c:pt>
                <c:pt idx="7">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2026-10-07T08:38:35.170Z</dcterms:created>
  <dcterms:modified xsi:type="dcterms:W3CDTF">2026-10-07T08:38:35.171Z</dcterms:modified>
</cp:coreProperties>
</file>

<file path=docProps/custom.xml><?xml version="1.0" encoding="utf-8"?>
<Properties xmlns="http://schemas.openxmlformats.org/officeDocument/2006/custom-properties" xmlns:vt="http://schemas.openxmlformats.org/officeDocument/2006/docPropsVTypes"/>
</file>