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Airtel Africa plc</w:t>
      </w:r>
    </w:p>
    <w:p>
      <w:pPr>
        <w:spacing w:after="60"/>
        <w:rPr>
          <w:color w:val="52514E"/>
          <w:sz w:val="22"/>
          <w:szCs w:val="22"/>
        </w:rPr>
      </w:pPr>
      <w:r>
        <w:rPr>
          <w:color w:val="52514E"/>
          <w:sz w:val="22"/>
          <w:szCs w:val="22"/>
        </w:rPr>
        <w:t xml:space="preserve">AAF · London Stock Exchange (también Nigerian Exchange) · ISIN GB00BKDRYJ47 · Communication Services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3,75 USD (280,60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4,04 USD (302,70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+9,6 % (base +25,0 %)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3,36 USD (251,75 GBp) · mercado 3,68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13.573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5,2x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Airtel Africa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AAF / GB00BKDRYJ47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(también Nigerian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Communication Services / Wireless Telecommunication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Londres · 2010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https://airtel.africa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 5,82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3.624,2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13.573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21.320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3,7 M de acciones al día (≈ 16 M USD, 3 meses)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4,04 USD (302,70 GBp)</w:t>
      </w:r>
      <w:r>
        <w:t xml:space="preserve"> frente a 3,75 (280,60 GBp) · Rentabilidad a 12 meses </w:t>
      </w:r>
      <w:r>
        <w:rPr>
          <w:b/>
          <w:bCs/>
        </w:rPr>
        <w:t xml:space="preserve">+9,6 % (base +25,0 %)</w:t>
      </w:r>
      <w:r>
        <w:t xml:space="preserve"> · Valor intrínseco 3,36 USD (251,75 GBp) · con la prima implícita del mercado: 3,68 (275,72 GBp) (-1,7 %) · Alcista / bajista +13,5 % / -62,6 %</w:t>
      </w:r>
    </w:p>
    <w:p>
      <w:pPr>
        <w:spacing w:after="100"/>
      </w:pPr>
      <w:r>
        <w:rPr>
          <w:b/>
        </w:rPr>
        <w:t xml:space="preserve">La recomendación y por qué.</w:t>
      </w:r>
      <w:r>
        <w:t xml:space="preserve"> Mantener, con convicción baja. El objetivo a 12 meses es de 4,04 USD (≈ 303 peniques), un 9,6 % de rentabilidad ponderada con dividendo, y el del caso base de 4,61 USD (+25,0 %); el valor intrínseco es de 3,36 USD, un 10 % por debajo del precio (3,7451 USD, 280,6 peniques). No llega a comprar por dos razones: la ponderada no alcanza el 15 % y el valor intrínseco queda por debajo del precio. El objetivo medio de los analistas (399 peniques) está por encima de nuestro rango. La convicción es baja porque las reglas discrepan (Vender con nuestro WACC, Mantener con la prima del mercado); subiría con unos resultados del 1S que mantengan el margen por encima del 48 % y la naira estable.</w:t>
      </w:r>
    </w:p>
    <w:p>
      <w:pPr>
        <w:spacing w:after="100"/>
      </w:pPr>
      <w:r>
        <w:rPr>
          <w:b/>
        </w:rPr>
        <w:t xml:space="preserve">El negocio.</w:t>
      </w:r>
      <w:r>
        <w:t xml:space="preserve"> Segundo operador móvil de África por clientes (189 M a 30-jun-2026) y dueño del 77,85 % de Airtel Money, que cotiza en Londres desde el 9-oct-2026 por ≈ 6.600 M USD [35]. Margen EBITDA del 49,3 % en FY2026 [2]. El ROIC con el fondo de comercio de Zain es del 14,5 %, solo 0,8 puntos sobre el WACC del 13,7 %: la calidad no pasa el umbral de 5 puntos. La prueba de sostenibilidad da «Sí»: el 10,8 % anual proyectado en dólares está por debajo del histórico en moneda constante y la cuota implícita sube de forma razonable del 10,6 % al 13,4 %.</w:t>
      </w:r>
    </w:p>
    <w:p>
      <w:pPr>
        <w:spacing w:after="100"/>
      </w:pPr>
      <w:r>
        <w:rPr>
          <w:b/>
        </w:rPr>
        <w:t xml:space="preserve">Finanzas.</w:t>
      </w:r>
      <w:r>
        <w:t xml:space="preserve"> Los ingresos crecieron un 29,5 % en dólares en FY2026 y un 31 % en el 1T FY2027 [2, 3], ayudados por la naira y por la subida de tarifas de Nigeria. La deuda neta con arrendamientos es de 5.739 M (1,7 veces el EBITDA). La matriz casi no tiene ya deuda en dólares, que fue lo que hundió la acción en 2023-2024 [4].</w:t>
      </w:r>
    </w:p>
    <w:p>
      <w:pPr>
        <w:spacing w:after="100"/>
      </w:pPr>
      <w:r>
        <w:rPr>
          <w:b/>
        </w:rPr>
        <w:t xml:space="preserve">Equipo y gobierno.</w:t>
      </w:r>
      <w:r>
        <w:t xml:space="preserve"> Bharti Airtel controla el 79,22 % desde junio, tras comprar el 16,31 % de la familia Mittal con un descuento del 11,6 % y sin oferta a los minoritarios [21, 38]. El flotante es del 20,6 %. El gobierno es aceptable (60 % de consejeros independientes, 11 de 13 criterios), pero el control resta: decide el tamaño de la salida a bolsa de la filial y el destino de la caja.</w:t>
      </w:r>
    </w:p>
    <w:p>
      <w:pPr>
        <w:spacing w:after="100"/>
      </w:pPr>
      <w:r>
        <w:rPr>
          <w:b/>
        </w:rPr>
        <w:t xml:space="preserve">Valoración.</w:t>
      </w:r>
      <w:r>
        <w:t xml:space="preserve"> El DCF da 3,34 USD; el precio descuenta un 11,9 % de crecimiento anual en dólares y una rentabilidad del 13,0 %, por debajo de nuestro WACC. La suma de partes cotizadas da 4,19 USD; los comparables africanos, 2,9-3,2. El PER adelantado (14,7) está en su mediana, tras años de 7-9 veces.</w:t>
      </w:r>
    </w:p>
    <w:p>
      <w:pPr>
        <w:spacing w:after="100"/>
      </w:pPr>
      <w:r>
        <w:rPr>
          <w:b/>
        </w:rPr>
        <w:t xml:space="preserve">Riesgos y catalizadores.</w:t>
      </w:r>
      <w:r>
        <w:t xml:space="preserve"> El mayor es la divisa: una devaluación como la de 2023-2024 lleva el valor a 1,40 USD (−63 %), y la asimetría es de 0,22 veces. Le siguen el riesgo regulatorio en Nigeria, con elecciones a principios de 2027, y el valor en bolsa de Airtel Money. El riesgo de IA es bajo. Hay catalizadores con fecha: Airtel Money publica el 26-oct y Airtel Africa hacia el 28-oct. La regla 13 dice «retrasa» hasta esos resultados, porque la tendencia es bajista (−18 % frente a la media de 200 sesiones).</w:t>
      </w:r>
    </w:p>
    <w:p>
      <w:pPr>
        <w:spacing w:after="100"/>
      </w:pPr>
      <w:r>
        <w:rPr>
          <w:b/>
        </w:rPr>
        <w:t xml:space="preserve">Qué cambiaría la decisión.</w:t>
      </w:r>
      <w:r>
        <w:t xml:space="preserve"> Comprar por debajo de 3,36 USD (≈ 252 peniques) si la calidad mejorase; vender por encima de 4,56 USD (≈ 342 peniques). Pasaríamos a Vender si la naira cae más de un 20 % o el margen baja del 46 %.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4,04 USD (302,70 GBp)</w:t>
      </w:r>
      <w:r>
        <w:t xml:space="preserve"> (rentabilidad +9,6 % (base +25,0 %)) · Valor intrínseco: 3,36 USD (251,75 GBp) (-10,3 % sobre 3,75) · con la prima implícita del mercado: 3,68 (275,72 GBp) (-1,7 %)</w:t>
      </w:r>
    </w:p>
    <w:p>
      <w:pPr>
        <w:spacing w:after="100"/>
      </w:pPr>
      <w:r>
        <w:t xml:space="preserve">Airtel Africa es el segundo operador móvil de África, con 14 países, ≈ 189 M de clientes y un margen EBITDA del 49,3 %, y controla Airtel Money, la segunda red de dinero móvil del continente, que cotiza aparte desde octubre de 2026 por ≈ 7.000 M USD [2, 35]. Crece un 20 % al año en moneda local con datos y pagos.</w:t>
      </w:r>
    </w:p>
    <w:p>
      <w:pPr>
        <w:spacing w:after="100"/>
      </w:pPr>
      <w:r>
        <w:t xml:space="preserve">El precio (280,6 peniques) descuenta un crecimiento del 11,9 % anual en dólares hasta FY2034e y una rentabilidad implícita del 13,0 %, por debajo de nuestro WACC del 13,7 %. Cotiza a 6,3 veces el EBITDA de los últimos 12 meses, en el percentil 80 de su historia y por encima de MTN (4,9) y Vodacom (7,1 con menos riesgo) [29].</w:t>
      </w:r>
    </w:p>
    <w:p>
      <w:pPr>
        <w:spacing w:after="100"/>
      </w:pPr>
      <w:r>
        <w:t xml:space="preserve">El mercado acierta en lo esencial: el negocio es bueno en moneda local, pero el accionista cobra en dólares y la historia de 2023-2024 enseña que una devaluación se come dos años de crecimiento. Para invertir hay que creer que las monedas africanas, y sobre todo la naira, se mantendrán estables y que Airtel Money conserva su valor en bolsa. A este precio no se paga bien ese riesgo.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USD (302,70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 × 0,24 = 1,75 · 13,9x × 0,33 = 4,61 · 13,9x × 0,37 = 5,17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 25,0 %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 (nuestro base -13,5 %)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USD (251,75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0,0133 USD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USD (280,60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 / -62,6 %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 frente a 13,7 % y 12,8 %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12,8 %)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USD (275,72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 frente a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(10,8 %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3,36 (251,75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3,36 y 4,56 (251,75 y 341,66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4,56 (341,66 GBp)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acción baja de 252 peniques (3,36 USD) con monedas estables, el valor intrínseco quedaría por encima del precio (pero la calidad seguiría por debajo del umbral).</w:t>
      </w:r>
    </w:p>
    <w:p>
      <w:pPr>
        <w:pStyle w:val="ListParagraph"/>
        <w:numPr>
          <w:ilvl w:val="0"/>
          <w:numId w:val="2"/>
        </w:numPr>
        <w:spacing w:after="60"/>
      </w:pPr>
      <w:r>
        <w:t xml:space="preserve">Si el margen EBITDA del 1S FY2027 baja del 46 %, pasaríamos a Vender.</w:t>
      </w:r>
    </w:p>
    <w:p>
      <w:pPr>
        <w:pStyle w:val="ListParagraph"/>
        <w:numPr>
          <w:ilvl w:val="0"/>
          <w:numId w:val="2"/>
        </w:numPr>
        <w:spacing w:after="60"/>
      </w:pPr>
      <w:r>
        <w:t xml:space="preserve">Si la naira se deprecia más de un 20 % en seis meses, pasaríamos a Vender.</w:t>
      </w:r>
    </w:p>
    <w:p>
      <w:pPr>
        <w:pStyle w:val="ListParagraph"/>
        <w:numPr>
          <w:ilvl w:val="0"/>
          <w:numId w:val="2"/>
        </w:numPr>
        <w:spacing w:after="60"/>
      </w:pPr>
      <w:r>
        <w:t xml:space="preserve">Si Bharti anuncia una oferta por el 20,8 % restante, revisaríamos según el precio.</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en dólares cercano al 12 % anual durante ocho años, con las monedas de hoy y Airtel Money a precio de mercado; el consenso sube los BPA de FY2028 (34,4 centavos).</w:t>
      </w:r>
    </w:p>
    <w:p>
      <w:pPr>
        <w:keepNext/>
        <w:spacing w:after="100"/>
      </w:pPr>
      <w:r>
        <w:rPr>
          <w:b/>
          <w:bCs/>
        </w:rPr>
        <w:t xml:space="preserve">Lo que creemos nosotros.</w:t>
      </w:r>
    </w:p>
    <w:p>
      <w:pPr>
        <w:spacing w:after="100"/>
      </w:pPr>
      <w:r>
        <w:t xml:space="preserve">El crecimiento en moneda local es real, pero en dólares será menor (10,8 %) porque las monedas africanas se devalúan de media 2-4 puntos al año; nuestro BPA de FY2028e (27,8 centavos) queda un 19 % por debajo del consenso.</w:t>
      </w:r>
    </w:p>
    <w:p>
      <w:pPr>
        <w:keepNext/>
        <w:spacing w:after="100"/>
      </w:pPr>
      <w:r>
        <w:rPr>
          <w:b/>
          <w:bCs/>
        </w:rPr>
        <w:t xml:space="preserve">Por qué podemos tener razón.</w:t>
      </w:r>
    </w:p>
    <w:p>
      <w:pPr>
        <w:spacing w:after="100"/>
      </w:pPr>
      <w:r>
        <w:t xml:space="preserve">Los analistas extrapolan las monedas de hoy. Entre FY2021 y FY2026 los ingresos crecieron ≈ 20 % al año en moneda constante y solo un 10,4 % en dólares [13].</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local fuerte</w:t>
      </w:r>
      <w:r>
        <w:t xml:space="preserve">: ingresos +21,1 % en moneda constante en el 1T FY2027 [3].</w:t>
      </w:r>
    </w:p>
    <w:p>
      <w:pPr>
        <w:pStyle w:val="ListParagraph"/>
        <w:numPr>
          <w:ilvl w:val="0"/>
          <w:numId w:val="2"/>
        </w:numPr>
        <w:spacing w:after="60"/>
      </w:pPr>
      <w:r>
        <w:rPr>
          <w:b/>
        </w:rPr>
        <w:t xml:space="preserve">Margen alto</w:t>
      </w:r>
      <w:r>
        <w:t xml:space="preserve">: EBITDA del 49,3 % en FY2026, por encima de MTN y Vodacom [2, 29].</w:t>
      </w:r>
    </w:p>
    <w:p>
      <w:pPr>
        <w:pStyle w:val="ListParagraph"/>
        <w:numPr>
          <w:ilvl w:val="0"/>
          <w:numId w:val="2"/>
        </w:numPr>
        <w:spacing w:after="60"/>
      </w:pPr>
      <w:r>
        <w:rPr>
          <w:b/>
        </w:rPr>
        <w:t xml:space="preserve">Airtel Money cotiza</w:t>
      </w:r>
      <w:r>
        <w:t xml:space="preserve">: su 77,85 % vale ≈ 5.100 M USD, el 38 % de la capitalización [35].</w:t>
      </w:r>
    </w:p>
    <w:p>
      <w:pPr>
        <w:pStyle w:val="ListParagraph"/>
        <w:numPr>
          <w:ilvl w:val="0"/>
          <w:numId w:val="2"/>
        </w:numPr>
        <w:spacing w:after="60"/>
      </w:pPr>
      <w:r>
        <w:rPr>
          <w:b/>
        </w:rPr>
        <w:t xml:space="preserve">Deuda en dólares de la matriz reducida</w:t>
      </w:r>
      <w:r>
        <w:t xml:space="preserve">: la deuda bruta ya está en las monedas locales [4].</w:t>
      </w:r>
    </w:p>
    <w:p>
      <w:pPr>
        <w:pStyle w:val="ListParagraph"/>
        <w:numPr>
          <w:ilvl w:val="0"/>
          <w:numId w:val="2"/>
        </w:numPr>
        <w:spacing w:after="60"/>
      </w:pPr>
      <w:r>
        <w:rPr>
          <w:b/>
        </w:rPr>
        <w:t xml:space="preserve">Riesgo de IA bajo</w:t>
      </w:r>
      <w:r>
        <w:t xml:space="preserve">: negocio de redes físicas y licencias.</w:t>
      </w:r>
    </w:p>
    <w:p>
      <w:pPr>
        <w:pStyle w:val="Heading2"/>
      </w:pPr>
      <w:r>
        <w:t xml:space="preserve">En contra</w:t>
      </w:r>
    </w:p>
    <w:p>
      <w:pPr>
        <w:pStyle w:val="ListParagraph"/>
        <w:numPr>
          <w:ilvl w:val="0"/>
          <w:numId w:val="2"/>
        </w:numPr>
        <w:spacing w:after="60"/>
      </w:pPr>
      <w:r>
        <w:rPr>
          <w:b/>
        </w:rPr>
        <w:t xml:space="preserve">Divisa</w:t>
      </w:r>
      <w:r>
        <w:t xml:space="preserve">: el bajista (devaluación) deja el valor en 1,40 USD (−63 %).</w:t>
      </w:r>
    </w:p>
    <w:p>
      <w:pPr>
        <w:pStyle w:val="ListParagraph"/>
        <w:numPr>
          <w:ilvl w:val="0"/>
          <w:numId w:val="2"/>
        </w:numPr>
        <w:spacing w:after="60"/>
      </w:pPr>
      <w:r>
        <w:rPr>
          <w:b/>
        </w:rPr>
        <w:t xml:space="preserve">Calidad justa</w:t>
      </w:r>
      <w:r>
        <w:t xml:space="preserve">: ROIC del 14,5 % frente a un WACC del 13,7 % (+0,8 puntos).</w:t>
      </w:r>
    </w:p>
    <w:p>
      <w:pPr>
        <w:pStyle w:val="ListParagraph"/>
        <w:numPr>
          <w:ilvl w:val="0"/>
          <w:numId w:val="2"/>
        </w:numPr>
        <w:spacing w:after="60"/>
      </w:pPr>
      <w:r>
        <w:rPr>
          <w:b/>
        </w:rPr>
        <w:t xml:space="preserve">Caro frente a su historia</w:t>
      </w:r>
      <w:r>
        <w:t xml:space="preserve">: EV/EBITDA de 6,3 veces, percentil 80 de 5 años.</w:t>
      </w:r>
    </w:p>
    <w:p>
      <w:pPr>
        <w:pStyle w:val="ListParagraph"/>
        <w:numPr>
          <w:ilvl w:val="0"/>
          <w:numId w:val="2"/>
        </w:numPr>
        <w:spacing w:after="60"/>
      </w:pPr>
      <w:r>
        <w:rPr>
          <w:b/>
        </w:rPr>
        <w:t xml:space="preserve">Control de Bharti (79,22 %)</w:t>
      </w:r>
      <w:r>
        <w:t xml:space="preserve">: compró con un descuento del 11,6 % y sin oferta a los minoritarios [38].</w:t>
      </w:r>
    </w:p>
    <w:p>
      <w:pPr>
        <w:pStyle w:val="ListParagraph"/>
        <w:numPr>
          <w:ilvl w:val="0"/>
          <w:numId w:val="2"/>
        </w:numPr>
        <w:spacing w:after="60"/>
      </w:pPr>
      <w:r>
        <w:rPr>
          <w:b/>
        </w:rPr>
        <w:t xml:space="preserve">Gasóleo</w:t>
      </w:r>
      <w:r>
        <w:t xml:space="preserve">: −2,5-3 puntos de margen en ritmo anual en el 1S FY2027 [3].</w:t>
      </w:r>
    </w:p>
    <w:p>
      <w:pPr>
        <w:pStyle w:val="Heading2"/>
      </w:pPr>
      <w:r>
        <w:t xml:space="preserve">Qué tiene que pasar para que la tesis funcione</w:t>
      </w:r>
    </w:p>
    <w:p>
      <w:pPr>
        <w:spacing w:after="100"/>
      </w:pPr>
      <w:r>
        <w:t xml:space="preserve">La tesis depende de que las monedas, sobre todo la naira, se mantengan estables durante las elecciones nigerianas de 2027 y de que el margen aguante el gasóleo. La señal de que no se cumple: una naira por encima de 1.700 por dólar (1.367 de media en el 1T FY2027), un crecimiento en dólares por debajo del 10 % en un trimestre o Airtel Money por debajo de 150 peniques.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 en moneda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 antes de las monedas.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Gasóleo y presión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Naira por dólar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 (media del 1T FY2027) [3]</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1.700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1/3 del EBITDA está en Nigeria.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Airtel Money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 peniques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 peniques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38 % de la capitalización.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en moneda fuerte de la matriz</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Mínima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Nuevas emisiones en dólares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 el riesgo de 2023-2024.</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6,3x / 5,2x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19,1x / 12,4x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El negocio nace como Celtel (1998), que Zain compró en 2005; Bharti Airtel adquirió en 2010 las operaciones africanas de Zain por 10.700 M USD [1]. Tras años de pérdidas y ventas de torres, se reorganizó con foco en datos y dinero móvil y salió a bolsa en Londres y Lagos en junio de 2019 a 80 peniques [1]. En 2021 vendió el 23 % de Airtel Money a TPG (The Rise Fund), Mastercard, QIA y Chimera por ≈ 650 M USD [1]. La devaluación de la naira de 2023-24 hundió los ingresos en dólares; la subida de tarifas de Nigeria de 2025 y la recuperación de la moneda llevaron la acción de 114 a 355 peniques en 2025 [2]. En 2026 Bharti subió al 79,2 % y Airtel Money salió a bolsa en Londres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Bharti Airtel compra las operaciones africanas de Zain (antes Celtel) por 10.700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Londres y Lagos a 80 peniques; entra en el FTSE 100 en 2022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TPG, Mastercard, QIA y Chimera compran ≈ 23 % de Airtel Money; ventas de torres en varios países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Devaluación de la naira: ingresos en dólares −5,3 % en FY2024 y pérdida neta de 165 M USD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Sunil Taldar consejero delegado (julio); renovación de contratos de torres que sube los arrendamientos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tarifas del 50 % en Nigeria (febrero); acuerdo con Starlink (diciembre) [1,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Bharti sube al 79,2 % (junio); Airtel Money cotiza en Londres desde el 14-oct a 196 peniques (≈ 7.000 M USD) [17].</w:t>
            </w:r>
          </w:p>
        </w:tc>
      </w:tr>
    </w:tbl>
    <w:p>
      <w:pPr>
        <w:spacing w:after="160" w:before="0"/>
      </w:pPr>
    </w:p>
    <w:p>
      <w:pPr>
        <w:pStyle w:val="Heading1"/>
      </w:pPr>
      <w:r>
        <w:t xml:space="preserve">2. Modelo de negocio</w:t>
      </w:r>
    </w:p>
    <w:p>
      <w:pPr>
        <w:spacing w:after="100"/>
      </w:pPr>
      <w:r>
        <w:t xml:space="preserve">Airtel Africa es el segundo operador de telefonía móvil de África por clientes: 183,5 millones en 14 países del África subsahariana a marzo de 2026 (189 millones en junio), con voz, datos móviles, banda ancha fija inalámbrica, servicios a empresas y dinero móvil (Airtel Money, 54,1 millones de clientes) [1, 2]. Opera en tres regiones: Nigeria (25 % de los ingresos), África Oriental (Kenia, Uganda, Tanzania, Ruanda, Zambia y Malawi; 47 %) y África francófona (RD del Congo, Congo, Gabón, Chad, Níger, Madagascar y Seychelles; 28 %) [2]. Vende sobre todo prepago a particulares a través de más de un millón de puntos de venta y agentes. Tiene 81.900 km de fibra y desplegó más de 3.250 emplazamientos en FY2026; las torres son en su mayoría de terceros (Helios, IHS, American Tower) en arrendamiento [1, 2]. Airtel Money (Airtel Mobile Commerce N.V.) cotiza en Londres desde el 14-oct-2026; Airtel Africa conserva el 77,85 % [17].</w:t>
      </w:r>
    </w:p>
    <w:p>
      <w:pPr>
        <w:pStyle w:val="Heading2"/>
      </w:pPr>
      <w:r>
        <w:t xml:space="preserve">Cómo gana dinero</w:t>
      </w:r>
    </w:p>
    <w:p>
      <w:pPr>
        <w:spacing w:after="100"/>
      </w:pPr>
      <w:r>
        <w:t xml:space="preserve">Casi todo es ingreso recurrente de prepago: voz (36 % en FY2026), datos (39 %), dinero móvil (21 %, 1.355 M USD antes de eliminaciones) y otros (7 %) [2]. El margen depende del volumen (clientes +10,5 %, datos por cliente +27 %), del precio (subidas de tarifa, sobre todo la de Nigeria de febrero de 2025) y de costes en dólares o indexados al dólar: alquiler de torres, energía y equipos [2, 12]. El apalancamiento operativo es alto: con ingresos +24 % en moneda constante el margen EBITDA subió 2,4 puntos, hasta el 49,3 % [2]. Airtel Money cobra comisiones por retiradas, envíos, pagos a comercios y préstamos; su margen EBITDA es del 50,8 % y pide poco capital (capex del 3 % de sus ventas) [2]. Sin estacionalidad apreciable. Los ingresos se convierten a dólares: cada 1 % que se deprecian las monedas locales resta 60-62 M de ingresos y 29-31 M de EBITDA [2].</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Nigeria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África Oriental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África francófona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Sede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-1.345,5 %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Nigeria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África Oriental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África francófona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Sede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particulares de prepago, sin concentración: ningún cliente pesa de forma material [1]. La fuga mensual de clientes no se publica; la base crece un 10-12 % al año desde FY2024 [2]. El poder de precios es limitado y depende del regulador: en Nigeria las tarifas estuvieron congeladas desde 2013 hasta que la Comisión de Comunicaciones autorizó una subida del 50 % en febrero de 2025, tras una devaluación de la naira del 70 % [1, 2]. En los demás países el ARPU sube con el consumo de datos (ARPU de datos +16,2 % en moneda constante en FY2026) más que con subidas de tarifa [2]. Airtel Money tiene un ARPU de 2,4 USD al mes y crece con más usos (comercios, préstamos, remesas)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189,0 M en junio de 2026 (+11,6 %)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datos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Penetración de smartphones del 49,5 % (51,0 % en junio)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de datos por cliente (GB/mes)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 GB en el 1T FY2027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Airtel Money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56,5 M en junio de 2026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procesado anualizado de Airtel Money (4T, miles de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215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&gt; 245 en el 1T FY2027 (+51,5 %)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subyacente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50,1 % en el 1T FY2027 [2,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Servicios de telecomunicación móvil y de dinero móvil en África. El tamaño de referencia es el de GSMA para toda África (ingresos de los operadores móviles), porque no publica cifras de los 14 países de Airtel por separado; incluye mercados donde Airtel no está (Sudáfrica, Egipto, Marruecos, Etiopía) y por eso la cuota de Airtel sobre él es una cota baja [15]. Las dos ediciones de GSMA (2025 y 2026) son la única fuente independiente con serie [15,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60.500 M USD de ingresos de los operadores móviles en África en 2025 y 90.300 M previstos en 2030 [15]; ≈ 52.000 M en 2024 según la edición anterior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 en cada país (dos o tres operadores), fragmentada en el continente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los operadores móviles en Áfric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smartphones y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Penetración de smartphones de Airtel del 49,5 % en FY2026 (+4,7 puntos) y tráfico de datos +56 % en el 1T FY2027 [2,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Dinero móvil y bancarización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64 % de los adultos de los mercados de Airtel no está bancarizado; valor procesado de Airtel Money +49 %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Demografía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Suscriptores únicos de África de 710 M en 2024 a 915 M en 2030 según GSMA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cambio frente al dólar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devaluación de la naira llevó los ingresos en dólares a −5,3 % en FY2024 con +20 % en moneda constante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gasóleo resta 2,5-3 puntos de margen EBITDA en 2026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tarifas e impuestos al sector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 tarifas del 50 % en Nigeria en 2025; tasas sobre transacciones de dinero móvil en varios países [1,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o tres operadores por país: MTN en Nigeria, Uganda, Zambia, Ruanda y Congo; Safaricom (Vodacom) en Kenia; Vodacom y Orange en RD del Congo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prepago atomizados; la portabilidad y las tarjetas múltiples dan algo de poder, pero el ARPU de datos sube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Torreras con contratos indexados al dólar y a la energía (IHS, que compra MTN; Helios) y pocos proveedores de equipos [1,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y espectro limitados, y la red de distribución y de agentes tarda años en construirse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satélites directos al móvil (Starlink) llegan con el espectro de los operadores; la voz migra a aplicaciones pero viaja por los datos del operador [12].</w:t>
            </w:r>
          </w:p>
        </w:tc>
      </w:tr>
    </w:tbl>
    <w:p>
      <w:pPr>
        <w:spacing w:after="160" w:before="0"/>
      </w:pPr>
    </w:p>
    <w:p>
      <w:pPr>
        <w:pStyle w:val="Heading2"/>
      </w:pPr>
      <w:r>
        <w:t xml:space="preserve">Ciclo</w:t>
      </w:r>
    </w:p>
    <w:p>
      <w:pPr>
        <w:spacing w:after="100"/>
      </w:pPr>
      <w:r>
        <w:t xml:space="preserve">El volumen no tiene ciclo: los clientes y el consumo de datos crecieron en 2008-09, 2020 y 2022. El ciclo que manda es el de las monedas: la caída del petróleo de 2015-16 y la devaluación de la naira de 2023-24 hundieron los ingresos en dólares de los operadores con +20 % en moneda local [2]. Hoy la naira y el chelín keniano están estables o más fuertes y el Banco Central de Nigeria bajó tipos en septiembre de 2026 [2]: fase favorable del ciclo de divisa, que puede darse la vuelta con el precio del petróleo.</w:t>
      </w:r>
    </w:p>
    <w:p>
      <w:pPr>
        <w:pStyle w:val="Heading2"/>
      </w:pPr>
      <w:r>
        <w:t xml:space="preserve">Regulación</w:t>
      </w:r>
    </w:p>
    <w:p>
      <w:pPr>
        <w:spacing w:after="100"/>
      </w:pPr>
      <w:r>
        <w:t xml:space="preserve">En Nigeria la Comisión de Comunicaciones autorizó en febrero de 2025 la primera subida de tarifas desde 2013 (hasta un 50 %) [1]. Los reguladores africanos cobran tasas sobre ingresos, sobre transacciones de dinero móvil y, en algunos países, sobre la importación de terminales; Ghana derogó en 2025 su tasa de dinero móvil y el volumen subió un 31 % [15]. Las licencias de servicios de pago separan el dinero móvil de la teleco (Nigeria: licencia de banco de servicios de pago desde 2022) [1]. La regulación de satélites directos al móvil obliga a pasar por el espectro de un operador local [12].</w:t>
      </w:r>
    </w:p>
    <w:p>
      <w:pPr>
        <w:pStyle w:val="Heading2"/>
      </w:pPr>
      <w:r>
        <w:t xml:space="preserve">Tendencias y disrupción</w:t>
      </w:r>
    </w:p>
    <w:p>
      <w:pPr>
        <w:spacing w:after="100"/>
      </w:pPr>
      <w:r>
        <w:t xml:space="preserve">Más datos y menos voz: el 4G y el 5G pasarán a dominar las conexiones y GSMA prevé un 21 % de conexiones 5G en África en 2030 [15]. Los operadores construyen fibra, centros de datos y banda ancha doméstica (Airtel invierte ≈ 1.100 M en FY2027) [2]. El dinero móvil se separa en sociedades cotizadas (Airtel Money en Londres en 2026; M-Pesa dentro de Safaricom) [17]. Los satélites se usan para llevar señal a zonas rurales a menor coste: Airtel firmó con Starlink en diciembre de 2025 [12]. Airtel gana con esto mientras siga invirtiendo al ritmo de la demanda.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operador móvil de África por clientes (183,5 M); n.º 1 o 2 en la mayoría de sus 14 países; ≈ 10,6 % de los ingresos de los operadores móviles africanos de 2025 según GSMA (6.415 M de FY2026 sobre 60.500 M) [2,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MTN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Sudáfrica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MTN.JO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Nigeria, Uganda, Zambia, Ruanda y Congo; margen EBITDA de 12 meses del 42.5 % [16]. Compra IHS Towers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Vodacom Group (con Safaricom)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Sudáfrica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VOD.JO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Kenia (Safaricom y M-Pesa), Tanzania y RD del Congo; margen EBITDA del 32.2 %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Orange Middle East and Africa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RD del Congo y en África francófona occidental; su negocio africano no cotiza por separado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Telkom 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Sudáfrica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TKG.JO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Sudáfrica (no compite con Airtel); referencia de valoración de teleco africana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Globacom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Nigeria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Tercer operador en Nigeria, privado, sin cuentas públicas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Airtel Money: 56,5 M de clientes y &gt; 245.000 M USD de valor procesado anualizado; la red de agentes y comercios atrae usuarios y al revés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Prepago con portabilidad y tarjetas múltiples; el monedero de Airtel Money ata más que la línea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y espectro en 14 países; marca Airtel reconocida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49,3 %, por encima del de MTN (≈ 43 %) y de Vodacom (≈ 32 %), pero con las torres alquiladas y costes en dólares [3,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de dos o tres operadores con espectro limitado; la red y la distribución no se replican [2].</w:t>
            </w:r>
          </w:p>
        </w:tc>
      </w:tr>
    </w:tbl>
    <w:p>
      <w:pPr>
        <w:spacing w:after="160" w:before="0"/>
      </w:pPr>
    </w:p>
    <w:p>
      <w:pPr>
        <w:pStyle w:val="Heading2"/>
      </w:pPr>
      <w:r>
        <w:t xml:space="preserve">Amenazas</w:t>
      </w:r>
    </w:p>
    <w:p>
      <w:pPr>
        <w:spacing w:after="100"/>
      </w:pPr>
      <w:r>
        <w:t xml:space="preserve">La principal es MTN, más grande en Nigeria y con sus propias torres si cierra la compra de IHS: podría encarecer o retrasar la compartición de emplazamientos (la dirección no lo cree) [12]. En dinero móvil, M-Pesa domina Kenia y los bancos y las fintech (Opay, Moniepoint en Nigeria) compiten en pagos [1]. Los satélites directos al móvil son complementarios mientras usen el espectro de los operadores; un cambio regulatorio que dé espectro propio a los satélites sería una amenaza de baja probabilidad en cinco años [12]. La regulación de tarifas e impuestos al sector puede recortar márgenes en cualquier país.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spacing w:after="100"/>
      </w:pPr>
      <w:r>
        <w:t xml:space="preserve">Crecimiento anual compuesto FY2021-FY2026: ingresos </w:t>
      </w:r>
      <w:r>
        <w:rPr>
          <w:b/>
          <w:bCs/>
        </w:rPr>
        <w:t xml:space="preserve">10,4 %</w:t>
      </w:r>
      <w:r>
        <w:t xml:space="preserve">, EBITDA </w:t>
      </w:r>
      <w:r>
        <w:rPr>
          <w:b/>
          <w:bCs/>
        </w:rPr>
        <w:t xml:space="preserve">11,9 %</w:t>
      </w:r>
      <w:r>
        <w:t xml:space="preserve">, BPA </w:t>
      </w:r>
      <w:r>
        <w:rPr>
          <w:b/>
          <w:bCs/>
        </w:rPr>
        <w:t xml:space="preserve">15,6 %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en dólares pasaron de 3.908 M USD en FY2021 a 6.415 M en FY2026 (TCAC del 10,4 %), con dos años de caída por las devaluaciones: FY2024 (−5,3 %, la naira perdió más de la mitad de su valor en junio de 2023 y en enero-febrero de 2024) y FY2025 (−0,5 %) [6, 7]. En moneda constante el grupo creció un 20 % en FY2024, un 20,5 % en FY2025 y un 24,0 % en FY2026, este último con la subida de tarifas de Nigeria del 50 % autorizada en febrero de 2025 (Nigeria +47,5 % en moneda constante) [2]. En el 1T FY2027 los ingresos subieron un 31,0 % en dólares y un 21,1 % en moneda constante, con la naira y otras monedas más fuertes [3]. El margen EBITDA subyacente bajó del 48,8 % de FY2024 al 46,5 % de FY2025 por los costes en dólares (torres y energía) y subió al 49,3 % en FY2026 y al 50,1 % en el 1T FY2027, por precio, volumen y el programa de eficiencia [2, 3]. El EBIT de FY2026 fue de 2.115 M (margen del 33,0 %) [2].</w:t>
      </w:r>
    </w:p>
    <w:p>
      <w:pPr>
        <w:pStyle w:val="Heading2"/>
      </w:pPr>
      <w:r>
        <w:t xml:space="preserve">Ajustes y partidas no recurrentes</w:t>
      </w:r>
    </w:p>
    <w:p>
      <w:pPr>
        <w:spacing w:after="100"/>
      </w:pPr>
      <w:r>
        <w:t xml:space="preserve">Airtel Africa publica el «BPA antes de partidas excepcionales» y, en los informes de resultados, el BPA sin partidas excepcionales ni pérdidas o ganancias de divisa y derivados: FY2023 20,6 centavos, FY2024 18,3, FY2025 9,8 y FY2026 16,2 [2, 6, 7, 8]. Las excepcionales fueron sobre todo las pérdidas de divisa de la devaluación de la naira en FY2024 (806 M USD de coste financiero excepcional) y FY2025 (87 M), una provisión de litigio de una antigua filial (16 M en FY2025, dentro del EBIT) y, en el 1T FY2027, 37 M de un acuerdo comercial en una filial [3, 5]. FY2026 no tuvo excepcionales, pero sí 127 M USD de ganancias de divisa y derivados (149 M de la naira); sin ellas el BPA fue de 16,2 centavos frente a 18,6 publicado [2]. El tipo efectivo del 40,1 % supera el nominal medio (≈ 32 %) por la mezcla de países y las retenciones sobre dividendos de las filiales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1T FY2027 (23-jul-2026) la dirección repitió los mensajes de mayo: crecimiento de doble dígito en moneda constante en las tres regiones, penetración de smartphones del 51 % y tráfico de datos +56 % [3, 12]. Cambió el tono sobre los costes: el gasóleo y la energía restan 2,5-3 puntos de margen EBITDA en ritmo anual, la mitad entró en el 1T y el resto llega en el 2T por cómo están indexados los contratos de torres; una parte se compensa con el programa de eficiencia [12]. Reiteró una inversión de ≈ 1.100 M USD en FY2027, adelantada al 1T (389 M) [3, 12]. Los analistas preguntaron por el gasóleo en Nigeria, por si la inversión puede pasar de la guía, por la compra de IHS Towers por MTN (la dirección no ve efecto en la compartición de emplazamientos) y por los satélites: Starlink es complementario (transmisión y cobertura directa al móvil con el espectro de Airtel) [12]. Sobre la salida a bolsa de Airtel Money solo confirmó Londres y «2026»; no dio el tamaño ni la valoración, que llegaron en septiembre [12]. No dio guía de margen ni de crecimiento [12]. Frente al consenso, los ingresos del 1T superaron en 130 M USD la media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del grupo (con arrendamientos) pasó de 3.505 M USD en marzo de 2024 a 5.363 M en marzo de 2025 por la renovación de los contratos de torres, que subió los arrendamientos, y a 5.590 M en marzo de 2026 y 5.739 M en junio de 2026; el apalancamiento bajó de 2,3 a 1,7 veces el EBITDA porque el EBITDA creció más [4, 5]. Sin arrendamientos la deuda neta es ≈ 1.370 M (0,5 veces) [4]. La empresa ha sustituido la deuda en dólares de la holding por deuda local en las filiales para reducir el descalce de monedas: los dólares bajaron de 755 M a 681 M en un año [1]. El circulante comercial es negativo (proveedores 612 M frente a clientes 193 M y existencias 16 M)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FY2021-FY2026: FCF </w:t>
      </w:r>
      <w:r>
        <w:rPr>
          <w:b/>
          <w:bCs/>
        </w:rPr>
        <w:t xml:space="preserve">4.491</w:t>
      </w:r>
      <w:r>
        <w:t xml:space="preserve">, conversión </w:t>
      </w:r>
      <w:r>
        <w:rPr>
          <w:b/>
          <w:bCs/>
        </w:rPr>
        <w:t xml:space="preserve">190 %</w:t>
      </w:r>
      <w:r>
        <w:t xml:space="preserve"> del beneficio neto; adquisiciones 0, dividendos 1.220, recompras 212.</w:t>
      </w:r>
    </w:p>
    <w:p>
      <w:pPr>
        <w:spacing w:after="100"/>
      </w:pPr>
      <w:r>
        <w:t xml:space="preserve">El flujo de explotación subió de 1.666 M USD en FY2021 a 3.195 M en FY2026 (101 % del EBITDA, con 279 M de aumento de saldos de monederos de Airtel Money, que no es caja libre) [2, 13]. El capex de caja fue de 884 M en FY2026 (13,8 % de las ventas) y la guía de FY2027 es de ≈ 1.100 M (389 M ya en el 1T) [2, 3]. Los intereses pagados (839 M, de ellos 467 M por arrendamientos) y la devolución de arrendamientos (204 M) van en financiación [2]. Con NIIF 16 las altas de derechos de uso (697 M en FY2026 y 1.867 M en FY2025 por las renovaciones de torres) son inversión aunque no pasen por el capex [1]. Flujo libre del accionista aproximado de FY2026: 3.195 − 875 − 204 − 839 = 1.277 M, del que salieron 246 M en dividendos, 105 M a minoritarios y 74 M en recompras [2]. Casi todo el capex es de crecimiento (emplazamientos, fibra, centros de datos): la empresa no separa el de mantenimiento.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LLP (desde la salida a bolsa de 2019; Ernst &amp; Young propuesto para FY2028)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Sin salvedades de Deloitte en FY2026 [1]. La comisión de auditoría hizo un concurso y propone a EY a partir de la junta de julio de 2027 [1]. Las cifras dependen mucho de la conversión: Nigeria aplica tipos oficiales y en FY2024 hubo 806 M de pérdidas de divisa clasificadas como excepcionales [5]; Malawi se contabilizó como economía hiperinflacionaria (ganancia monetaria de 17 M en FY2026) [2]. La empresa da su crecimiento en moneda constante, con los tipos de cierre de marzo del año anterior, y la remuneración variable también se mide así [1]: el inversor cobra en dólares y esa cifra es más alta que la reportada en los años de devaluación. El BPA de FY2026 lleva 127 M de ganancias de divisa (16,2 centavos sin ellas frente a 18,6) [2]. El EBITDA «subyacente» solo excluye 16 M en FY2025 [6]. Altman y Piotroski del motor se leen con cautela por el circulante negativo y los saldos de Airtel Money en el balance.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tipo de cambio en el BPA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y ganancias de divisa de −806 M (FY2024), −179 M (FY2025) y +127 M (FY2026) [2, 5]; el BPA publicado oscila más que el negocio.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efectivo alto y variable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40,1 % en FY2026 por retenciones sobre dividendos de las filiales y pérdidas no deducibles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auditor previsto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Concurso ordinario tras siete años de Deloitte; EY propuesto para FY2028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3.238 M en FY2026 (el 36 % del capital invertido medio); ha subido más de un 5 % en 2 de 5 años: compras pequeñas. ROIC publicado 14,5 %; sin fondo de comercio, 22,6 %.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38,0 % · </w:t>
      </w:r>
      <w:r>
        <w:rPr>
          <w:b/>
          <w:bCs/>
        </w:rPr>
        <w:t xml:space="preserve">WACC</w:t>
      </w:r>
      <w:r>
        <w:t xml:space="preserve">: 13,7 %.</w:t>
      </w:r>
    </w:p>
    <w:p>
      <w:pPr>
        <w:spacing w:after="100"/>
      </w:pPr>
      <w:r>
        <w:t xml:space="preserve">Con el fondo de comercio de la compra de Zain en 2010 (≈ 3.900 M), el ROIC de FY2026 es del 14,5 %, apenas 0,8 puntos sobre nuestro WACC del 13,7 %; sin él, del 22,6 % [1, 13]. El negocio orgánico crea valor con holgura, pero el accionista paga por un activo comprado caro y por un riesgo país alto. El ROIC se mueve con la divisa más que con la gestión: cayó al 12,3 % en FY2025 por las devaluaciones de la naira y del franco CFA y subió en FY2026 con la recuperación de la naira y la subida de tarifas del 50 % en Nigeria (feb-2025) [2, 6]. El ROIC incremental del 38 % mide sobre todo esa recuperación, no la calidad de la inversión nueva. Frente a los competidores, el margen EBITDA (49,3 %) es de los más altos de África, por encima de MTN y Vodacom, con un capex bajo por subcontratar las torres [1, 29].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5.739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697 M USD, depósitos 150 M e inversiones corrientes 20 M a 30-jun-2026 [4]; los 1.395 M de saldos de clientes de Airtel Money (fideicomiso) no son de la empresa y no cuentan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de emisor vigente comprobado: los bonos en dólares de la sociedad holding se amortizaron y la deuda es hoy bancaria y local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por arrendamiento de 4.369 M USD a 30-jun-2026 (sobre todo torres; 4.224 M en marzo), que crecen con la renovación de contratos de torres de septiembre de 2024 y el despliegue de emplazamientos [2, 4]. Opción de venta de 515 M USD a favor de The Rise Fund (TPG) y Mastercard por su participación en Airtel Money, ejercitable si no había salida a bolsa; la salida a bolsa del 14-oct-2026 la deja sin objeto [1]. Pasivo diferido por espectro (pagos de 31 M en FY2026), pasivos fiscales corrientes de 174 M y provisiones de 37 M [1, 2]. La deuda bruta de 2.196 M está en 11 monedas: 681 M en dólares, 74 M en euros y el resto en moneda local (KES 385, NGN 301, XAF 199, ZMW 155, UGX 149); 1.347 M a tipo variable [1]. Vencen 1.022 M en FY2027 [1].</w:t>
      </w:r>
    </w:p>
    <w:p>
      <w:pPr>
        <w:pStyle w:val="Heading1"/>
      </w:pPr>
      <w:r>
        <w:t xml:space="preserve">12. Asignación de capital</w:t>
      </w:r>
    </w:p>
    <w:p>
      <w:pPr>
        <w:pStyle w:val="Confianza"/>
        <w:spacing w:after="100"/>
      </w:pPr>
      <w:r>
        <w:t xml:space="preserve">Confianza: Media</w:t>
      </w:r>
    </w:p>
    <w:p>
      <w:pPr>
        <w:spacing w:after="100"/>
      </w:pPr>
      <w:r>
        <w:t xml:space="preserve">Prioridades: invertir en la red y en Airtel Money (capex de caja ≈ 1.100 M en FY2027 [3]), reducir la deuda en dólares de la matriz (la deuda en moneda fuerte se ha bajado de forma continua y casi toda la deuda bruta está ya en las filiales y en monedas locales [4]), dividendo progresivo (7,1 centavos en FY2026, +9,2 % [2]) y recompras: un primer programa de hasta 100 M USD en FY2025-FY2026 y otro de hasta el 1 % del capital aprobado en mayo de 2026, con su primer tramo terminado (24,5 M de acciones a 331,29 peniques) [27]. La salida a bolsa de Airtel Money no trajo caja a la matriz: se vendieron acciones de minoritarios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Zain Africa (15 países): origen del grupo, comprada por Bharti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de Bharti</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y ventas de países (Burkina Faso, Sierra Leona, Chad, Madagascar y otros, 2016-2021); el fondo de comercio que queda pesa en el ROIC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torres en Madagascar, Malaui, Chad, Gabón, RD del Congo y Níger (y antes en Tanzania)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Reducción de deuda en dólares; a cambio, más arrendamientos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de minoritarios en Airtel Money (TPG, Mastercard, Qatar, ADIA)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minoritarios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Valoró Airtel Money en 2.650 M USD; hoy cotiza a ≈ 6.600 M [9, 35].</w:t>
            </w:r>
          </w:p>
        </w:tc>
      </w:tr>
    </w:tbl>
    <w:p>
      <w:pPr>
        <w:spacing w:after="160" w:before="0"/>
      </w:pPr>
    </w:p>
    <w:p>
      <w:pPr>
        <w:spacing w:after="100"/>
      </w:pPr>
      <w:r>
        <w:t xml:space="preserve">Asignadora de capital prudente desde la salida a bolsa de 2019: entre FY2021 y FY2026 el flujo de caja libre acumulado (4.491 M) pagó 1.220 M de dividendos y 212 M de recompras sin compras ni ampliaciones, y redujo la deuda en dólares de la matriz, que era el riesgo que hundió la acción en 2023-2024 [2, 4]. Vendió torres y minoritarios de Airtel Money a buen precio (2.650 M de valoración en 2021 frente a ≈ 6.600 M hoy). En contra: la recompra de 2026 se hizo a 331 peniques, un 18 % por encima del precio de hoy, y la salida a bolsa de Airtel Money la decidió el accionista de control con un tamaño recortado. La dilución es nula (3.624 M de acciones frente a 3.758 M en 2019) [26].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Sunil Taldar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2023 como director de transformación y es consejero delegado desde julio de 2024; antes, más de 30 años en consumo y telecomunicaciones en China, India, Indonesia y Singapur [1]. Con él la empresa pasó de un margen EBITDA del 46,5 % a uno del 49,3 % y de crecer un 20,5 % a un 24 % en moneda constante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Kamal Dua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consejero desde el 9-jul-2025; sustituyó a Jaideep Paul. Venía del propio grupo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Gopal Vittal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(nombrado por Bharti)</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octubre de 2024 y presidente desde la junta de julio de 2026; fue consejero delegado de Bharti Airtel en India [1,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Shravin Bharti Mittal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fundador de Bharti; consejero de Airtel Money y enlace con la sede de Dubái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Tsega Gebreyes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 desde la salida a bolsa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800-825 M USD, revisado al alza durante 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884 M, «en línea con la guía revisada»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725-750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800-825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737 M (por las devaluaciones)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 1.100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389 M en el 1T, guía reiterada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publica solo la guía de capex; no da objetivos de ingresos ni de margen, así que su historial es corto. Las cifras de capex se cumplen casi siempre por debajo, en parte porque se miden en dólares [2]. El equipo es estable pero rota con el grupo Bharti: el consejero delegado y el director financiero cambiaron en julio de 2024 y julio de 2025 [1]. No se ha publicado un plan de sucesión.</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Gopal Vittal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Shravin Bharti Mittal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Sunil Taldar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Kamal Dua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Tsega Gebreyes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Arkwright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Awuneba Ajumogobia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Cynthia Gordon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Ravi Rajagopal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 K. Viswanathan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Bharti Airtel Limited (a través de Airtel Africa Mauritius)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62,9 % al 79,22 % el 22-jun-2026 al recibir el 16,3 % de Indian Continent Investment (familia Mittal) a cambio de 146,8 M de acciones nuevas de Bharti [21,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Indian Continent Investment Limited (familia Mittal)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accionista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16,14 % al 0 % el 22-jun-2026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 M de acciones; recompra en curso [26, 27]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 del ≈ 37 % al ≈ 20 % con la operación de Bharti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6"/>
        <w:gridCol w:w="3381"/>
        <w:gridCol w:w="1521"/>
        <w:gridCol w:w="1690"/>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Indian Continent Investment (vinculada a Shravin Bharti Mittal)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595.204.251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Bharti Airtel (vinculada a Sunil Bharti Mittal y Gopal Vittal)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595.204.251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2,15 M USD en FY2026 (1,07 M fijos con vivienda y coche de expatriado y 1,09 M de bonus anual; sin plan a largo plazo cobrado) [1]. El bonus se mide en moneda constante con el plan anual [1]. El plan a largo plazo de 2026 (418.827 acciones de rendimiento al consejero delegado) mide el crecimiento anual compuesto de los ingresos netos, la mejora del margen EBITDA y el rendimiento total frente al índice MSCI de comunicaciones de mercados emergentes, con un periodo de mantenimiento hasta el quinto año; las acciones restringidas tienen como condición el flujo de caja operativo [23]. La política de remuneración tuvo un 12,8 % de votos en contra en la junta de 2026, con el accionista de control votando a favor [25].</w:t>
      </w:r>
    </w:p>
    <w:p>
      <w:pPr>
        <w:pStyle w:val="Heading2"/>
      </w:pPr>
      <w:r>
        <w:t xml:space="preserve">Operaciones vinculadas, estructura de control y defensas</w:t>
      </w:r>
    </w:p>
    <w:p>
      <w:pPr>
        <w:spacing w:after="100"/>
      </w:pPr>
      <w:r>
        <w:t xml:space="preserve">Bharti Airtel controla el 79,22 % de los votos desde junio de 2026 [21]. Un acuerdo de relación de 2019 con Bharti obliga a que las operaciones vinculadas se aprueben con mayoría de independientes y deja al consejo funcionar con independencia; dura mientras Bharti tenga al menos el 10 % [1]. Bharti nombra al presidente (Gopal Vittal, no independiente) [19]. Bharti presta servicios a la empresa (contrato de servicios) [1]. El flotante del 20 % deja a los minoritarios sin capacidad de bloqueo en las juntas, salvo en las votaciones de independientes, que se cuentan aparte [25]. No hay clases de acciones ni límites de voto. Un riesgo y una opción a la vez: Bharti podría lanzar una oferta por el resto o, al contrario, la acción puede salir del FTSE 100 si el flotante baja más [21].</w:t>
      </w:r>
    </w:p>
    <w:p>
      <w:pPr>
        <w:pStyle w:val="Heading2"/>
      </w:pPr>
      <w:r>
        <w:t xml:space="preserve">Señales de alerta</w:t>
      </w:r>
    </w:p>
    <w:p>
      <w:pPr>
        <w:pStyle w:val="ListParagraph"/>
        <w:numPr>
          <w:ilvl w:val="0"/>
          <w:numId w:val="2"/>
        </w:numPr>
        <w:spacing w:after="60"/>
      </w:pPr>
      <w:r>
        <w:t xml:space="preserve">Bharti subió al 79,22 % comprando el 16,3 % a la familia Mittal con un descuento del ≈ 11,6 % sobre el cierre previo (13-may-2026) [21, 22].</w:t>
      </w:r>
    </w:p>
    <w:p>
      <w:pPr>
        <w:pStyle w:val="ListParagraph"/>
        <w:numPr>
          <w:ilvl w:val="0"/>
          <w:numId w:val="2"/>
        </w:numPr>
        <w:spacing w:after="60"/>
      </w:pPr>
      <w:r>
        <w:t xml:space="preserve">Cambio de presidente (Sunil Bharti Mittal → Gopal Vittal, julio de 2026) y de director financiero (julio de 2025) [1, 19].</w:t>
      </w:r>
    </w:p>
    <w:p>
      <w:pPr>
        <w:pStyle w:val="ListParagraph"/>
        <w:numPr>
          <w:ilvl w:val="0"/>
          <w:numId w:val="2"/>
        </w:numPr>
        <w:spacing w:after="60"/>
      </w:pPr>
      <w:r>
        <w:t xml:space="preserve">Cambio de auditor propuesto (Deloitte → EY) para FY2028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solo da guía de capex: ≈ 1.100 M USD en FY2027 (reiterada el 23-jul-2026, con 389 M ya invertidos en el 1T) [30]. Avisó de que el gasóleo restará 2,5-3 puntos de margen EBITDA en ritmo anual, la mitad en el 1T y el resto en el 2T, en parte compensados con eficiencias. Dividendo progresivo: 7,1 centavos por acción en FY2026 (+9,2 %). Recompra de hasta el 1 % del capital aprobada en mayo de 2026 (primer tramo terminado: 24,5 M de acciones a 331,29 peniques de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(BPA de 2 analistas; ingresos) [29]; EBITDA del consenso de la empresa a 31-mar-2026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(BPA de 5 analistas) [29]; EBITDA del consenso de la empresa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estimaciones gratuitas</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4,27 – 6,91</w:t>
            </w:r>
          </w:p>
        </w:tc>
      </w:tr>
    </w:tbl>
    <w:p>
      <w:pPr>
        <w:spacing w:after="160" w:before="0"/>
      </w:pPr>
    </w:p>
    <w:p>
      <w:pPr>
        <w:pStyle w:val="Heading2"/>
      </w:pPr>
      <w:r>
        <w:t xml:space="preserve">Revisiones de estimaciones</w:t>
      </w:r>
    </w:p>
    <w:p>
      <w:pPr>
        <w:spacing w:after="100"/>
      </w:pPr>
      <w:r>
        <w:t xml:space="preserve">Según Yahoo, el BPA de FY2028 pasó de 32,4 centavos hace 90 días a 34,4 hoy, y el de FY2027 de 25,1 a 24,9 [29]. El consenso compilado por la empresa a 31-mar-2026 (10 analistas: ABSA, Bank of America, Barclays, CardinalStone, Citi, Goldman Sachs, HSBC, New Street, SBG y Deutsche Bank) daba ingresos de 7.548 M en FY2027 y 8.686 M en FY2028, EBITDA de 3.779 y 4.394 M y BPA de 23,5 y 31,3 centavos [30]: los ingresos estimados han subido después del 1T por la fortaleza de las monedas. HSBC rebajó a mantener en enero de 2026 y CardinalStone en agosto [37].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subió un 212,7 % en 2025 (de 113,6 a 355,2 peniques), con la subida de tarifas de Nigeria, la recuperación de la naira y la promesa de sacar a bolsa Airtel Money [37]. En 2026 cae un 21 % hasta el 20-oct: tocó un máximo de 436 peniques el 11-may tras los resultados anuales, cayó un 13 % el 13-may cuando Bharti anunció que compraba el 16,3 % de la familia Mittal con un descuento del 11,6 % [38], y cayó un 9,9 % el 18-sep cuando se supo que la salida a bolsa de Airtel Money sería más pequeña (al menos 800 M USD frente a 1.500-2.000 M) [39]. Airtel Money se colocó a 196 peniques (≈ 7.000 M USD) y cotiza por debajo: 182,6 peniques el 20-oct [29, 35]. Beta mensual de 5 años de 1,6 frente al FTSE 100 y semanal de 2 años de 1,0 [28].</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 / -18,7 % / -23,1 % / +24,1 %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-33,1 % / +23,2 %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Hasta los resultados del 1S FY2027 de Airtel Africa (previstos hacia el 28-oct-2026, sin fecha anunciada) y los de Airtel Money del 26-oct</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FY2026 (30-ene): crecimiento fuerte pero margen EBITDA algo menor por costes de red y energía; recogida de beneficios tras la subida del 212 % de 2025 [28,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Bharti Airtel dice que estudia subir su participación: máximo histórico (436 peniques)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y 15-may-2026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Bharti compra el 16,31 % a la familia Mittal (ICIL) con un descuento del 11,6 % y sin oferta a los minoritarios: −13,1 % el 13-may y −10,8 % el 15-may [28, 38,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tras la caída de mayo (máximo del mes el 17-jun): informes favorables sobre la salida a bolsa de Airtel Money (CLSA, 5-jun) y cierre de la compra de Bharti el 22-jun [42, 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sabe que la salida a bolsa de Airtel Money será más pequeña tras escuchar a los inversores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Money sale a 196 peniques (≈ 7.000 M USD, por debajo de lo esperado en primavera) y cotiza por debajo del precio de salida desde el primer día (9-oct, −6,3 % de Airtel Africa ese día); el mercado rebaja el valor de la filial que justificaba buena parte de la subida [28, 35, 36,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Airtel Money publica sus primeros resultados como cotizada (1S) el 26-oct [41]; los de Airtel Africa del 1S FY2027 no tienen fecha anunciada (el año pasado, 28-oct) [28,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los resultados del 1S FY2027 de Airtel Africa (previstos hacia el 28-oct-2026)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Airtel Money empieza a cotizar sin condiciones; la colocación (270 M de acciones de minoritarios y hasta 27 M de Mastercard, ≈ 11 % del capital) no incluye acciones de Airtel Africa, que conserva el 77,85 %. Bloqueo de 180 días para los vendedores, hasta abril de 2027 [17, 36,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 el primer tramo de recompra: 24,5 M de acciones a 331,29 peniques de media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Bharti Airtel pasa al 79,22 % tras comprar el 16,31 % a ICIL; el flotante baja al ≈ 20,6 %. No hay colocación anunciada ni probable: Bharti compra, no vende [38,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FY2027: ingresos +21 % en moneda constante, margen EBITDA del 50,1 %, aviso de que el gasóleo restará 2,5-3 puntos de margen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cae un 23 % en seis meses y está un 18 % bajo su media de 200 sesiones: el mercado ha recortado lo que pagaba por Airtel Money (salida a bolsa más pequeña y por debajo del precio de colocación) y castigó la compra de Bharti con descuento. No hay colocación pendiente: Bharti compra y Airtel Africa no vendió en la salida a bolsa de su filial. El veredicto es «retrasa» por la regla de tendencia bajista con resultados a menos de 15 días: los de Airtel Money el 26-oct y, previsiblemente, los propios hacia el 28-oct, que mostrarán el efecto del gasóleo en el margen [28, 40, 41].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ejercicio (31 de marzo) en peniques [28] pasados a dólares con el GBPUSD de ese día. El PER al cierre de FY2024 se excluye: el BPA de ese año fue negativo por las pérdidas de divisa de la naira. El múltiplo se ha más que duplicado desde 2024: la acción cotizaba a 7-9 veces el BPA del año siguiente (sin divisas) entre 2021 y 2023 y hoy a ≈ 15 veces el nuestro de los próximos 12 meses. Lo explican la recuperación de la naira y la subida de tarifas (beneficio más alto y más estable en dólares) y el valor que el mercado da ahora a Airtel Money por separado.</w:t>
      </w:r>
    </w:p>
    <w:p>
      <w:pPr>
        <w:pStyle w:val="Heading1"/>
      </w:pPr>
      <w:r>
        <w:t xml:space="preserve">18. Comparables cotizados</w:t>
      </w:r>
    </w:p>
    <w:p>
      <w:pPr>
        <w:pStyle w:val="Confianza"/>
        <w:spacing w:after="100"/>
      </w:pPr>
      <w:r>
        <w:t xml:space="preserve">Confianza: Media</w:t>
      </w:r>
    </w:p>
    <w:p>
      <w:pPr>
        <w:spacing w:after="100"/>
      </w:pPr>
      <w:r>
        <w:t xml:space="preserve">Operadores móviles de mercados emergentes con dinero móvil o mucho crecimiento: MTN (el rival africano más parecido), Vodacom (con Safaricom y M-Pesa), Bharti Airtel (matriz, India), Turkcell (emergente con inflación alta) y Telkom (África, más madura). Fuera: Maroc Telecom (Yahoo no da estimaciones), Safaricom (Yahoo no tiene la cotización de Nairobi) y Helios Towers (torres, otro negocio). Todo a precios del 21-oct-2026 de Yahoo y en dólares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Airtel Africa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MTN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Vodacom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Bharti Airtel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Turkcell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Telkom 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 / 5,7x / 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 / 9,5x / 12,6x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2,1x / 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 mediana del PER de los próximos 12 meses de los cinco es de ≈ 9,5 veces; Airtel Africa cotiza a ≈ 12,4 veces el BPA del consenso de los próximos 12 meses y a ≈ 15 veces el nuestro. Su prima frente a MTN (≈ 9,5 veces) y Telkom (≈ 6,8) se apoya en un crecimiento mayor (+15-20 % en dólares frente a +11-15 %), un margen EBITDA más alto (49 % frente a 43 % de MTN) y la participación cotizada en Airtel Money; frente a Bharti (≈ 26 veces), el descuento es por el riesgo de divisa africano. Turkcell (≈ 6,4) está distorsionada por la inflación turca. El EV/EBITDA de 12 meses de Airtel Africa (≈ 5,5 veces según Yahoo) está en la zona de MTN (4,9) y Turkcell (5,7) [29].</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Airtel Africa (16,31 %)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Bharti Airtel (a Indian Continent Investment)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en 146,8 M de acciones de Bharti por ≈ 1.900 M GBP (≈ 3,19 GBP por acción, descuento del ≈ 11,6 %); valor empresa implícito estimación propia: capital ≈ 15.600 M USD + deuda neta 5.590 + minoritarios contables 340, sobre el EBITDA de FY2026 [38, 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Airtel Money (salida a bolsa, 11 % del capital)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en la colocación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196 peniques, ≈ 7.000 M USD de capitalización; múltiplos sobre los ingresos (1.355 M) y el EBITDA (689 M) de FY2026, sin restar su caja propia (estimación propia) [35,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Money (≈ 23 % en varias rondas)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TPG The Rise Fund, Mastercard, QIA y Chimera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 de ≈ 2.650 M USD de la primera ronda; sin EBITDA publicado del perímetro en esa fecha [17].</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dos referencias recientes son internas: Bharti compró a su propia familia el 16,3 % a ≈ 6,8 veces el EBITDA, con descuento, y el mercado pagó ≈ 10 veces el EBITDA por Airtel Money. Con el 79,2 % en manos de Bharti, una oferta de un tercero no es posible; una oferta de Bharti por el 20 % restante sí lo es, pero no hay ningún indicio publicado y la última compra la hizo con descuento.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Crecimiento en DÓLARES. FY2027e +22 %: el 1T creció un 31 % en dólares y un 21,1 % en moneda constante, con la naira y el chelín más fuertes que hace un año [3]; el resto del año compara con trimestres ya revalorizados. Después, 14 % y 12 %: datos (+25-30 % de tráfico al año), dinero móvil (+25-30 % en moneda constante) y subida de tarifas por inflación, menos ≈ 2-4 puntos al año de devaluación media de las monedas frente al dólar, que es la norma histórica (de FY2021 a FY2026 los ingresos crecieron un 10,4 % al año en dólares frente a ≈ 20 % en moneda constante) [2, 13]. Converge al 5 % en FY2034e.</w:t>
      </w:r>
    </w:p>
    <w:p>
      <w:pPr>
        <w:keepNext/>
        <w:spacing w:after="100"/>
      </w:pPr>
      <w:r>
        <w:rPr>
          <w:b/>
          <w:bCs/>
        </w:rPr>
        <w:t xml:space="preserve">Márgenes.</w:t>
      </w:r>
    </w:p>
    <w:p>
      <w:pPr>
        <w:spacing w:after="100"/>
      </w:pPr>
      <w:r>
        <w:t xml:space="preserve">Margen EBITDA del 49,0 % en FY2027e (49,3 % en FY2026 y 50,1 % en el 1T, pero el gasóleo resta 2,5-3 puntos en ritmo anual en el 1S [3, 12]) y 50 % desde FY2029e por escala y por el peso creciente de Airtel Money (≈ 50 % de margen). No se sube más: la competencia de MTN en Nigeria y Uganda y los impuestos especiales sobre el sector (Kenia, Uganda, RD del Congo) limitan los precios [1].</w:t>
      </w:r>
    </w:p>
    <w:p>
      <w:pPr>
        <w:keepNext/>
        <w:spacing w:after="100"/>
      </w:pPr>
      <w:r>
        <w:rPr>
          <w:b/>
          <w:bCs/>
        </w:rPr>
        <w:t xml:space="preserve">Inversión y circulante.</w:t>
      </w:r>
    </w:p>
    <w:p>
      <w:pPr>
        <w:spacing w:after="100"/>
      </w:pPr>
      <w:r>
        <w:t xml:space="preserve">Capex = capex de caja (≈ 14 % de las ventas; guía de ≈ 1.100 M en FY2027 [3]) + altas de derechos de uso de torres (≈ 9 %), porque los arrendamientos van en la deuda: 23,0 % en FY2027e bajando al 18,0 %, siempre por encima de la amortización (16,3-16,5 %) para que el terminal reinvierta. Circulante negativo del 6 % de las ventas (prepago, saldos de dinero móvil fuera de él) [1].</w:t>
      </w:r>
    </w:p>
    <w:p>
      <w:pPr>
        <w:keepNext/>
        <w:spacing w:after="100"/>
      </w:pPr>
      <w:r>
        <w:rPr>
          <w:b/>
          <w:bCs/>
        </w:rPr>
        <w:t xml:space="preserve">Coste del capital.</w:t>
      </w:r>
    </w:p>
    <w:p>
      <w:pPr>
        <w:spacing w:after="100"/>
      </w:pPr>
      <w:r>
        <w:t xml:space="preserve">WACC del 13,7 %: bono de EE. UU. a 10 años (5,12 % el 20-oct [31]), beta 1,0 (semanal de 2 años; la mensual de 5 años, 1,6, recoge la crisis de la naira [28]), prima de mercado del 5,5 % y 6 puntos de riesgo país ponderado por EBITDA (Damodaran: 8,4 % por calificación en Nigeria, Kenia, Uganda y RD del Congo; 5,7 % por CDS en Nigeria; 11,7 % en Zambia y Gabón [33]). Coste de la deuda del 11 % (bonos en dólares al 7-9 % y deuda local al 15-25 %), 30 % de deuda.</w:t>
      </w:r>
    </w:p>
    <w:p>
      <w:pPr>
        <w:keepNext/>
        <w:spacing w:after="100"/>
      </w:pPr>
      <w:r>
        <w:rPr>
          <w:b/>
          <w:bCs/>
        </w:rPr>
        <w:t xml:space="preserve">Valor terminal.</w:t>
      </w:r>
    </w:p>
    <w:p>
      <w:pPr>
        <w:spacing w:after="100"/>
      </w:pPr>
      <w:r>
        <w:t xml:space="preserve">Crecimiento terminal del 3,0 % en dólares (Gordon): inflación del dólar más un poco de penetración, porque el crecimiento local (≈ 8-10 %) se lo come la devaluación. Con el múltiplo de salida de 5,5 veces el EBITDA el terminal sería algo menor. El terminal pesa el 53 % del valor, poco para un WACC del 13,7 %.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 M (13 %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 (reinvierte el 93 %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 (histórico: 38,0 %)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 frente al 10,8 %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FY2034e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 (hoy: 10,6 %)</w:t>
            </w:r>
          </w:p>
        </w:tc>
      </w:tr>
    </w:tbl>
    <w:p>
      <w:pPr>
        <w:spacing w:after="160" w:before="0"/>
      </w:pPr>
    </w:p>
    <w:p>
      <w:pPr>
        <w:spacing w:after="100"/>
      </w:pPr>
      <w:r>
        <w:t xml:space="preserve">La proyección apenas necesita inversión neta de la amortización (reinversión acumulada de 2.473 M, el 13 % del NOPAT, con un capex bruto medio del 20,0 % de las ventas). En un negocio de activos ligeros, el crecimiento medio del 10,8 % tiene que salir de subir precios y de ganar volumen sin capital nuevo, y la prueba es el poder de precios y la cuota (13,4 % del mercado en FY2034e, frente al 10,6 %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clientes +11,6 % (189 M) y clientes de datos +15,5 % [3]; precio: subidas de tarifas por inflación; otros: monedas algo más fuertes que en FY2026 (+3 puntos)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monedas vuelven a restar (≈ 2 puntos) tras un año de apreciación.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Dinero móvil y datos siguen creciendo un 20 % en moneda local; voz estancada.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Penetración de teléfonos inteligentes (≈ 50 %) aún lejos del techo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en dólares hacia el del mercado.</w:t>
            </w:r>
          </w:p>
        </w:tc>
      </w:tr>
    </w:tbl>
    <w:p>
      <w:pPr>
        <w:spacing w:after="160" w:before="0"/>
      </w:pPr>
    </w:p>
    <w:p>
      <w:pPr>
        <w:spacing w:after="100"/>
      </w:pPr>
      <w:r>
        <w:t xml:space="preserve">Sí. El crecimiento proyectado (10,8 % al año en dólares) está por debajo del histórico en moneda constante (≈ 20 %) y es parecido al histórico en dólares (10,4 %), con la cuota de mercado subiendo de forma razonable del 10,6 % al 13,4 % en FY2034e [15]. Lo sostienen la red ya construida, el dinero móvil (56,5 M de clientes, +23,3 % [3]) y el capex del 20 % de las ventas, que financia el crecimiento con un ROIC sin fondo de comercio del 22,6 %. El riesgo no es de calidad sino de moneda: una devaluación como la de la naira de 2023-2024 se come dos años de crecimiento en dólares; eso va en el bajista [2, 3].</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 (base: 10,8 %)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52,2 % (base: 50,0 %)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 (WACC: 13,7 %)</w:t>
            </w:r>
          </w:p>
        </w:tc>
      </w:tr>
    </w:tbl>
    <w:p>
      <w:pPr>
        <w:spacing w:after="160" w:before="0"/>
      </w:pPr>
    </w:p>
    <w:p>
      <w:pPr>
        <w:spacing w:after="100"/>
      </w:pPr>
      <w:r>
        <w:t xml:space="preserve">El DCF da 3,34 USD por acción (250 peniques), un 10,8 % por debajo del precio. El precio descuenta un crecimiento del 11,9 % al año en dólares hasta FY2034e, algo más que nuestro 10,8 % y bastante más que lo que se espera para el mercado (8,3 %) [15]; dicho de otra forma, ofrece una rentabilidad implícita del 13,0 %, por debajo de nuestro WACC del 13,7 %. Con la prima implícita del mercado (4,2 %) el valor sube a 3,68 USD, casi el precio: la acción está bien pagada para el riesgo, no barata.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Devaluación fuerte de la naira y de otras monedas (como en 2023-2024): en FY2028e los ingresos en dólares se estancan (−12 puntos) y el margen cae 3 puntos por el gasóleo y la inflación; después, 3 puntos menos de crecimiento al año, 1,5 puntos menos de margen y un WACC del 14,7 %. Con la deuda en monedas locales y los arrendamientos en dólares, el valor del accionista se hunde: 1,40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Monedas estables en FY2027 y devaluación media de 2-4 puntos al año después; datos y dinero móvil sostienen un crecimiento local del 15-20 %, margen del 50 %.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Monedas estables más tiempo (Nigeria sigue con la reforma cambiaria y las reservas suben), 2 puntos más de crecimiento y 1 punto más de margen; Airtel Money sigue ganando valor en bolsa.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3,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3,08 USD (-17,8 %).</w:t>
      </w:r>
    </w:p>
    <w:p>
      <w:pPr>
        <w:spacing w:after="100"/>
      </w:pPr>
      <w:r>
        <w:t xml:space="preserve">La asimetría es mala (0,22 veces): el alcista gana un 13,5 % y el bajista pierde un 62,6 %. La razón es el apalancamiento: deuda neta con arrendamientos de 5.956 M y minoritarios de 1.797 M sobre un valor de empresa de 21.320 M, de modo que un 20 % menos de valor de empresa es un 30 % menos para el accionista, y la divisa mueve a la vez el crecimiento y el margen.</w:t>
      </w:r>
    </w:p>
    <w:p>
      <w:pPr>
        <w:pStyle w:val="Heading1"/>
      </w:pPr>
      <w:r>
        <w:t xml:space="preserve">22. Suma de partes</w:t>
      </w:r>
    </w:p>
    <w:p>
      <w:pPr>
        <w:pStyle w:val="Confianza"/>
        <w:spacing w:after="100"/>
      </w:pPr>
      <w:r>
        <w:t xml:space="preserve">Confianza: Media</w:t>
      </w:r>
    </w:p>
    <w:p>
      <w:pPr>
        <w:spacing w:after="100"/>
      </w:pPr>
      <w:r>
        <w:t xml:space="preserve">Aplica porque Airtel Money cotiza por separado desde el 9-oct-2026 y tiene un perfil distinto (crecimiento del 25-30 %, sin capex de red) [35, 36]. La telefonía se valora con el EV/EBITDA de los operadores africanos y turco (5,5 veces) y Airtel Money a su capitalización de mercado (6.580 M USD al 100 %); el 22,15 % de terceros se resta en el puente. Sale ≈ 4,19 USD por acción, un 12 % sobre el precio: la acción cotiza con un descuento pequeño frente a la suma de sus partes cotizadas, normal en una matriz con control de un tercero y deuda en la telefonía.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Telefonía móvil, datos y otros (sin Airtel Money)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FY2027e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grupo FY2027e (≈ 3.835 M) menos el de Airtel Money (≈ 860 M, 50 % de margen con ingresos +25 %) [2, 17]. Múltiplo de 5,5 veces: el EV/EBITDA de 12 meses de MTN (4,9), Turkcell (5,7) y Vodacom (7,1), sin Bharti (India, 11,8) [29].</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Airtel Money (100 %, a precio de mercado)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a 182,6 peniques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2.700 M de acciones × 182,6 peniques (20-oct) × 0,0133467 = 6.580 M USD; la caja propia de Airtel Money (depósitos de clientes) no se suma. El 22,15 % de terceros se resta en el puente como minoritario [29, 35, 36].</w:t>
            </w:r>
          </w:p>
        </w:tc>
      </w:tr>
    </w:tbl>
    <w:p>
      <w:pPr>
        <w:spacing w:after="160" w:before="0"/>
      </w:pPr>
    </w:p>
    <w:p>
      <w:pPr>
        <w:spacing w:after="100"/>
      </w:pPr>
      <w:r>
        <w:rPr>
          <w:b/>
          <w:bCs/>
        </w:rPr>
        <w:t xml:space="preserve">Valor por acción por suma de partes:</w:t>
      </w:r>
      <w:r>
        <w:t xml:space="preserve"> 4,19 (+12,0 %); con ±1x en los múltiplos, 3,24 – 5,14.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3,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3,36 USD (-10,3 % sobre 3,75).</w:t>
      </w:r>
    </w:p>
    <w:p>
      <w:pPr>
        <w:spacing w:after="100"/>
      </w:pPr>
      <w:r>
        <w:t xml:space="preserve">Los métodos no se ponen de acuerdo, y eso dice algo: el DCF (3,34 USD, 40 %) y los escenarios (3,08 ponderados, 20 %) dejan la acción cara para su riesgo; la suma de partes (4,19, 20 %) la deja algo barata porque toma Airtel Money al precio de bolsa; y los comparables (20 %) dan 2,9-3,2 USD porque MTN, Vodacom y Turkcell cotizan a 5-7 veces el EBITDA frente a 6,3 de Airtel Africa. El valor ponderado es de 3,36 USD (≈ 252 peniques), un 10 % bajo el precio. Frente a su historia, el EV/EBITDA (6,3 veces) está en el percentil 80 de 5 años; el PER adelantado (14,7) en la mediana (13,2) tras años de 7-9 veces en 2021-2023. El objetivo medio de los analistas (399 peniques) está por encima de nuestro alcista a 12 meses.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(14.7x) a mitad de camino hacia abajo, hacia la mediana de 5 años (13.2x)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r>
    </w:tbl>
    <w:p>
      <w:pPr>
        <w:spacing w:after="160" w:before="0"/>
      </w:pPr>
    </w:p>
    <w:p>
      <w:pPr>
        <w:spacing w:after="100"/>
      </w:pPr>
      <w:r>
        <w:rPr>
          <w:b/>
          <w:bCs/>
        </w:rPr>
        <w:t xml:space="preserve">Objetivo a 12 meses (ponderado):</w:t>
      </w:r>
      <w:r>
        <w:t xml:space="preserve"> 4,04 USD (302,70 GBp) · rentabilidad +9,6 % (base +25,0 %) · señal Mantener.</w:t>
      </w:r>
    </w:p>
    <w:p>
      <w:pPr>
        <w:spacing w:after="100"/>
      </w:pPr>
      <w:r>
        <w:t xml:space="preserve">Para comparar, con la regla v2 (historia al cierre, mismo precio): 6,4x / 10,1x / 13,1x, -10,5 %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FY2028e (27,8 centavos) queda un 19 % por debajo del consenso de Yahoo (34,4, 5 analistas) [29] y algo por debajo del de la empresa a 31-mar (31,3, 10 analistas) [30]; en FY2027e estamos cerca (22,6 frente a 24,9 y 23,5). La diferencia está en las monedas: el consenso de octubre sube ingresos con las monedas de hoy (9.040 M en FY2028 frente a nuestros 8.922 M) y supone un coste financiero estable; nosotros metemos 2 puntos de devaluación y un coste financiero creciente por las torres. Nuestro objetivo base a 12 meses (4,61 USD, ≈ 345 peniques) queda por debajo del objetivo medio de los analistas (399 peniques), dentro de su rango (320-518).</w:t>
      </w:r>
    </w:p>
    <w:p>
      <w:pPr>
        <w:keepNext/>
        <w:spacing w:after="100"/>
      </w:pPr>
      <w:r>
        <w:rPr>
          <w:b/>
          <w:bCs/>
        </w:rPr>
        <w:t xml:space="preserve">Del valor intrínseco al objetivo a 12 meses.</w:t>
      </w:r>
    </w:p>
    <w:p>
      <w:pPr>
        <w:spacing w:after="100"/>
      </w:pPr>
      <w:r>
        <w:t xml:space="preserve">El objetivo a 12 meses (4,04 USD, ≈ 303 peniques) está un 20 % por encima del valor intrínseco (3,36 USD): el mercado paga por el crecimiento en dólares de los dos próximos años y por Airtel Money a precio de mercado, y nuestro DCF descuenta ese crecimiento al 13,7 %. Para que el precio suba hacia el base (≈ 345 peniques) hace falta que los resultados del 1S FY2027 (hacia el 28-oct) confirmen el margen pese al gasóleo y que las monedas aguanten; el bajista pesa mucho porque la devaluación es un riesgo con antecedentes recientes, no remoto. Sin catalizador claro y con la tesis expuesta a la naira, no hay compra.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resultados de Airtel Money como cotizada (1S)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cuánto vale la parte de pagos (22 % del valor de la suma de partes)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tras el gasóleo (guía: −2,5-3 puntos en el 1S) y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Elecciones generales en Nigeria (primer trimestre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presión sobre la naira y de cambios regulatorios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bloqueo de 180 días de los vendedores de Airtel Money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venta de minoritarios (TPG, Mastercard, QIA); presión sobre su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Airtel Money cotizada; nuevo programa de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Bharti Airtel (79,22 %) decide qué hace con la participación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oferta por el 20,8 % restante sería una prima; la compra de mayo se hizo con un descuento del 11,6 % [38, 42]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Devaluación de la naira y de otras monedas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1,40 USD (−63 %)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de la matriz en dólares muy reducida; la deuda está en monedas locales; tarifas indexadas de hecho a la inflación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Naira por encima de 1.700 por dólar (media del 1T FY2027: 1.367 [3]); caída de reservas del banco central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político y regulatorio en Nigeria (≈ 1/3 del EBITDA) y otros países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−0,4 a −0,8 USD si se congelan tarifas o hay multas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del 50 % de 2025 se aprobó por el regulador (NCC); relación larga con los gobiernos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Multas, impuestos especiales nuevos (Kenia, Uganda), suspensión de licencias de dinero móvil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gasóleo y de la energía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−0,15 USD por punto de margen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Eficiencias de red, energía solar en sitios, compartición de torres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1S por debajo del 47 %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 de control (Bharti, 79,22 %)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de control; operaciones vinculadas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relación con Bharti; mayoría de consejeros independientes (60 %)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Bharti a precios no de mercado; exclusión de cotización a un precio bajo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Airtel Money pierde valor en bolsa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−0,36 USD por cada 20 % de caída de Airtel Money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25-30 % y margen del 50 %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Airtel Money por debajo de 150 peniques; ventas de minoritarios tras el bloqueo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satélites y de MTN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crecimiento rural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Airtel Africa con Starlink para conectividad directa al móvil y backhaul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directos al móvil de pago en los mercados de Airtel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Repatriación de caja y control de cambios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Caja atrapada; menos dividendo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divisas de Nigeria más líquido desde 2024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Saldos de caja en filiales que no se pueden sacar</w:t>
            </w:r>
          </w:p>
        </w:tc>
      </w:tr>
    </w:tbl>
    <w:p>
      <w:pPr>
        <w:spacing w:after="160" w:before="0"/>
      </w:pPr>
    </w:p>
    <w:p>
      <w:pPr>
        <w:pStyle w:val="Heading2"/>
      </w:pPr>
      <w:r>
        <w:t xml:space="preserve">Pre-mortem</w:t>
      </w:r>
    </w:p>
    <w:p>
      <w:pPr>
        <w:spacing w:after="100"/>
      </w:pPr>
      <w:r>
        <w:t xml:space="preserve">Si dentro de 12 meses la acción ha perdido un 40 %, lo más probable es que haya sido la naira: las elecciones de principios de 2027 en Nigeria o una caída del petróleo vacían las reservas y el banco central deja caer la moneda, como en 2023-2024, cuando el BPA publicado pasó de 17 centavos a pérdidas. A la vez, Airtel Money cae por debajo de 150 peniques cuando acaba el bloqueo de los vendedores y el mercado deja de pagar la parte de pagos. Con 5.956 M de deuda neta y arrendamientos, un 20 % menos de valor de empresa es un 30 % menos para el accionista, y el control de Bharti impide que otro comprador ponga suelo al precio.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Bajo; algo positivo</w:t>
      </w:r>
    </w:p>
    <w:p>
      <w:pPr>
        <w:spacing w:after="100"/>
      </w:pPr>
      <w:r>
        <w:t xml:space="preserve">El riesgo de la inteligencia artificial para Airtel Africa es bajo. Vende conectividad móvil y pagos en 14 países africanos, con redes físicas, licencias y espectro que la IA no sustituye; el aumento de tráfico de datos que traen las aplicaciones de IA en el móvil favorece al operador. La IA es más bien una oportunidad de eficiencia: planificación de red, consumo de energía, atención al cliente y detección de fraude en Airtel Money, donde la empresa ya usa herramientas de optimización de red con IA y atención al cliente apoyada en IA [1, 11]. El riesgo indirecto, que los grandes operadores digitales capturen los servicios sobre la red, ya existe con WhatsApp y no cambia con la IA.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más mueve las cifras es la inclusión digital y financiera (el negocio mismo: 54 M de clientes de dinero móvil, muchos sin cuenta bancaria) y la energía: buena parte de los emplazamientos funciona con gasóleo, que en 2026 restó 2,5-3 puntos de margen EBITDA [1, 12]. La seguridad de los datos y el fraude en dinero móvil son riesgos regulatorios [1].</w:t>
      </w:r>
    </w:p>
    <w:p>
      <w:pPr>
        <w:pStyle w:val="Heading2"/>
      </w:pPr>
      <w:r>
        <w:t xml:space="preserve">Controversias</w:t>
      </w:r>
    </w:p>
    <w:p>
      <w:pPr>
        <w:spacing w:after="100"/>
      </w:pPr>
      <w:r>
        <w:t xml:space="preserve">En el 1T FY2027 registró 37 M USD por un acuerdo de principio en un litigio comercial de una filial; en FY2025, 16 M por un litigio de una antigua filial [1]. No se comprobó ninguna sanción relevante de un regulador en los tres últimos años con fuente primaria.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EBITDA de Nigeria se puede convertir a dólares y subir a la matriz cada año, y a qué tipo?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crecimiento en naira llega al accionista en dólares.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efecto del gasóleo es permanente y cuánto se recupera con eficiencias en el 2S?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vale ≈ 0,15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Airtel Money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Airtel Africa el 77,85 % o venderá parte cuando acabe el bloqueo?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venta daría caja para recompras o deuda, pero también diría a qué precio cree Bharti que vale.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planes tiene Bharti con el 20,8 % que no controla?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en mayo con descuento; una oferta futura podría salir a un precio bajo.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los 4.369 M de arrendamientos está en dólares?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devaluación los encarece en moneda local.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último análisis largo (marzo de 2026) ve el impulso operativo intacto pero la valoración «equilibrada»; los titulares de julio destacan que los ingresos superaron el consenso [14].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UK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del 9,6 % del 18-sep los autores se preguntan si es una oportunidad; en marzo destacaban que subía mientras el FTSE caía por el conflicto de Oriente Medio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especializada en pagos (The Paypers, Daba Finance)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colocación de Airtel Money se recortó tras escuchar a los inversores y la acción cayó bajo el precio de salida; se lee como «mercado de compradores» [43,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Airtel Money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colocación salió a ≈ 7.000 M USD frente a los ≈ 10.000 M que se comentaban en junio, y cotiza por debajo; aun así la participación del 77,85 % vale ≈ 5.100 M USD, ≈ 38 % de la capitalización de Airtel Africa.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Bharti y flotante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Bharti compró con descuento y el flotante bajó al 20 %: menos liquidez y peso en los índices; no hay indicio de oferta por el resto.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Naira y tarifas de Nigeria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Nigeria creció un 47,5 % en moneda constante en FY2026 y su margen EBITDA pasó del 50 % al 58 %; la moneda está estable, pero es el mayor riesgo de los números.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Satélites (Starlink, espectro de SpaceX)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los usa como complemento con su propio espectro; el riesgo de sustitución a 3-5 años es bajo.</w:t>
            </w:r>
          </w:p>
        </w:tc>
      </w:tr>
    </w:tbl>
    <w:p>
      <w:pPr>
        <w:spacing w:after="160" w:before="0"/>
      </w:pPr>
    </w:p>
    <w:p>
      <w:pPr>
        <w:spacing w:after="100"/>
      </w:pPr>
      <w:r>
        <w:t xml:space="preserve">El sentimiento ha pasado de entusiasta (2025) a dividido: la salida a bolsa de Airtel Money, que era el catalizador, salió más pequeña y barata de lo esperado, y el control de Bharti ha subido. No aporta ningún riesgo que el informe no recoja; confirma que el mercado ya no paga la prima de 2025 por Airtel Money. No es capitulación: la acción sigue un 23 % por encima del mínimo de 52 semanas.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48 (28 primarias); citas distintas en el texto: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50,4 %: explica la causa (créditos fiscales, regularizaciones, mezcla de países) y no lo proyectes en el DCF. Explicación: El 50,4 % de FY2025 se explica por las pérdidas de divisa no deducibles en Nigeria y por las retenciones sobre dividendos y comisiones que las filiales pagan a la matriz, que no se recuperan [6]. No se proyecta: el DCF usa un 40 % en FY2027, 39 % en FY2028 y 38 % después, en línea con la tasa efectiva antes de divisas y partidas excepcionales que da la empresa (≈ 40 %) [2, 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42,7 %: explica la causa (créditos fiscales, regularizaciones, mezcla de países) y no lo proyectes en el DCF. Explicación: El 42,7 % de FY2026 es estructural en parte: el impuesto de sociedades nominal es del 30 % en Nigeria, Kenia, Uganda, Tanzania y la RD del Congo, y se suman las retenciones en origen sobre dividendos y comisiones de gestión y algunos gastos no deducibles [1, 11]. El DCF baja al 38 % a partir de FY2029 por la mezcla (más dinero móvil en países con menor carga) y por la reforma fiscal de Nigeria; la diferencia vale ≈ 0,15 USD por acción.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13,4 % en FY2034e frente al 10,6 %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-6,0 % frente a -6,3 % real: genera una variación de circulante de -67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fuentes (28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20, 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intangibles e inmovilizado FY2021-FY2024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ESEF (no da los conceptos); 2) informe anual FY2026 (solo FY2025-FY2026); 3) no se descargaron los informes anuales FY2021-FY2024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EBITDA); 2) no se descargaron los informes anuales de MTN y Vodacom por tiempo; 3) se da el margen EBITDA de 12 meses en el comentario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2) web de inversores; 3) sin búsqueda en agencias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terceros con múltiplo (5-10)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RNS (solo operaciones internas); 2) búsqueda de compras de operadores africanos con múltiplo publicado; 3) prensa: no se encontraron múltiplos fiables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la FCA (posiciones netas cortas); 2) Investegate; 3) Yahoo: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Accounts 2026 (ejercicio cerrado el 31-mar-2026): cuentas consolidadas y notas (segmentos, deuda, arrendamientos, impuestos, minoritarios, opción de venta de Airtel Money)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Airtel Africa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https://cdn-webportal.airtelstream.net/website/investor/main/pdf/Airtel_Africa_plc_Annual_Report_and_Accounts_2026.pdf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Results for year ended 31 March 2026 (nota de resultados FY2026, con cuentas y conciliaciones de las medidas alternativas)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Airtel Africa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https://cdn-webportal.airtelstream.net/website/investor/main/pdf/Q4-2026/Press_release_FY'2026.pdf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quarter ended 30 June 2026 (1T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https://cdn-webportal.airtelstream.net/website/investor/main/pdf/Q1-2027/Airtel_Africa_Q127_press_release.pdf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pack Q1 2027 (deuda neta y apalancamiento a 30-jun-2026, conciliaciones)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https://cdn-webportal.airtelstream.net/website/investor/main/pdf/Q1-2027/Africa_IR_Pack_Q127.pdf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Historical data sheet Q3 2026 (trimestres FY2024-3T FY2026 del grupo, regiones y Airtel Money)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https://cdn-webportal.airtelstream.net/website/investor/main/pdf/Q3-2026/Historical-data-sheet-Q3-26.xlsx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year ended 31 March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https://cdn-webportal.airtelstream.net/website/investor/main/pdf/Q4-2025/Press-release-FY'25_final.pdf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year ended 31 March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https://cdn-webportal.airtelstream.net/website/investor/main/pdf/H1-2023/Press-release-FY'24-Final.pdf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year ended 31 March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https://cdn-webportal.airtelstream.net/website/investor/main/pdf/H1-2023/press-release-FY-2023.pdf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year ended 31 March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https://cdn-webportal.airtelstream.net/website/investor/main/pdf/FY-2022/Press-release-FY-2022.pdf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the half-year ended 30 September 2025 (1S FY2026) y del 3T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https://cdn-webportal.airtelstream.net/website/investor/main/pdf/Q3-2026/Press-release-Q3-26.pdf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https://cdn-webportal.airtelstream.net/website/investor/main/pdf/Q4-2026/Airtel_Africa_FY2026_results_transcript.pdf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del 1T FY2027 (gasóleo, inversiones, Starlink, IHS-MTN, salida a bolsa de Airtel Money)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https://cdn-webportal.airtelstream.net/website/investor/main/pdf/Q1-2027/Airtel_Africa_Q12027_results_transcript.pdf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de Airtel Africa plc FY2021-FY2026 (xBRL-JSON)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resultados de Airtel Africa (1T FY2027: ingresos 130 M USD por encima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https://seekingalpha.com/api/sa/combined/AAFRF.xml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Mobile Economy Africa 2026 (ingresos de los operadores 60.500 M USD en 2025 y 90.300 M en 2030; inversión 2025-2030 de 76.200 M; 5G 21 % en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GSMA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https://www.gsma.com/solutions-and-impact/connectivity-for-good/mobile-economy/wp-content/uploads/2026/06/The-Mobile-Economy-Africa-2026.pdf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MTN, Vodacom, Bharti Airtel, Turkcell y Telkom (ingresos y EBITDA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Money intention to float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https://www.investegate.co.uk/announcement/rns/airtel-africa--aaf/airtel-money-intention-to-float-announcement-/9785842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Mobile Economy Africa 2025 (ingresos de los operadores ≈ 52.000 M USD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GSMA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https://www.gsma.com/solutions-and-impact/connectivity-for-good/mobile-economy/wp-content/uploads/2025/10/GSMA_AFRICA_ME2025_R_Web-3.pdf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Directorate Change: Sunil Bharti Mittal deja la presidencia; Gopal Vittal presidente; Shravin Bharti Mittal vicepresidente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https://www.investegate.co.uk/announcement/rns/airtel-africa--aaf/directorate-change/9490320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Directorate Change: V. K. Viswanathan consejero independiente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https://www.investegate.co.uk/announcement/rns/airtel-africa--aaf/directorate-change/9682721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TR-1: Bharti Airtel Limited pasa al 79,22 % de los derechos de voto (22-jun-2026)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https://www.investegate.co.uk/announcement/rns/airtel-africa--aaf/holding-s-in-company/9637696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TR-1: Indian Continent Investment Limited baja del 16,14 % al 0 % (22-jun-2026)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https://www.investegate.co.uk/announcement/rns/airtel-africa--aaf/holding-s-in-company/9637760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Shareholdings: concesión de acciones del plan a largo plazo a Taldar y Dua (26-jun-2026)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https://www.investegate.co.uk/announcement/rns/airtel-africa--aaf/director-pdmr-shareholding/9645679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Shareholdings: Bharti Airtel, liberación de prenda sobre 595,2 M de acciones a 3,66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https://www.investegate.co.uk/announcement/rns/airtel-africa--aaf/director-pdmr-shareholding/9641715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2026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https://www.investegate.co.uk/announcement/rns/airtel-africa--aaf/result-of-agm/9661887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and Capital a 30-sep-2026 (3.624,2 M de derechos de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https://www.investegate.co.uk/announcement/rns/airtel-africa--aaf/total-voting-rights/9802839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fin del primer tramo de recompra (24,5 M de acciones a 331,29 peniques de media)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https://www.investegate.co.uk/announcement/rns/airtel-africa--aaf/transaction-in-own-shares/9795214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AAF.L, ^FTSE y EXV2.DE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https://finance.yahoo.com/quote/AAF.L/history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Airtel Africa, Airtel Money y comparables (estimaciones, recomendaciones, precio objetivo, múltiplos)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https://finance.yahoo.com/quote/AAF.L/analysis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consensus for Airtel Africa plc (FY'26-FY'28, media de 10 analistas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https://cdn-webportal.airtelstream.net/website/investor/main/pdf/Q4-2026/Airtel_Africa_plc_FY'26_consensus.pdf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(ctryprem.xlsx,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https://pages.stern.nyu.edu/~adamodar/pc/datasets/ctryprem.xlsx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GBP), 16 a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Money announcement of offer price (196 peniques; 5.300 M GBP de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https://www.investegate.co.uk/announcement/rns/airtel-africa--aaf/airtel-money-announcement-of-offer-price/9801247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Money announcement of final offer details (2.700 M de acciones; 270 M vendidas por los minoritarios; bloqueo de 180 días)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Mobile Commerce N.V.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https://www.investegate.co.uk/announcement/rns/airtel-mobile-commerce-n-v---amc/airtel-money-announcement-of-final-offer-details/9814566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Aktie nach dem Börsengang von Airtel Money: Kursmarken und wichtige Termine (cronología de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Admiral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https://admiralmarkets.com/de/wissen/articles/shares/airtel-africa-aktie-kurs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falls as Bharti Airtel raises stake at discounted price (Alliance News)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https://www.placera.se/telegram/airtel-africa-airtel-africa-falls-as-bharti-airtel-raises-stake-at-discounted-price-20260513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shares sink as Airtel Money said to cut IPO size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https://www.hl.co.uk/shares/stock-market-news/company--news/airtel-africa-shares-sink-as-airtel-money-said-to-cut-ipo-size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herramientas/movimiento.mjs AAF.L (Yahoo, sesión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https://finance.yahoo.com/quote/AAF.L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Money: notice of results (resultados del 1S 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Mobile Commerce N.V.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https://www.investegate.co.uk/announcement/rns/airtel-mobile-commerce-n-v---amc/notice-of-results/9834711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Bharti Airtel Limited agreed to acquire 16.31% stake in Airtel Africa Plc from Indian Continent Investment Limited for £1.9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Money shares dip below IPO price in USD 7 billion London debut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Paypers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https://thepaypers.com/payments/news/airtel-money-shares-dip-below-ipo-price-in-usd-7-billion-london-debut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Africa Shares Jump after Major Shareholder Mulls Increasing Stake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 Jones / 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https://www.morningstar.com/news/dow-jones/202605113123/airtel-africa-shares-jump-after-major-shareholder-mulls-increasing-stake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Bharti Airtel share price: What CLSA says on Airtel Money IPO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https://www.businesstoday.in/amp/markets/stocks/story/bharti-airtel-share-price-what-clsa-says-on-airtel-money-ipo-sees-27-upside-535019-2026-06-05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UK, página del valor (artículos de marzo a octubre de 2026: «After plummeting 9.6% in a day, is there opportunity in this star FTSE 100 stock?», 21-sep-2026)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https://www.twelfthmagpie.com/tickers/lse-aaf/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Airtel Money weighs smaller London IPO after investor feedback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Daba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https://dabafinance.com/en/news/airtel-money-weighs-smaller-london-ipo-after-investor-feedback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análisis value del 20-oct-2026 (operador con filiales en África; referencia de WACC y comparables europeos)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(informes/orange-2026-10-20)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informes/orange-2026-10-20/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92,1 %</w:t>
      </w:r>
      <w:r>
        <w:t xml:space="preserve"> · Secciones con menos del 60 % de campos cubiertos: </w:t>
      </w:r>
      <w:r>
        <w:rPr>
          <w:b/>
          <w:bCs/>
        </w:rPr>
        <w:t xml:space="preserve">ninguna</w:t>
      </w:r>
      <w:r>
        <w:t xml:space="preserve"> · Generado el 21 oct 2026.</w:t>
      </w:r>
    </w:p>
    <w:p>
      <w:pPr>
        <w:pStyle w:val="Nota"/>
        <w:spacing w:after="100"/>
      </w:pPr>
      <w:r>
        <w:t xml:space="preserve">Cifras en millones de USD (la moneda de las cuentas), ejercicio a 31 de marzo etiquetado por el año en que termina (FY2026 = abr-25 a mar-26). Cuentas oficiales del ESEF (informe anual de FY2026, publicado el 7-may-2026) [1, 13] y nota del 1T FY2027 (30-jun-2026) [3]; los resultados del 1S FY2027 (a 30-sep) aún no han salido (previstos hacia el 28-oct-2026). La acción cotiza en peniques (GBp): precio del informe 280,6 peniques, cierre del 20-oct-2026, = 3,7451 USD con 1,33467 USD por libra (BCE) [28, 34]; la sesión del 21-oct estaba abierta (281,2 peniques a las 14:28 UTC [29]) y la decisión se comprueba con el precio del día en las pruebas de robustez. El BPA de la regla a 12 meses y su historia están en la base SIN DIVISAS que publica la empresa (sin ganancias ni pérdidas de cambio ni partidas excepcionales). NIIF 16: los arrendamientos de torres (4.369 M) van en la deuda y sus altas en el capex. Calificaciones de S&amp;P, Moody's y Fitch sin comprobar. No hay ficha sectorial de telecomunicaciones en el repositorio y este encargo no permite escribir fuera de la carpeta del informe: los comparables salen de Yahoo [29] y del informe de Orange [48]. Una acción cuesta ≈ 3,3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Airtel Africa plc (AAF)</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(3,00 – 5,82)</c:v>
                </c:pt>
                <c:pt idx="1">
                  <c:v>Precio objetivo de los analistas (4,27 – 6,91)</c:v>
                </c:pt>
                <c:pt idx="2">
                  <c:v>Comparables: PER NTM (2,05 – 3,81)</c:v>
                </c:pt>
                <c:pt idx="3">
                  <c:v>DCF (WACC y g ± 0,5) (2,95 – 3,80)</c:v>
                </c:pt>
                <c:pt idx="4">
                  <c:v>Escenarios (bajista – alcista) (1,40 – 4,25)</c:v>
                </c:pt>
                <c:pt idx="5">
                  <c:v>Suma de partes (3,24 – 5,14)</c:v>
                </c:pt>
                <c:pt idx="6">
                  <c:v>DCF con la prima implícita del mercado (4,2 %)</c:v>
                </c:pt>
                <c:pt idx="7">
                  <c:v>Precio actual (3,75)</c:v>
                </c:pt>
              </c:strCache>
            </c:strRef>
          </c:cat>
          <c:val>
            <c:numRef>
              <c:f>Hoja1!$B$2:$B$9</c:f>
              <c:numCache>
                <c:formatCode>#,##0.00</c:formatCode>
                <c:ptCount val="8"/>
                <c:pt idx="0">
                  <c:v>3</c:v>
                </c:pt>
                <c:pt idx="1">
                  <c:v>4.27</c:v>
                </c:pt>
                <c:pt idx="2">
                  <c:v>2.05</c:v>
                </c:pt>
                <c:pt idx="3">
                  <c:v>2.95</c:v>
                </c:pt>
                <c:pt idx="4">
                  <c:v>1.4</c:v>
                </c:pt>
                <c:pt idx="5">
                  <c:v>3.24</c:v>
                </c:pt>
                <c:pt idx="6">
                  <c:v>3.57</c:v>
                </c:pt>
                <c:pt idx="7">
                  <c:v>3.73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(3,00 – 5,82)</c:v>
                </c:pt>
                <c:pt idx="1">
                  <c:v>Precio objetivo de los analistas (4,27 – 6,91)</c:v>
                </c:pt>
                <c:pt idx="2">
                  <c:v>Comparables: PER NTM (2,05 – 3,81)</c:v>
                </c:pt>
                <c:pt idx="3">
                  <c:v>DCF (WACC y g ± 0,5) (2,95 – 3,80)</c:v>
                </c:pt>
                <c:pt idx="4">
                  <c:v>Escenarios (bajista – alcista) (1,40 – 4,25)</c:v>
                </c:pt>
                <c:pt idx="5">
                  <c:v>Suma de partes (3,24 – 5,14)</c:v>
                </c:pt>
                <c:pt idx="6">
                  <c:v>DCF con la prima implícita del mercado (4,2 %)</c:v>
                </c:pt>
                <c:pt idx="7">
                  <c:v>Precio actual (3,75)</c:v>
                </c:pt>
              </c:strCache>
            </c:strRef>
          </c:cat>
          <c:val>
            <c:numRef>
              <c:f>Hoja1!$C$2:$C$9</c:f>
              <c:numCache>
                <c:formatCode>#,##0.00</c:formatCode>
                <c:ptCount val="8"/>
                <c:pt idx="0">
                  <c:v>2.8200000000000003</c:v>
                </c:pt>
                <c:pt idx="1">
                  <c:v>2.6400000000000006</c:v>
                </c:pt>
                <c:pt idx="2">
                  <c:v>1.7600000000000002</c:v>
                </c:pt>
                <c:pt idx="3">
                  <c:v>0.8499999999999996</c:v>
                </c:pt>
                <c:pt idx="4">
                  <c:v>2.85</c:v>
                </c:pt>
                <c:pt idx="5">
                  <c:v>1.8999999999999995</c:v>
                </c:pt>
                <c:pt idx="6">
                  <c:v>0.6600000000000006</c:v>
                </c:pt>
                <c:pt idx="7">
                  <c:v>0.029999999999999805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Nigeria</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1504.1</c:v>
                </c:pt>
                <c:pt idx="1">
                  <c:v>1048.2</c:v>
                </c:pt>
                <c:pt idx="2">
                  <c:v>1603</c:v>
                </c:pt>
              </c:numCache>
            </c:numRef>
          </c:val>
        </c:ser>
        <c:ser>
          <c:idx val="1"/>
          <c:order val="1"/>
          <c:tx>
            <c:strRef>
              <c:f>Hoja1!$C$1</c:f>
              <c:strCache>
                <c:ptCount val="1"/>
                <c:pt idx="0">
                  <c:v>África Oriental</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2125.45</c:v>
                </c:pt>
                <c:pt idx="1">
                  <c:v>2432</c:v>
                </c:pt>
                <c:pt idx="2">
                  <c:v>3015</c:v>
                </c:pt>
              </c:numCache>
            </c:numRef>
          </c:val>
        </c:ser>
        <c:ser>
          <c:idx val="2"/>
          <c:order val="2"/>
          <c:tx>
            <c:strRef>
              <c:f>Hoja1!$D$1</c:f>
              <c:strCache>
                <c:ptCount val="1"/>
                <c:pt idx="0">
                  <c:v>África francófona</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1349.82</c:v>
                </c:pt>
                <c:pt idx="1">
                  <c:v>1469.19</c:v>
                </c:pt>
                <c:pt idx="2">
                  <c:v>1786</c:v>
                </c:pt>
              </c:numCache>
            </c:numRef>
          </c:val>
        </c:ser>
        <c:ser>
          <c:idx val="3"/>
          <c:order val="3"/>
          <c:tx>
            <c:strRef>
              <c:f>Hoja1!$E$1</c:f>
              <c:strCache>
                <c:ptCount val="1"/>
                <c:pt idx="0">
                  <c:v>Sede y eliminaciones</c:v>
                </c:pt>
              </c:strCache>
            </c:strRef>
          </c:tx>
          <c:spPr>
            <a:solidFill>
              <a:srgbClr val="EDA100"/>
            </a:solidFill>
            <a:ln w="12700">
              <a:solidFill>
                <a:srgbClr val="FFFFFF"/>
              </a:solidFill>
            </a:ln>
          </c:spPr>
          <c:invertIfNegative val="0"/>
          <c:cat>
            <c:strRef>
              <c:f>Hoja1!$A$2:$A$4</c:f>
              <c:strCache>
                <c:ptCount val="3"/>
                <c:pt idx="0">
                  <c:v>FY2024</c:v>
                </c:pt>
                <c:pt idx="1">
                  <c:v>FY2025</c:v>
                </c:pt>
                <c:pt idx="2">
                  <c:v>FY2026</c:v>
                </c:pt>
              </c:strCache>
            </c:strRef>
          </c:cat>
          <c:val>
            <c:numRef>
              <c:f>Hoja1!$E$2:$E$4</c:f>
              <c:numCache>
                <c:formatCode>#,##0</c:formatCode>
                <c:ptCount val="3"/>
                <c:pt idx="0">
                  <c:v>-0.27</c:v>
                </c:pt>
                <c:pt idx="1">
                  <c:v>5.9</c:v>
                </c:pt>
                <c:pt idx="2">
                  <c:v>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Nigeria</c:v>
                </c:pt>
                <c:pt idx="1">
                  <c:v>África Oriental</c:v>
                </c:pt>
                <c:pt idx="2">
                  <c:v>África francófona</c:v>
                </c:pt>
                <c:pt idx="3">
                  <c:v>Sede y eliminaciones</c:v>
                </c:pt>
              </c:strCache>
            </c:strRef>
          </c:cat>
          <c:val>
            <c:numRef>
              <c:f>Hoja1!$B$2:$B$5</c:f>
              <c:numCache>
                <c:formatCode>General</c:formatCode>
                <c:ptCount val="4"/>
                <c:pt idx="0">
                  <c:v>25</c:v>
                </c:pt>
                <c:pt idx="1">
                  <c:v>47</c:v>
                </c:pt>
                <c:pt idx="2">
                  <c:v>27.8</c:v>
                </c:pt>
                <c:pt idx="3">
                  <c:v>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África Oriental</c:v>
                </c:pt>
                <c:pt idx="1">
                  <c:v>África francófona</c:v>
                </c:pt>
                <c:pt idx="2">
                  <c:v>Nigeria</c:v>
                </c:pt>
                <c:pt idx="3">
                  <c:v>Otros</c:v>
                </c:pt>
              </c:strCache>
            </c:strRef>
          </c:cat>
          <c:val>
            <c:numRef>
              <c:f>Hoja1!$B$2:$B$5</c:f>
              <c:numCache>
                <c:formatCode>0"%"</c:formatCode>
                <c:ptCount val="4"/>
                <c:pt idx="0">
                  <c:v>47</c:v>
                </c:pt>
                <c:pt idx="1">
                  <c:v>27.8</c:v>
                </c:pt>
                <c:pt idx="2">
                  <c:v>25</c:v>
                </c:pt>
                <c:pt idx="3">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los operadores móviles en África))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2024</c:v>
                </c:pt>
                <c:pt idx="1">
                  <c:v>2025</c:v>
                </c:pt>
                <c:pt idx="2">
                  <c:v>2030e</c:v>
                </c:pt>
              </c:strCache>
            </c:strRef>
          </c:cat>
          <c:val>
            <c:numRef>
              <c:f>Hoja1!$B$2:$B$4</c:f>
              <c:numCache>
                <c:formatCode>#,##0</c:formatCode>
                <c:ptCount val="3"/>
                <c:pt idx="0">
                  <c:v>52000</c:v>
                </c:pt>
                <c:pt idx="1">
                  <c:v>60500</c:v>
                </c:pt>
                <c:pt idx="2">
                  <c:v>90300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Airtel Africa</c:v>
                </c:pt>
                <c:pt idx="1">
                  <c:v>MTN Group</c:v>
                </c:pt>
                <c:pt idx="2">
                  <c:v>Vodacom Group (con Safaricom)</c:v>
                </c:pt>
                <c:pt idx="3">
                  <c:v>Orange Middle East and Africa</c:v>
                </c:pt>
                <c:pt idx="4">
                  <c:v>Telkom SA</c:v>
                </c:pt>
                <c:pt idx="5">
                  <c:v>Globacom</c:v>
                </c:pt>
              </c:strCache>
            </c:strRef>
          </c:cat>
          <c:val>
            <c:numRef>
              <c:f>Hoja1!$B$2:$B$7</c:f>
              <c:numCache>
                <c:formatCode>0.0"%"</c:formatCode>
                <c:ptCount val="6"/>
                <c:pt idx="0">
                  <c:v>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2</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strCache>
            </c:strRef>
          </c:cat>
          <c:val>
            <c:numRef>
              <c:f>Hoja1!$B$2:$B$15</c:f>
              <c:numCache>
                <c:formatCode>#,##0</c:formatCode>
                <c:ptCount val="14"/>
                <c:pt idx="0">
                  <c:v>3908</c:v>
                </c:pt>
                <c:pt idx="1">
                  <c:v>4714</c:v>
                </c:pt>
                <c:pt idx="2">
                  <c:v>5255</c:v>
                </c:pt>
                <c:pt idx="3">
                  <c:v>4979</c:v>
                </c:pt>
                <c:pt idx="4">
                  <c:v>4955</c:v>
                </c:pt>
                <c:pt idx="5">
                  <c:v>6415</c:v>
                </c:pt>
                <c:pt idx="6">
                  <c:v>7826</c:v>
                </c:pt>
                <c:pt idx="7">
                  <c:v>8922</c:v>
                </c:pt>
                <c:pt idx="8">
                  <c:v>9993</c:v>
                </c:pt>
                <c:pt idx="9">
                  <c:v>10992</c:v>
                </c:pt>
                <c:pt idx="10">
                  <c:v>11981</c:v>
                </c:pt>
                <c:pt idx="11">
                  <c:v>12940</c:v>
                </c:pt>
                <c:pt idx="12">
                  <c:v>13716</c:v>
                </c:pt>
                <c:pt idx="13">
                  <c:v>14402</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strCache>
            </c:strRef>
          </c:cat>
          <c:val>
            <c:numRef>
              <c:f>Hoja1!$C$2:$C$15</c:f>
              <c:numCache>
                <c:formatCode>#,##0</c:formatCode>
                <c:ptCount val="14"/>
                <c:pt idx="0">
                  <c:v>1800</c:v>
                </c:pt>
                <c:pt idx="1">
                  <c:v>2279</c:v>
                </c:pt>
                <c:pt idx="2">
                  <c:v>2575</c:v>
                </c:pt>
                <c:pt idx="3">
                  <c:v>2428</c:v>
                </c:pt>
                <c:pt idx="4">
                  <c:v>2304</c:v>
                </c:pt>
                <c:pt idx="5">
                  <c:v>3162</c:v>
                </c:pt>
                <c:pt idx="6">
                  <c:v>3835</c:v>
                </c:pt>
                <c:pt idx="7">
                  <c:v>4416</c:v>
                </c:pt>
                <c:pt idx="8">
                  <c:v>4996</c:v>
                </c:pt>
                <c:pt idx="9">
                  <c:v>5496</c:v>
                </c:pt>
                <c:pt idx="10">
                  <c:v>5991</c:v>
                </c:pt>
                <c:pt idx="11">
                  <c:v>6470</c:v>
                </c:pt>
                <c:pt idx="12">
                  <c:v>6858</c:v>
                </c:pt>
                <c:pt idx="13">
                  <c:v>7201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46.1</c:v>
                </c:pt>
                <c:pt idx="1">
                  <c:v>48.3</c:v>
                </c:pt>
                <c:pt idx="2">
                  <c:v>49</c:v>
                </c:pt>
                <c:pt idx="3">
                  <c:v>48.8</c:v>
                </c:pt>
                <c:pt idx="4">
                  <c:v>46.5</c:v>
                </c:pt>
                <c:pt idx="5">
                  <c:v>49.3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28.6</c:v>
                </c:pt>
                <c:pt idx="1">
                  <c:v>32.6</c:v>
                </c:pt>
                <c:pt idx="2">
                  <c:v>33.4</c:v>
                </c:pt>
                <c:pt idx="3">
                  <c:v>32.9</c:v>
                </c:pt>
                <c:pt idx="4">
                  <c:v>29.7</c:v>
                </c:pt>
                <c:pt idx="5">
                  <c:v>33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8.7</c:v>
                </c:pt>
                <c:pt idx="1">
                  <c:v>13.4</c:v>
                </c:pt>
                <c:pt idx="2">
                  <c:v>12.6</c:v>
                </c:pt>
                <c:pt idx="3">
                  <c:v>-3.3</c:v>
                </c:pt>
                <c:pt idx="4">
                  <c:v>4.4</c:v>
                </c:pt>
                <c:pt idx="5">
                  <c:v>10.6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0">
                  <c:v>-2.6</c:v>
                </c:pt>
                <c:pt idx="1">
                  <c:v>2.4</c:v>
                </c:pt>
                <c:pt idx="2">
                  <c:v>17.8</c:v>
                </c:pt>
                <c:pt idx="3">
                  <c:v>22.4</c:v>
                </c:pt>
                <c:pt idx="4">
                  <c:v>29.1</c:v>
                </c:pt>
                <c:pt idx="5">
                  <c:v>32.9</c:v>
                </c:pt>
                <c:pt idx="6">
                  <c:v>32.7</c:v>
                </c:pt>
                <c:pt idx="7">
                  <c:v>31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Hoja1!$C$2:$C$9</c:f>
              <c:numCache>
                <c:formatCode>0.0"%"</c:formatCode>
                <c:ptCount val="8"/>
                <c:pt idx="6">
                  <c:v>22.3</c:v>
                </c:pt>
                <c:pt idx="7">
                  <c:v>21.1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11</c:v>
                </c:pt>
                <c:pt idx="1">
                  <c:v>10</c:v>
                </c:pt>
                <c:pt idx="2">
                  <c:v>10</c:v>
                </c:pt>
                <c:pt idx="3">
                  <c:v>13</c:v>
                </c:pt>
                <c:pt idx="4">
                  <c:v>15</c:v>
                </c:pt>
                <c:pt idx="5">
                  <c:v>11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c:v>
                </c:pt>
                <c:pt idx="1">
                  <c:v>0</c:v>
                </c:pt>
                <c:pt idx="2">
                  <c:v>2</c:v>
                </c:pt>
                <c:pt idx="3">
                  <c:v>4</c:v>
                </c:pt>
                <c:pt idx="4">
                  <c:v>3</c:v>
                </c:pt>
                <c:pt idx="5">
                  <c:v>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63</c:v>
                </c:pt>
                <c:pt idx="1">
                  <c:v>61</c:v>
                </c:pt>
                <c:pt idx="2">
                  <c:v>63</c:v>
                </c:pt>
                <c:pt idx="3">
                  <c:v>60</c:v>
                </c:pt>
                <c:pt idx="4">
                  <c:v>67</c:v>
                </c:pt>
                <c:pt idx="5">
                  <c:v>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543</c:v>
                </c:pt>
                <c:pt idx="1">
                  <c:v>1021</c:v>
                </c:pt>
                <c:pt idx="2">
                  <c:v>669</c:v>
                </c:pt>
                <c:pt idx="3">
                  <c:v>466</c:v>
                </c:pt>
                <c:pt idx="4">
                  <c:v>515</c:v>
                </c:pt>
                <c:pt idx="5">
                  <c:v>1277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339</c:v>
                </c:pt>
                <c:pt idx="1">
                  <c:v>631</c:v>
                </c:pt>
                <c:pt idx="2">
                  <c:v>663</c:v>
                </c:pt>
                <c:pt idx="3">
                  <c:v>-165</c:v>
                </c:pt>
                <c:pt idx="4">
                  <c:v>220</c:v>
                </c:pt>
                <c:pt idx="5">
                  <c:v>679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9.4</c:v>
                </c:pt>
                <c:pt idx="1">
                  <c:v>13.4</c:v>
                </c:pt>
                <c:pt idx="2">
                  <c:v>17.7</c:v>
                </c:pt>
                <c:pt idx="3">
                  <c:v>18.1</c:v>
                </c:pt>
                <c:pt idx="4">
                  <c:v>12.3</c:v>
                </c:pt>
                <c:pt idx="5">
                  <c:v>14.5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13.7</c:v>
                </c:pt>
                <c:pt idx="1">
                  <c:v>13.7</c:v>
                </c:pt>
                <c:pt idx="2">
                  <c:v>13.7</c:v>
                </c:pt>
                <c:pt idx="3">
                  <c:v>13.7</c:v>
                </c:pt>
                <c:pt idx="4">
                  <c:v>13.7</c:v>
                </c:pt>
                <c:pt idx="5">
                  <c:v>13.7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10</c:v>
                </c:pt>
                <c:pt idx="1">
                  <c:v>18.3</c:v>
                </c:pt>
                <c:pt idx="2">
                  <c:v>18.6</c:v>
                </c:pt>
                <c:pt idx="3">
                  <c:v>-5.7</c:v>
                </c:pt>
                <c:pt idx="4">
                  <c:v>9.5</c:v>
                </c:pt>
                <c:pt idx="5">
                  <c:v>24.1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2.11</c:v>
                </c:pt>
                <c:pt idx="1">
                  <c:v>1.45</c:v>
                </c:pt>
                <c:pt idx="2">
                  <c:v>1.41</c:v>
                </c:pt>
                <c:pt idx="3">
                  <c:v>1.58</c:v>
                </c:pt>
                <c:pt idx="4">
                  <c:v>2.36</c:v>
                </c:pt>
                <c:pt idx="5">
                  <c:v>1.82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FY2027</c:v>
                </c:pt>
                <c:pt idx="1">
                  <c:v>FY2028</c:v>
                </c:pt>
                <c:pt idx="2">
                  <c:v>FY2029-FY2031</c:v>
                </c:pt>
                <c:pt idx="3">
                  <c:v>FY2032+</c:v>
                </c:pt>
              </c:strCache>
            </c:strRef>
          </c:cat>
          <c:val>
            <c:numRef>
              <c:f>Hoja1!$B$2:$B$5</c:f>
              <c:numCache>
                <c:formatCode>#,##0</c:formatCode>
                <c:ptCount val="4"/>
                <c:pt idx="0">
                  <c:v>1022</c:v>
                </c:pt>
                <c:pt idx="1">
                  <c:v>591</c:v>
                </c:pt>
                <c:pt idx="2">
                  <c:v>497</c:v>
                </c:pt>
                <c:pt idx="3">
                  <c:v>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0</c:v>
                </c:pt>
                <c:pt idx="1">
                  <c:v>0</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169</c:v>
                </c:pt>
                <c:pt idx="1">
                  <c:v>169</c:v>
                </c:pt>
                <c:pt idx="2">
                  <c:v>195</c:v>
                </c:pt>
                <c:pt idx="3">
                  <c:v>212</c:v>
                </c:pt>
                <c:pt idx="4">
                  <c:v>229</c:v>
                </c:pt>
                <c:pt idx="5">
                  <c:v>246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4</c:v>
                </c:pt>
                <c:pt idx="1">
                  <c:v>6</c:v>
                </c:pt>
                <c:pt idx="2">
                  <c:v>8</c:v>
                </c:pt>
                <c:pt idx="4">
                  <c:v>120</c:v>
                </c:pt>
                <c:pt idx="5">
                  <c:v>74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2</c:v>
                </c:pt>
                <c:pt idx="1">
                  <c:v>2</c:v>
                </c:pt>
                <c:pt idx="2">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Bharti Airtel Limited (a través de Airtel Africa Mauritius)</c:v>
                </c:pt>
                <c:pt idx="1">
                  <c:v>Indian Continent Investment Limited (familia Mittal)</c:v>
                </c:pt>
                <c:pt idx="2">
                  <c:v>Autocartera</c:v>
                </c:pt>
                <c:pt idx="3">
                  <c:v>Capital flotante</c:v>
                </c:pt>
              </c:strCache>
            </c:strRef>
          </c:cat>
          <c:val>
            <c:numRef>
              <c:f>Hoja1!$B$2:$B$5</c:f>
              <c:numCache>
                <c:formatCode>0.0"%"</c:formatCode>
                <c:ptCount val="4"/>
                <c:pt idx="0">
                  <c:v>79.22</c:v>
                </c:pt>
                <c:pt idx="1">
                  <c:v>0</c:v>
                </c:pt>
                <c:pt idx="2">
                  <c:v>0.17</c:v>
                </c:pt>
                <c:pt idx="3">
                  <c:v>20.6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-5.4</c:v>
                </c:pt>
                <c:pt idx="1">
                  <c:v>76.9</c:v>
                </c:pt>
                <c:pt idx="2">
                  <c:v>-16.4</c:v>
                </c:pt>
                <c:pt idx="3">
                  <c:v>16.5</c:v>
                </c:pt>
                <c:pt idx="4">
                  <c:v>-12.7</c:v>
                </c:pt>
                <c:pt idx="5">
                  <c:v>212.7</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-14.3</c:v>
                </c:pt>
                <c:pt idx="1">
                  <c:v>14.3</c:v>
                </c:pt>
                <c:pt idx="2">
                  <c:v>0.9</c:v>
                </c:pt>
                <c:pt idx="3">
                  <c:v>3.8</c:v>
                </c:pt>
                <c:pt idx="4">
                  <c:v>5.7</c:v>
                </c:pt>
                <c:pt idx="5">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4.4</c:v>
                </c:pt>
                <c:pt idx="1">
                  <c:v>4.5</c:v>
                </c:pt>
                <c:pt idx="2">
                  <c:v>3.4</c:v>
                </c:pt>
                <c:pt idx="3">
                  <c:v>3.7</c:v>
                </c:pt>
                <c:pt idx="4">
                  <c:v>5.9</c:v>
                </c:pt>
                <c:pt idx="5">
                  <c:v>7.2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0.0"x"</c:formatCode>
                <c:ptCount val="6"/>
                <c:pt idx="0">
                  <c:v>4.5</c:v>
                </c:pt>
                <c:pt idx="1">
                  <c:v>4.5</c:v>
                </c:pt>
                <c:pt idx="2">
                  <c:v>4.5</c:v>
                </c:pt>
                <c:pt idx="3">
                  <c:v>4.5</c:v>
                </c:pt>
                <c:pt idx="4">
                  <c:v>4.5</c:v>
                </c:pt>
                <c:pt idx="5">
                  <c:v>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Airtel Africa</c:v>
                </c:pt>
                <c:pt idx="1">
                  <c:v>MTN Group</c:v>
                </c:pt>
                <c:pt idx="2">
                  <c:v>Vodacom Group</c:v>
                </c:pt>
                <c:pt idx="3">
                  <c:v>Bharti Airtel</c:v>
                </c:pt>
                <c:pt idx="4">
                  <c:v>Turkcell</c:v>
                </c:pt>
                <c:pt idx="5">
                  <c:v>Telkom SA</c:v>
                </c:pt>
              </c:strCache>
            </c:strRef>
          </c:cat>
          <c:val>
            <c:numRef>
              <c:f>Hoja1!$B$2:$B$7</c:f>
              <c:numCache>
                <c:formatCode>0.0"x"</c:formatCode>
                <c:ptCount val="6"/>
                <c:pt idx="0">
                  <c:v>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Airtel Africa (16,31 %)</c:v>
                </c:pt>
                <c:pt idx="1">
                  <c:v>Airtel Money (salida a bolsa, 11 % del capital)</c:v>
                </c:pt>
                <c:pt idx="2">
                  <c:v>Airtel Money (≈ 23 % en varias rondas)</c:v>
                </c:pt>
              </c:strCache>
            </c:strRef>
          </c:cat>
          <c:val>
            <c:numRef>
              <c:f>Hoja1!$B$2:$B$4</c:f>
              <c:numCache>
                <c:formatCode>0.0"x"</c:formatCode>
                <c:ptCount val="3"/>
                <c:pt idx="0">
                  <c:v>6.8</c:v>
                </c:pt>
                <c:pt idx="1">
                  <c:v>10.2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1078</c:v>
                </c:pt>
                <c:pt idx="1">
                  <c:v>1412</c:v>
                </c:pt>
                <c:pt idx="2">
                  <c:v>1740</c:v>
                </c:pt>
                <c:pt idx="3">
                  <c:v>1958</c:v>
                </c:pt>
                <c:pt idx="4">
                  <c:v>2188</c:v>
                </c:pt>
                <c:pt idx="5">
                  <c:v>2422</c:v>
                </c:pt>
                <c:pt idx="6">
                  <c:v>2621</c:v>
                </c:pt>
                <c:pt idx="7">
                  <c:v>2816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9393</c:v>
                </c:pt>
                <c:pt idx="1">
                  <c:v>10461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c:v>
                </c:pt>
                <c:pt idx="1">
                  <c:v>3.34</c:v>
                </c:pt>
                <c:pt idx="2">
                  <c:v>4.25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(3,00 – 5,82)</c:v>
                </c:pt>
                <c:pt idx="1">
                  <c:v>Precio objetivo de los analistas (4,27 – 6,91)</c:v>
                </c:pt>
                <c:pt idx="2">
                  <c:v>Comparables: PER NTM (2,05 – 3,81)</c:v>
                </c:pt>
                <c:pt idx="3">
                  <c:v>DCF (WACC y g ± 0,5) (2,95 – 3,80)</c:v>
                </c:pt>
                <c:pt idx="4">
                  <c:v>Escenarios (bajista – alcista) (1,40 – 4,25)</c:v>
                </c:pt>
                <c:pt idx="5">
                  <c:v>Suma de partes (3,24 – 5,14)</c:v>
                </c:pt>
                <c:pt idx="6">
                  <c:v>DCF con la prima implícita del mercado (4,2 %)</c:v>
                </c:pt>
                <c:pt idx="7">
                  <c:v>Precio actual (3,75)</c:v>
                </c:pt>
              </c:strCache>
            </c:strRef>
          </c:cat>
          <c:val>
            <c:numRef>
              <c:f>Hoja1!$B$2:$B$9</c:f>
              <c:numCache>
                <c:formatCode>#,##0.00</c:formatCode>
                <c:ptCount val="8"/>
                <c:pt idx="0">
                  <c:v>3</c:v>
                </c:pt>
                <c:pt idx="1">
                  <c:v>4.27</c:v>
                </c:pt>
                <c:pt idx="2">
                  <c:v>2.05</c:v>
                </c:pt>
                <c:pt idx="3">
                  <c:v>2.95</c:v>
                </c:pt>
                <c:pt idx="4">
                  <c:v>1.4</c:v>
                </c:pt>
                <c:pt idx="5">
                  <c:v>3.24</c:v>
                </c:pt>
                <c:pt idx="6">
                  <c:v>3.57</c:v>
                </c:pt>
                <c:pt idx="7">
                  <c:v>3.73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(3,00 – 5,82)</c:v>
                </c:pt>
                <c:pt idx="1">
                  <c:v>Precio objetivo de los analistas (4,27 – 6,91)</c:v>
                </c:pt>
                <c:pt idx="2">
                  <c:v>Comparables: PER NTM (2,05 – 3,81)</c:v>
                </c:pt>
                <c:pt idx="3">
                  <c:v>DCF (WACC y g ± 0,5) (2,95 – 3,80)</c:v>
                </c:pt>
                <c:pt idx="4">
                  <c:v>Escenarios (bajista – alcista) (1,40 – 4,25)</c:v>
                </c:pt>
                <c:pt idx="5">
                  <c:v>Suma de partes (3,24 – 5,14)</c:v>
                </c:pt>
                <c:pt idx="6">
                  <c:v>DCF con la prima implícita del mercado (4,2 %)</c:v>
                </c:pt>
                <c:pt idx="7">
                  <c:v>Precio actual (3,75)</c:v>
                </c:pt>
              </c:strCache>
            </c:strRef>
          </c:cat>
          <c:val>
            <c:numRef>
              <c:f>Hoja1!$C$2:$C$9</c:f>
              <c:numCache>
                <c:formatCode>#,##0.00</c:formatCode>
                <c:ptCount val="8"/>
                <c:pt idx="0">
                  <c:v>2.8200000000000003</c:v>
                </c:pt>
                <c:pt idx="1">
                  <c:v>2.6400000000000006</c:v>
                </c:pt>
                <c:pt idx="2">
                  <c:v>1.7600000000000002</c:v>
                </c:pt>
                <c:pt idx="3">
                  <c:v>0.8499999999999996</c:v>
                </c:pt>
                <c:pt idx="4">
                  <c:v>2.85</c:v>
                </c:pt>
                <c:pt idx="5">
                  <c:v>1.8999999999999995</c:v>
                </c:pt>
                <c:pt idx="6">
                  <c:v>0.6600000000000006</c:v>
                </c:pt>
                <c:pt idx="7">
                  <c:v>0.029999999999999805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