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Intercontinental Exchange, Inc.</w:t>
      </w:r>
    </w:p>
    <w:p>
      <w:pPr>
        <w:spacing w:after="60"/>
        <w:rPr>
          <w:color w:val="52514E"/>
          <w:sz w:val="22"/>
          <w:szCs w:val="22"/>
        </w:rPr>
      </w:pPr>
      <w:r>
        <w:rPr>
          <w:color w:val="52514E"/>
          <w:sz w:val="22"/>
          <w:szCs w:val="22"/>
        </w:rPr>
        <w:t xml:space="preserve">ICE · New York Stock Exchange · ISIN US45866F1049 · Financieras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155,44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184,29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+19,8 % (base +17,3 %)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177,50 USD · mercado 192,56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87.575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Intercontinental Exchange,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ICE / US45866F1049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Financieras / Mercados de capitales: bolsas y datos financieros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EE. UU.)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155,44 (27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121,79 – 176,05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87.575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103.551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516 M USD/día (3,30 M de acciones; 64 sesiones hasta el 27-oct-2026)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184,29 USD</w:t>
      </w:r>
      <w:r>
        <w:t xml:space="preserve"> frente a 155,44 · Rentabilidad a 12 meses </w:t>
      </w:r>
      <w:r>
        <w:rPr>
          <w:b/>
          <w:bCs/>
        </w:rPr>
        <w:t xml:space="preserve">+19,8 % (base +17,3 %)</w:t>
      </w:r>
      <w:r>
        <w:t xml:space="preserve"> · Valor intrínseco 177,50 USD · con la prima implícita del mercado: 192,56 (+23,9 %) · Alcista / bajista +35,6 % / -27,1 %</w:t>
      </w:r>
    </w:p>
    <w:p>
      <w:pPr>
        <w:spacing w:after="100"/>
      </w:pPr>
      <w:r>
        <w:rPr>
          <w:b/>
        </w:rPr>
        <w:t xml:space="preserve">La recomendación y por qué.</w:t>
      </w:r>
      <w:r>
        <w:t xml:space="preserve"> Mantener, con convicción baja. La regla a 12 meses da Comprar: objetivo ponderado de 184,29 USD, un 19,8 % con el dividendo (base +17,3 %), frente a un precio de 155,44 USD, y valor intrínseco de 177,50 USD (DCF 167,33). El objetivo medio de los analistas, 187,53 USD, queda dentro de nuestro rango. Nos apartamos porque la compra no aguanta las pruebas: con la regla v2 de control la ponderada cae al 11,4 % y con un BPA un 10 % menor, al 8,0 %; y porque la calidad no pasa el filtro. La convicción es baja porque los resultados del 3T26 salen mañana, 29-oct: este informe habrá que rehacerlo con ellos. La subiría un 3T26 que confirme un 2026 de +11 % con una guía de 2027 sin recorte; la bajaría un margen por debajo del 66 %.</w:t>
      </w:r>
    </w:p>
    <w:p>
      <w:pPr>
        <w:spacing w:after="100"/>
      </w:pPr>
      <w:r>
        <w:rPr>
          <w:b/>
        </w:rPr>
        <w:t xml:space="preserve">El negocio.</w:t>
      </w:r>
      <w:r>
        <w:t xml:space="preserve"> Infraestructura de mercado con un margen EBITDA del 66 % en 2025, solo por debajo de CME entre sus comparables [72], un 51 % de ingresos recurrentes y efectos de red en el Brent y el TTF [1]. Pero el rendimiento sobre el capital invertido es del 8,1 %, por debajo del WACC del 8,57 %: dos tercios del capital son fondo de comercio de Ellie Mae y Black Knight [1]. Sin él, rinde un 22,3 %, y el incremental de 2021-2025 es del 11,5 %. Para quien tiene la acción, el método da Vender por calidad (diferencia de −0,5 puntos frente a un mínimo de 4,5). La sostenibilidad del crecimiento es «Sí»: el caso base pide un 4,7 % anual, menos que el 8,6 % de 2021-2025, en un negocio que crece con precio y volumen sin capital nuevo.</w:t>
      </w:r>
    </w:p>
    <w:p>
      <w:pPr>
        <w:spacing w:after="100"/>
      </w:pPr>
      <w:r>
        <w:rPr>
          <w:b/>
        </w:rPr>
        <w:t xml:space="preserve">Finanzas.</w:t>
      </w:r>
      <w:r>
        <w:t xml:space="preserve"> Los ingresos netos crecieron un 12,5 % en el 1S26 por la energía, y el volumen del 3T26 subió un 31 % [8, 35]. La deuda neta ajustada es de 18.828 M USD, 2,7 veces el EBITDA, con A3/A- [68]; subirá con MarketAxess, financiada con 5.750 M USD de deuda [12, 15], hasta unas 3,4 veces [16].</w:t>
      </w:r>
    </w:p>
    <w:p>
      <w:pPr>
        <w:spacing w:after="100"/>
      </w:pPr>
      <w:r>
        <w:rPr>
          <w:b/>
        </w:rPr>
        <w:t xml:space="preserve">Equipo y gobierno.</w:t>
      </w:r>
      <w:r>
        <w:t xml:space="preserve"> Cumple 10 de 13 criterios. Resta que Jeffrey Sprecher sea presidente y primer ejecutivo desde 2000 sin sucesor anunciado, y que los directivos vendieran 91,3 M USD en 12 meses sin ninguna compra, casi todo en planes programados [43].</w:t>
      </w:r>
    </w:p>
    <w:p>
      <w:pPr>
        <w:spacing w:after="100"/>
      </w:pPr>
      <w:r>
        <w:rPr>
          <w:b/>
        </w:rPr>
        <w:t xml:space="preserve">Valoración.</w:t>
      </w:r>
      <w:r>
        <w:t xml:space="preserve"> El DCF inverso dice que el precio descuenta un crecimiento del 3,8 % anual en 2027-2035 con un margen del 64,2 %, menos que nuestro base (4,7 % y 68,0 %): no es exigente. ICE cotiza a 18,0 veces nuestro BPA ajustado de 2027e, frente a una mediana de 21,2 veces en cinco años y de 25,7 en sus comparables. El objetivo a 12 meses sale de acercar el múltiplo a su historia; el informe anterior la medía en BPA contable (mediana de 25,8 veces) y aquí se corrige a la base ajustada de los casos.</w:t>
      </w:r>
    </w:p>
    <w:p>
      <w:pPr>
        <w:spacing w:after="100"/>
      </w:pPr>
      <w:r>
        <w:rPr>
          <w:b/>
        </w:rPr>
        <w:t xml:space="preserve">Riesgos y catalizadores.</w:t>
      </w:r>
      <w:r>
        <w:t xml:space="preserve"> El mayor riesgo es que la volatilidad de la energía se normalice en 2027: es el bajista, a 113,30 USD (−27,1 %). Le siguen MarketAxess y la presión de la IA sobre el múltiplo de los datos. Catalizadores con fecha: resultados del 3T26 y junta de MarketAxess, ambos el 29-oct, con la autorización de competencia de EE. UU. ya concedida el 21-oct [70].</w:t>
      </w:r>
    </w:p>
    <w:p>
      <w:pPr>
        <w:spacing w:after="100"/>
      </w:pPr>
      <w:r>
        <w:rPr>
          <w:b/>
        </w:rPr>
        <w:t xml:space="preserve">Qué cambiaría la decisión.</w:t>
      </w:r>
      <w:r>
        <w:t xml:space="preserve"> Para quien la tiene, la señal del método es Vender por calidad; por números se mantendría hasta 169,37 USD, el límite del filtro de mantener. La banda de venta de la regla de 12 meses (ponderada ≤ −10 %) empieza en 206,98 USD. No hay nivel de compra: por números se compraría por debajo de 161,99 USD (146,04 la compra robusta), pero la calidad lo impide en todos los niveles. Volveríamos a Comprar si el rendimiento sobre el capital supera el WACC en 4,5 puntos, lo que exige años de crecimiento sin compras.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184,29 USD</w:t>
      </w:r>
      <w:r>
        <w:t xml:space="preserve"> (rentabilidad +19,8 % (base +17,3 %)) · Valor intrínseco: 177,50 USD (+14,2 % sobre 155,44) · con la prima implícita del mercado: 192,56 (+23,9 %)</w:t>
      </w:r>
    </w:p>
    <w:p>
      <w:pPr>
        <w:spacing w:after="100"/>
      </w:pPr>
      <w:r>
        <w:t xml:space="preserve">ICE es dueña de los contratos de referencia del petróleo (Brent) y del gas europeo (TTF), de la NYSE, de uno de los grandes proveedores de precios de renta fija y de los sistemas de referencia de la hipoteca en EE. UU. (Encompass y MSP) [1]. Ganó 9.931 M USD de ingresos netos en 2025, con un margen EBITDA del 66 % y un 51 % de ingresos recurrentes, y convierte en caja el 119 % de su beneficio [1].</w:t>
      </w:r>
    </w:p>
    <w:p>
      <w:pPr>
        <w:spacing w:after="100"/>
      </w:pPr>
      <w:r>
        <w:t xml:space="preserve">El precio descuenta menos que el consenso: el DCF inverso implica un crecimiento del 3,8 % anual en 2027-2035 y un margen del 64,2 %, con una rentabilidad implícita del 8,9 %. Por múltiplos, cotiza a 13,5 veces el EBITDA de los próximos 12 meses y a 17,7 veces el BPA, el más barato de su grupo salvo LSEG [72].</w:t>
      </w:r>
    </w:p>
    <w:p>
      <w:pPr>
        <w:spacing w:after="100"/>
      </w:pPr>
      <w:r>
        <w:t xml:space="preserve">El mercado acierta en lo esencial: ICE ha comprado crecimiento (Ellie Mae, Black Knight y ahora MarketAxess) a precios que no rinden su coste de capital, y 2026 es un año de volatilidad excepcional en energía. El negocio orgánico es excelente y el precio no es caro, pero para invertir hay que creer que MarketAxess no repite el patrón y que la volatilidad de 2026 deja una base mayor de interés abierto.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8,13 = 126,83 · 19,5x × 9,25 = 180,38 · 25,7x × 9,71 = 249,55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 / 17,3 %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187,53 (nuestro base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 / -27,1 %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8,6 %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192,56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frente a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161,99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161,99 y 206,98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206,98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+19,8 %, base +17,3 % y valor intrínseco de 177,50 USD sobre el precio), pero nos apartamos por tres razones que la valoración no recoge. La compra no es robusta: con la regla v2 de control la ponderada baja al 11,4 % y con un BPA un 10 % peor, al 8,0 %; el colchón de BPA para seguir en Comprar es solo del 5 %. La calidad no pasa el filtro del método: el rendimiento sobre el capital invertido (8,1 %) queda por debajo del WACC (8,57 %) porque ICE pagó por Black Knight y Ellie Mae más de lo que rinden; para quien la tiene, el método da Vender por calidad. Y los resultados del 3T26 llegan mañana, 29-oct: el informe se rehará con ellos. El precio no es caro, pero el método no sostiene la compra.</w:t>
      </w:r>
    </w:p>
    <w:p>
      <w:pPr>
        <w:pStyle w:val="Heading2"/>
      </w:pPr>
      <w:r>
        <w:t xml:space="preserve">Qué cambiaría la recomendación</w:t>
      </w:r>
    </w:p>
    <w:p>
      <w:pPr>
        <w:pStyle w:val="ListParagraph"/>
        <w:numPr>
          <w:ilvl w:val="0"/>
          <w:numId w:val="2"/>
        </w:numPr>
        <w:spacing w:after="60"/>
      </w:pPr>
      <w:r>
        <w:t xml:space="preserve">Para quien la tiene, el método ya da Vender por calidad (rendimiento sobre el capital − WACC de −0,5 puntos, mínimo 4,5); por números se mantiene hasta 169,37 USD (filtro de mantener).</w:t>
      </w:r>
    </w:p>
    <w:p>
      <w:pPr>
        <w:pStyle w:val="ListParagraph"/>
        <w:numPr>
          <w:ilvl w:val="0"/>
          <w:numId w:val="2"/>
        </w:numPr>
        <w:spacing w:after="60"/>
      </w:pPr>
      <w:r>
        <w:t xml:space="preserve">Por encima de 206,98 USD la regla de 12 meses entra en la banda de venta (ponderada ≤ −10 %).</w:t>
      </w:r>
    </w:p>
    <w:p>
      <w:pPr>
        <w:pStyle w:val="ListParagraph"/>
        <w:numPr>
          <w:ilvl w:val="0"/>
          <w:numId w:val="2"/>
        </w:numPr>
        <w:spacing w:after="60"/>
      </w:pPr>
      <w:r>
        <w:t xml:space="preserve">Si el 3T26 (29-oct) obliga a rebajar el BPA de los escenarios más de un 9 % (el colchón para mantener), pasaríamos a Vender también por números.</w:t>
      </w:r>
    </w:p>
    <w:p>
      <w:pPr>
        <w:pStyle w:val="ListParagraph"/>
        <w:numPr>
          <w:ilvl w:val="0"/>
          <w:numId w:val="2"/>
        </w:numPr>
        <w:spacing w:after="60"/>
      </w:pPr>
      <w:r>
        <w:t xml:space="preserve">Volveríamos a Comprar solo si el rendimiento sobre el capital supera el WACC en 4,5 puntos y la compra aguanta la v2 y un BPA un 10 % peor (límite robusto 146,04 USD).</w:t>
      </w:r>
    </w:p>
    <w:p>
      <w:pPr>
        <w:pStyle w:val="Heading2"/>
      </w:pPr>
      <w:r>
        <w:t xml:space="preserve">Dónde discrepamos del mercado</w:t>
      </w:r>
    </w:p>
    <w:p>
      <w:pPr>
        <w:keepNext/>
        <w:spacing w:after="100"/>
      </w:pPr>
      <w:r>
        <w:rPr>
          <w:b/>
          <w:bCs/>
        </w:rPr>
        <w:t xml:space="preserve">Lo que descuenta el precio.</w:t>
      </w:r>
    </w:p>
    <w:p>
      <w:pPr>
        <w:spacing w:after="100"/>
      </w:pPr>
      <w:r>
        <w:t xml:space="preserve">Que 2026 es un pico de volumen en energía que se deshará en 2027, que Tecnología hipotecaria seguirá rindiendo menos que lo que costó y que MarketAxess añade deuda y riesgo de integración. Por eso paga 18,0 veces el BPA ajustado de 2027e, por debajo de su mediana de 21,2 veces.</w:t>
      </w:r>
    </w:p>
    <w:p>
      <w:pPr>
        <w:keepNext/>
        <w:spacing w:after="100"/>
      </w:pPr>
      <w:r>
        <w:rPr>
          <w:b/>
          <w:bCs/>
        </w:rPr>
        <w:t xml:space="preserve">Lo que creemos nosotros.</w:t>
      </w:r>
    </w:p>
    <w:p>
      <w:pPr>
        <w:spacing w:after="100"/>
      </w:pPr>
      <w:r>
        <w:t xml:space="preserve">Nuestras cifras son casi las del consenso (BPA de 2026e un 0,7 % menor). Creemos que el múltiplo puede volver a su historia si el 3T26 confirma el año, pero compartimos la duda de fondo: el capital invertido no rinde su coste.</w:t>
      </w:r>
    </w:p>
    <w:p>
      <w:pPr>
        <w:keepNext/>
        <w:spacing w:after="100"/>
      </w:pPr>
      <w:r>
        <w:rPr>
          <w:b/>
          <w:bCs/>
        </w:rPr>
        <w:t xml:space="preserve">Por qué podemos tener razón.</w:t>
      </w:r>
    </w:p>
    <w:p>
      <w:pPr>
        <w:spacing w:after="100"/>
      </w:pPr>
      <w:r>
        <w:t xml:space="preserve">El rendimiento sobre el capital lleva cinco años entre el 7,0 % y el 8,2 %, siempre por debajo del WACC; sin fondo de comercio sube del 16,6 % al 22,3 %. El negocio mejora, pero el precio de las compras pesa más.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5,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de red</w:t>
      </w:r>
      <w:r>
        <w:t xml:space="preserve">: Brent y TTF son los contratos de referencia y el margen EBITDA es del 66 % [1].</w:t>
      </w:r>
    </w:p>
    <w:p>
      <w:pPr>
        <w:pStyle w:val="ListParagraph"/>
        <w:numPr>
          <w:ilvl w:val="0"/>
          <w:numId w:val="2"/>
        </w:numPr>
        <w:spacing w:after="60"/>
      </w:pPr>
      <w:r>
        <w:rPr>
          <w:b/>
        </w:rPr>
        <w:t xml:space="preserve">No es caro</w:t>
      </w:r>
      <w:r>
        <w:t xml:space="preserve">: 18,0 veces el BPA ajustado de 2027e frente a una mediana de 21,2 veces en cinco años.</w:t>
      </w:r>
    </w:p>
    <w:p>
      <w:pPr>
        <w:pStyle w:val="ListParagraph"/>
        <w:numPr>
          <w:ilvl w:val="0"/>
          <w:numId w:val="2"/>
        </w:numPr>
        <w:spacing w:after="60"/>
      </w:pPr>
      <w:r>
        <w:rPr>
          <w:b/>
        </w:rPr>
        <w:t xml:space="preserve">Caja</w:t>
      </w:r>
      <w:r>
        <w:t xml:space="preserve">: convierte en flujo libre el 119 % del beneficio en 2021-2025.</w:t>
      </w:r>
    </w:p>
    <w:p>
      <w:pPr>
        <w:pStyle w:val="ListParagraph"/>
        <w:numPr>
          <w:ilvl w:val="0"/>
          <w:numId w:val="2"/>
        </w:numPr>
        <w:spacing w:after="60"/>
      </w:pPr>
      <w:r>
        <w:rPr>
          <w:b/>
        </w:rPr>
        <w:t xml:space="preserve">Momento del negocio</w:t>
      </w:r>
      <w:r>
        <w:t xml:space="preserve">: volumen medio diario del 3T26 +31 % [35] y guía de ingresos recurrentes al alza [6].</w:t>
      </w:r>
    </w:p>
    <w:p>
      <w:pPr>
        <w:pStyle w:val="ListParagraph"/>
        <w:numPr>
          <w:ilvl w:val="0"/>
          <w:numId w:val="2"/>
        </w:numPr>
        <w:spacing w:after="60"/>
      </w:pPr>
      <w:r>
        <w:rPr>
          <w:b/>
        </w:rPr>
        <w:t xml:space="preserve">MarketAxess sin escollos de competencia</w:t>
      </w:r>
      <w:r>
        <w:t xml:space="preserve">: autorización HSR el 21-oct [70].</w:t>
      </w:r>
    </w:p>
    <w:p>
      <w:pPr>
        <w:pStyle w:val="Heading2"/>
      </w:pPr>
      <w:r>
        <w:t xml:space="preserve">En contra</w:t>
      </w:r>
    </w:p>
    <w:p>
      <w:pPr>
        <w:pStyle w:val="ListParagraph"/>
        <w:numPr>
          <w:ilvl w:val="0"/>
          <w:numId w:val="2"/>
        </w:numPr>
        <w:spacing w:after="60"/>
      </w:pPr>
      <w:r>
        <w:rPr>
          <w:b/>
        </w:rPr>
        <w:t xml:space="preserve">Calidad</w:t>
      </w:r>
      <w:r>
        <w:t xml:space="preserve">: rendimiento sobre el capital del 8,1 % frente a un WACC del 8,57 %.</w:t>
      </w:r>
    </w:p>
    <w:p>
      <w:pPr>
        <w:pStyle w:val="ListParagraph"/>
        <w:numPr>
          <w:ilvl w:val="0"/>
          <w:numId w:val="2"/>
        </w:numPr>
        <w:spacing w:after="60"/>
      </w:pPr>
      <w:r>
        <w:rPr>
          <w:b/>
        </w:rPr>
        <w:t xml:space="preserve">Compra frágil</w:t>
      </w:r>
      <w:r>
        <w:t xml:space="preserve">: con la regla v2 la ponderada baja al 11,4 % y con un BPA −10 %, al 8,0 %.</w:t>
      </w:r>
    </w:p>
    <w:p>
      <w:pPr>
        <w:pStyle w:val="ListParagraph"/>
        <w:numPr>
          <w:ilvl w:val="0"/>
          <w:numId w:val="2"/>
        </w:numPr>
        <w:spacing w:after="60"/>
      </w:pPr>
      <w:r>
        <w:rPr>
          <w:b/>
        </w:rPr>
        <w:t xml:space="preserve">Comparación de 2027</w:t>
      </w:r>
      <w:r>
        <w:t xml:space="preserve">: la energía de 2026 es excepcional; el bajista pierde un 27,1 %.</w:t>
      </w:r>
    </w:p>
    <w:p>
      <w:pPr>
        <w:pStyle w:val="ListParagraph"/>
        <w:numPr>
          <w:ilvl w:val="0"/>
          <w:numId w:val="2"/>
        </w:numPr>
        <w:spacing w:after="60"/>
      </w:pPr>
      <w:r>
        <w:rPr>
          <w:b/>
        </w:rPr>
        <w:t xml:space="preserve">Más deuda</w:t>
      </w:r>
      <w:r>
        <w:t xml:space="preserve">: hasta 3,4 veces el EBITDA con MarketAxess [16].</w:t>
      </w:r>
    </w:p>
    <w:p>
      <w:pPr>
        <w:pStyle w:val="ListParagraph"/>
        <w:numPr>
          <w:ilvl w:val="0"/>
          <w:numId w:val="2"/>
        </w:numPr>
        <w:spacing w:after="60"/>
      </w:pPr>
      <w:r>
        <w:rPr>
          <w:b/>
        </w:rPr>
        <w:t xml:space="preserve">Directivos vendedores</w:t>
      </w:r>
      <w:r>
        <w:t xml:space="preserve">: 91,3 M USD de ventas y ninguna compra en 12 meses [43].</w:t>
      </w:r>
    </w:p>
    <w:p>
      <w:pPr>
        <w:pStyle w:val="Heading2"/>
      </w:pPr>
      <w:r>
        <w:t xml:space="preserve">Qué tiene que pasar para que la tesis funcione</w:t>
      </w:r>
    </w:p>
    <w:p>
      <w:pPr>
        <w:spacing w:after="100"/>
      </w:pPr>
      <w:r>
        <w:t xml:space="preserve">La tesis depende de que el crecimiento de 2026 deje una base mayor y no solo un pico: lo dirá el interés abierto de energía y la guía de 2027 (febrero). La señal de que no se cumple: ingresos recurrentes de datos por debajo del 5 % o un margen EBITDA ajustado por debajo del 66 % en dos trimestres seguidos. Y el rendimiento sobre el capital tras cerrar MarketAxess.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sobre el capital invertido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(WACC 8,57 %)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7,5 % tras MarketAxess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filtro de calidad que hoy no se cumple.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y interés abierto de energía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Volumen del 3T26 +31 % [35]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Interés abierto en 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es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 Renta fija y datos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+7-8 %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pasa del múltiplo a las cifras.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3,5 veces tras MarketAxess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y calificación A3/A-.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de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USD (consenso 8,18) [71]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Rebaja de más del 9 % (por debajo de 7,39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colchón de BPA para mantener es del 9 %.</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 / 13,5x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21,9x / 17,7x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ICE nació en 2000 en Atlanta como mercado electrónico de contratos de energía [1]. En 2001 compró la International Petroleum Exchange de Londres (hoy ICE Futures Europe, casa del Brent) y en noviembre de 2005 salió a bolsa en la NYSE [17]. En 2007 compró la New York Board of Trade (café, cacao, azúcar, algodón) [17]. El salto de escala llegó en noviembre de 2013 con NYSE Euronext (11.100 M USD), de la que vendió Euronext en bolsa en 2014 [17]. Desde entonces ha girado hacia datos y software: Interactive Data en 2015 (5.600 M USD) [17], Ellie Mae en 2020 (11.400 M USD) [18] y Black Knight en 2023 (unos 11.800 M USD, con la venta de Optimal Blue y Empower que exigió la FTC) [1]. El 29 de julio de 2026 acordó comprar MarketAxess a 167 USD por acción en efectivo [11]. Jeffrey Sprecher es presidente y consejero delegado [1]. Los ingresos recurrentes pasaron del 34 % en 2014 al 51 % en 2025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ICE para llevar los mercados de energía a una red electrónica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International Petroleum Exchange de Londres, hoy ICE Futures Europe, donde cotiza el Brent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con el símbolo ICE (noviembre)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New York Board of Trade (hoy ICE Futures U.S.) y de la Winnipeg Commodity Exchange; paso del corro a la negociación electrónica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ICE Clear Europe, cámara propia para los futuros de Londres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NYSE Euronext por 11.100 M USD (13 de noviembre); en 2014 vende Euronext en una OPV y se queda con la NYSE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Interactive Data por 5.600 M USD y de Trayport; nace el negocio de datos de renta fija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Ellie Mae (Encompass) a Thoma Bravo por 11.400 M USD; entrada en la tecnología hipotecaria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Black Knight (MSP) por unos 11.800 M USD; por el acuerdo con la FTC vende Optimal Blue y Empower a Constellation Software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SEC aprueba que ICE Clear Credit compense bonos del Tesoro de EE. UU. (febrero) [1]; acuerdo para comprar MarketAxess a 167 USD por acción en efectivo (29 de julio), pendiente de aprobaciones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ICE vende infraestructura de mercado, datos y software en tres segmentos [1]. </w:t>
      </w:r>
      <w:r>
        <w:rPr>
          <w:b/>
        </w:rPr>
        <w:t xml:space="preserve">Exchanges</w:t>
      </w:r>
      <w:r>
        <w:t xml:space="preserve"> (55 % de los ingresos netos de 2025, 5.400 M USD): 13 mercados regulados y seis cámaras de contrapartida central; futuros y opciones de energía (Brent, gas natural europeo TTF, gasóleo, derechos de emisión), blandos agrícolas, tipos de interés europeos (Euribor, SONIA, gilts) e índices bursátiles; la NYSE y otras cuatro bolsas de acciones al contado; cotización de empresas (alrededor del 70 % del S&amp;P 500) y de ETF (75 % del patrimonio en ETF, 10,1 billones USD); y los datos y la conectividad de esos mercados [1]. </w:t>
      </w:r>
      <w:r>
        <w:rPr>
          <w:b/>
        </w:rPr>
        <w:t xml:space="preserve">Fixed Income and Data Services</w:t>
      </w:r>
      <w:r>
        <w:t xml:space="preserve"> (24 %, 2.400 M USD): precios evaluados de más de tres millones de bonos, datos de referencia, índices ICE Data Indices, la plataforma ICE Bonds, la compensación de CDS en ICE Clear Credit y la red ICE Global Network [1]. </w:t>
      </w:r>
      <w:r>
        <w:rPr>
          <w:b/>
        </w:rPr>
        <w:t xml:space="preserve">Mortgage Technology</w:t>
      </w:r>
      <w:r>
        <w:t xml:space="preserve"> (21 %, 2.100 M USD): Encompass para originar hipotecas, MSP para administrarlas, MERS, cierre digital y datos de propiedad y valoración en EE. UU. [1]. Clientes: bancos, gestoras, empresas de energía, emisores y prestamistas hipotecarios [1].</w:t>
      </w:r>
    </w:p>
    <w:p>
      <w:pPr>
        <w:pStyle w:val="Heading2"/>
      </w:pPr>
      <w:r>
        <w:t xml:space="preserve">Cómo gana dinero</w:t>
      </w:r>
    </w:p>
    <w:p>
      <w:pPr>
        <w:spacing w:after="100"/>
      </w:pPr>
      <w:r>
        <w:t xml:space="preserve">En 2025 el 51 % de los ingresos netos (5.056 M de 9.931 M USD) fue recurrente y el 49 % transaccional (4.875 M) [1]. Lo recurrente son las suscripciones de datos (el valor anual suscrito de Fixed Income and Data Services subió un 8,3 %, a 1.990 M USD, y es casi el 100 % de sus ingresos de datos), las cuotas de cotización de la NYSE y las cuotas de software hipotecario [1]. Lo transaccional se cobra por contrato negociado y compensado, por lo que depende del volumen y de la volatilidad de energía y tipos; en hipotecas, por préstamo cerrado por encima del cupo de la suscripción y por ejecuciones hipotecarias [1]. Los costes son en gran parte fijos (tecnología y personal): el margen operativo GAAP pasó del 46 % al 50 % en 2025 con ingresos +7 % y gastos +1 % [1]. Mortgage Technology apenas tiene beneficio operativo GAAP (14 M USD en 2025, tras pérdidas de 170 M en 2024) por la amortización de intangibles de las compras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netos en 2023-2025 ni el 10 % de las cuentas por cobrar [1]. En futuros y CDS los ingresos llegan a través de los miembros compensadores de las cámaras propias, sobre todo grandes bancos y agencias de valores [1]. Los contratos de software hipotecario duran de uno a cinco años [1]; en 2025 los ingresos de originación crecieron un 4 % por volumen, compensado en parte por bajas de clientes, y los de servicing un 3 % por implantaciones, subidas contractuales de precios y ampliaciones en las renovaciones [1]. Poder de precios: ICE dice que puede repercutir la inflación porque sus tarifas de mercado no van ligadas a contratos largos y que sus suscripciones de datos tienen una tasa de renovación alta, sin publicar la cifra [1]. El 15 % de los ingresos netos está en libras o euros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total de futuros y opciones (miles de contratos,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102.652 (dic-25); 118.080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en 2025; +20 %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en jun-26 frente a 98.612 en jun-25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de energía (miles de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62.776 (dic-25); 67.603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en 2025; +6 %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dic-23 eran 51.556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futuros y opciones (miles de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5.003 (+15 %), financieros 3.835 (+16 %), agrícolas y metales 423 (−8 %)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ASV de datos (Fixed Income and Data Services),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en 2025; +7,9 %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anualizadas de suscripción para los 12 meses siguientes; casi el 100 % de los ingresos de datos del segmento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del grupo, M USD (% de ingresos netos)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 (2024, 52,0 %)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5.056 (2025, 50,9 %)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Exchanges 1.526, FIDS 1.956 y Mortgage 1.574 en 2025; en 2023, 4.138 (51,8 %) [1, 5]. 1S26: 2.673 recurrentes frente a 2.970 transaccionales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Mortgage Technology: recurrentes / transaccionales,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 / 467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 / 527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(Black Knight solo desde el 5-sep): 961 / 356. 1S26: 807 recurrentes (+2 %)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de energía (Exchanges),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814 (+46 %); 2T26: 518 (−13 % frente a un 2T25 de 595)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de contado de la NYSE (casada)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gestionado subió un 40 %, pero el ingreso por cada 100 acciones bajó de 0,050 a 0,037 USD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ICE juega en tres mercados con ciclos distintos: (1) negociación y compensación de derivados y acciones, global, con el núcleo en futuros de energía (Brent, TTF) y tipos europeos [1]; (2) datos financieros e índices, global [1]; y (3) software y datos para la hipoteca residencial de EE. UU. [1]. No hay una cifra única de tamaño para el conjunto. Para los mercados usamos los volúmenes mundiales de la FIA [33]; para los datos, el gasto mundial en datos financieros de Burton-Taylor [34]; y como serie del ciclo, el volumen de originación hipotecaria unifamiliar de EE. UU. que estima Fannie Mae [27, 28, 29, 30, 31], contrastado con la previsión de la MBA [32]. La serie mide la actividad que mueve a Mortgage Technology (21 % de los ingresos), no el tamaño del mercado de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Gasto mundial en datos y análisis financieros: 49.200 M USD en 2025, +6,5 % (Burton-Taylor) [34]. Derivados cotizados: 30.640 millones de contratos de futuros en 2025 (+8,6 %) y 1.520 millones de interés abierto a fin de año (+22,8 %) (FIA) [33]. Originación hipotecaria unifamiliar de EE. UU.: 1,96 billones USD en 2025, frente a 4,57 billones en el pico de 2021 (Fannie Mae) [27,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originación hipotecaria unifamiliar de EE. UU., 1-4 viviendas; estimación de Fannie Ma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necesidad de cobertura en energía, blandos y tipos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de 2026 el volumen medio diario de ICE subió un 51 % interanual y el interés abierto un 13 %; el Brent +51 % en volumen y el TTF +50 % en volumen y +17 % en interés abierto [35]. En el mundo, los futuros crecieron un 8,6 % en 2025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datos financieros, índices y automatización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mundial en datos de 49.200 M USD en 2025, +6,5 % [34]; el valor anual suscrito de datos de ICE creció un 8,3 %, a 1.990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originación hipotecaria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4,57 billones USD en 2021 a 1,50 billones en 2023; Fannie Mae prevé 2,12 billones en 2026 y 2,28 billones en 2027 con el hipotecario a 30 años en torno al 6,5-6,7 % [27, 29, 31]. La MBA es más prudente para 2027: 2,10 billones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pasiva y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NYSE cotiza el 75 % del patrimonio en ETF, unos 10,1 billones USD, a cierre de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Compensación obligatoria y regulación de cámaras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Clear Credit autorizada para compensar Tesoro de EE. UU. (repos previstos en el 4T26) [1]; en contra, la cuenta activa de EMIR 3.0 empuja parte de los derivados de tipos cortos en euros hacia cámaras de la UE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en futuros con referencia propia (Brent, TTF), pero intensa en acciones al contado: la NYSE casó el 19,0 % del volumen de EE. UU. en 2025 frente al 19,7 % de 2024 [1]. EEX gana terreno en el TTF: 3.161 TWh de futuros en 2025, +25 %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pesa más del 10 % [1], pero los grandes bancos son a la vez miembros compensadores, clientes y competidores (internalización, sistemas alternativos), y pueden formar consorcios para crear mercados propios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diseña sus sistemas y escribe su propio software; los precios de hardware y software se han mantenido estables y la inflación no le ha afectado de forma material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licencias de mercado y de cámara, garantías y liquidez: ICE aporta 381 M USD propios a los fondos de garantía de sus cámaras [1]. La liquidez atrae liquidez: el Brent sostiene más de 800 contratos relacionados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Sustitutos parciales: el OTC bilateral, la internalización de órdenes y, en hipotecas, los sistemas propios de los prestamistas y los procesos no digitales [1].</w:t>
            </w:r>
          </w:p>
        </w:tc>
      </w:tr>
    </w:tbl>
    <w:p>
      <w:pPr>
        <w:spacing w:after="160" w:before="0"/>
      </w:pPr>
    </w:p>
    <w:p>
      <w:pPr>
        <w:pStyle w:val="Heading2"/>
      </w:pPr>
      <w:r>
        <w:t xml:space="preserve">Ciclo</w:t>
      </w:r>
    </w:p>
    <w:p>
      <w:pPr>
        <w:spacing w:after="100"/>
      </w:pPr>
      <w:r>
        <w:t xml:space="preserve">Dos ciclos distintos. En hipotecas, la originación cayó de 4,57 billones USD en 2021 a 2,37 en 2022 y 1,50 en 2023, con la subida de tipos [29, 30, 31]; se recupera desde entonces (1,70 en 2024, 1,96 en 2025) y Fannie Mae espera 2,12 en 2026 y 2,28 en 2027, aún a la mitad del pico [27, 28]. En mercados, la volatilidad juega a favor: 2025 y el tercer trimestre de 2026 marcan récords de interés abierto [33, 35]. No hemos medido aquí el comportamiento de 2008-09 ni el de 2020.</w:t>
      </w:r>
    </w:p>
    <w:p>
      <w:pPr>
        <w:pStyle w:val="Heading2"/>
      </w:pPr>
      <w:r>
        <w:t xml:space="preserve">Regulación</w:t>
      </w:r>
    </w:p>
    <w:p>
      <w:pPr>
        <w:spacing w:after="100"/>
      </w:pPr>
      <w:r>
        <w:t xml:space="preserve">En EE. UU., la CFTC supervisa los futuros y la SEC la NYSE y las cámaras de valores; las nuevas reglas de la SEC sobre escalones de precio y topes a las tarifas de acceso entran en vigor en noviembre de 2026 [1]. La SEC aprobó en febrero de 2026 que ICE Clear Credit compense deuda del Tesoro, al calor de la compensación obligatoria [1]. En la UE, EMIR 3.0 (acto delegado de octubre de 2025) obliga a tener una cuenta activa en una cámara de la UE para derivados de tipos cortos en euros; ICE lo cubre con ICE Clear Netherlands, pero puede perder volumen en Londres [1]. La equivalencia de las cámaras británicas dura hasta el 30 de junio de 2028 [1]. Mortgage Technology está bajo la FFIEC y la CFPB [1]. La compra de MarketAxess necesita la autorización antimonopolio (HSR) y de supervisores financieros [11].</w:t>
      </w:r>
    </w:p>
    <w:p>
      <w:pPr>
        <w:pStyle w:val="Heading2"/>
      </w:pPr>
      <w:r>
        <w:t xml:space="preserve">Tendencias y disrupción</w:t>
      </w:r>
    </w:p>
    <w:p>
      <w:pPr>
        <w:spacing w:after="100"/>
      </w:pPr>
      <w:r>
        <w:t xml:space="preserve">Tres tendencias favorecen a ICE. La globalización del gas natural y del gas natural licuado amplía el uso de las referencias de gas de ICE [1]: en septiembre de 2026 el interés abierto del gas asiático subió un 31 % y el del TTF un 17 % [35]. La demanda de datos para la inteligencia artificial y la negociación automática sostiene el gasto en datos (+6,5 % en 2025) [34]. La digitalización de la hipoteca de punta a punta favorece a quien tiene originación y servicing integrados [1]. En contra: la regulación que fragmenta la compensación (EMIR 3.0), la presión sobre las tarifas de acciones y la entrada de plataformas nuevas, algunas con cadena de bloques y menos supervisión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mercado europeo del contrato de gas de referencia (TTF, en ICE Endex) y casa del Brent, el contrato del que cuelgan más de 800 productos de petróleo [1]. En cotización, la NYSE tiene alrededor del 70 % de las empresas del S&amp;P 500 y el 75 % del patrimonio en ETF; en negociación de acciones casó el 19,0 % del volumen de EE. UU. en 2025 [1]. En datos de renta fija es uno de los grandes proveedores de precios evaluados (más de tres millones de bonos) [1]. En hipotecas, Encompass y MSP son los sistemas de referencia de originación y servicing, pero no hemos encontrado una cuota publicada en un documento primario.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energía (WTI, gas Henry Hub) y tipos de EE. UU.; ingresos y beneficio operativo de 2025 de su 10-K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NDAQ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cotización de empresas y ETF y en opciones sobre acciones [1]. Ingresos netos de gastos ligados a transacciones (8.262 M menos 3.013 M) y beneficio operativo de 2.331 M de su 10-K; margen, estimación propia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Global Markets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opciones y cotización de ETF [1]. Ingresos menos costes de ingresos (4.714 M menos 2.285 M) y beneficio operativo de 1.467 M de su 10-K; margen, estimación propia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datos (Workspace), índices (FTSE Russell) y compensación (LCH). Ingresos sin recuperaciones de 8.986 M GBP y beneficio operativo de 2.127 M GBP [24]; pasado a USD al tipo del BCE de 31-dic-2025 (1,3465 USD/GBP)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 (EEX)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EEX compite en gas y electricidad europeos (3.161 TWh de futuros TTF en 2025, +25 %) [36]. Ingresos netos de 6.026 M EUR y EBIT de 3.010 M EUR [25], a 1,175 USD/EUR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datos de mercado, precios de referencia e índices. Beneficio operativo de 6.478 M USD de su 10-K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índices y análisis de carteras; a la vez socio, porque ICE lista futuros sobre índices MSCI [1]. Beneficio operativo de 1.714 M USD de su 10-K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Constellation Software (Dark Matter, Optimal Blue)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Compró a ICE en 2023 el sistema de originación Empower y Optimal Blue, por orden de la FTC [1]; es hoy el rival más directo de Encompass. No publica cifras de estos negocios por separado.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interés abierto récord en futuros de tipos (15 millones de contratos) y azúcar en septiembre de 2026, TTF +17 % [21]; el Brent ancla más de 800 contratos [1]. Encompass y MSP conectan a miles de participantes de la hipoteca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Encompass es el sistema de registro de la hipoteca y los contratos duran de uno a cinco años [1]; el valor anual suscrito de datos es casi el 100 % de esos ingresos y crece un 8,3 % [1]. Pero hubo bajas de clientes en originación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de precio propias (Brent, TTF, blandos), la marca NYSE y licencias de 13 mercados y seis cámaras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49,6 % en 2025 (4.929 M sobre 9.931 M USD) [1], por encima de Nasdaq (44 %), S&amp;P Global (42 %) y LSEG (24 %), pero por debajo de CME (65 %) y Cboe (60 %) [5-7,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referencia tiende a un solo mercado y una sola cámara; la FTC exigió vender Empower y Optimal Blue para aprobar Black Knight, prueba de lo concentrado del software hipotecario [1].</w:t>
            </w:r>
          </w:p>
        </w:tc>
      </w:tr>
    </w:tbl>
    <w:p>
      <w:pPr>
        <w:spacing w:after="160" w:before="0"/>
      </w:pPr>
    </w:p>
    <w:p>
      <w:pPr>
        <w:pStyle w:val="Heading2"/>
      </w:pPr>
      <w:r>
        <w:t xml:space="preserve">Amenazas</w:t>
      </w:r>
    </w:p>
    <w:p>
      <w:pPr>
        <w:spacing w:after="100"/>
      </w:pPr>
      <w:r>
        <w:t xml:space="preserve">Cuatro amenazas, por probabilidad. Alta: la cuenta activa de EMIR 3.0 puede llevar parte de los derivados de tipos en euros de Londres a cámaras de la UE, aunque ICE tiene ICE Clear Netherlands [1]. Media: EEX crece en el TTF (+25 % en 2025) [36] y las nuevas reglas de la SEC sobre tarifas de acceso entran en noviembre de 2026 [1]. Media: en originación hipotecaria hubo bajas de clientes en 2025 [1] y Constellation compite con Empower. Media-baja: la compra de MarketAxess puede chocar con el antimonopolio; ICE no está obligada a aceptar remedios y pagaría 327,4 M USD si se bloquea; fecha límite el 29 de julio de 2027, prorrogable dos veces seis meses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8,6 %</w:t>
      </w:r>
      <w:r>
        <w:t xml:space="preserve">, EBITDA </w:t>
      </w:r>
      <w:r>
        <w:rPr>
          <w:b/>
          <w:bCs/>
        </w:rPr>
        <w:t xml:space="preserve">9,5 %</w:t>
      </w:r>
      <w:r>
        <w:t xml:space="preserve">, BPA </w:t>
      </w:r>
      <w:r>
        <w:rPr>
          <w:b/>
          <w:bCs/>
        </w:rPr>
        <w:t xml:space="preserve">-5,3 %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netos pasaron de 7.146 M USD en 2021 a 9.931 M en 2025, una TCAC del 8,6 %, y a 10.558 M en el LTM a jun-26 [1, 2, 6]. El crecimiento orgánico lo pone Exchanges, que sube de 3.856 a 5.411 M USD (+40 %) sin compras relevantes, gracias al volumen de energía y de tipos de interés y al interés abierto récord [1, 2]. El inorgánico es Black Knight: Mortgage Technology pasó de 1.129 M USD en 2022 a 2.022 M en 2024, el primer año completo [1, 2]. Antes, en 2022, había caído un 20 % (de 1.407 a 1.129 M) por el desplome de la originación hipotecaria [2]. El margen EBIT pasó del 48,3 % en 2021 al 49,6 % en 2025 y al 51,8 % en el LTM, con un primer trimestre de 2026 récord (56 %) [5, 6, 7]. La amortización de intangibles adquiridos pesa mucho: 622 M USD en 2021, 610 en 2022, 748 en 2023, 1.011 en 2024, 993 en 2025 y 474 en el 1S26 [5, 6, 9, 10]. </w:t>
      </w:r>
      <w:r>
        <w:rPr>
          <w:b/>
        </w:rPr>
        <w:t xml:space="preserve">2023 no es comparable</w:t>
      </w:r>
      <w:r>
        <w:t xml:space="preserve">: Black Knight consolidó cuatro meses y hubo 269 M USD de costes de transacción e integración. El beneficio neto de 2021 (4.058 M) y el de 2022 (1.446 M) están distorsionados por Bakkt y por las participadas (ver ajustes).</w:t>
      </w:r>
    </w:p>
    <w:p>
      <w:pPr>
        <w:pStyle w:val="Heading2"/>
      </w:pPr>
      <w:r>
        <w:t xml:space="preserve">Ajustes y partidas no recurrentes</w:t>
      </w:r>
    </w:p>
    <w:p>
      <w:pPr>
        <w:spacing w:after="100"/>
      </w:pPr>
      <w:r>
        <w:rPr>
          <w:b/>
        </w:rPr>
        <w:t xml:space="preserve">Ingresos</w:t>
      </w:r>
      <w:r>
        <w:t xml:space="preserve">: se usan los «revenues, less transaction-based expenses» que ICE publica como cifra principal, porque los ingresos brutos (9.168, 9.636, 9.903, 11.761 y 12.640 M USD de 2021 a 2025) incluyen las tasas de la Sección 31, que ICE repercute a la SEC, y los pagos de liquidez, enrutamiento y compensación: 2.022, 2.344, 1.915, 2.482 y 2.709 M [1, 2]. ICE no presenta coste de ventas: los gastos generales recogen todos los gastos operativos sin amortizaciones. </w:t>
      </w:r>
      <w:r>
        <w:rPr>
          <w:b/>
        </w:rPr>
        <w:t xml:space="preserve">No recurrentes en el EBITDA</w:t>
      </w:r>
      <w:r>
        <w:t xml:space="preserve">: la línea de costes de transacción e integración de la cuenta (102, 93, 269, 104 y 70 M USD; 81 M en el LTM). ICE ajusta además 17 M de «otros» en 2023, 47 M de asuntos regulatorios y otros en 2024 y un abono regulatorio de 10 M en el 1S26; esas partidas no se suman [5, 6, 9]. </w:t>
      </w:r>
      <w:r>
        <w:rPr>
          <w:b/>
        </w:rPr>
        <w:t xml:space="preserve">Debajo del EBIT</w:t>
      </w:r>
      <w:r>
        <w:t xml:space="preserve">: 2021 lleva 1.419 M USD de plusvalía por desconsolidar Bakkt y 1.321 M de plusvalías en participaciones (Coinbase); 2022, 1.340 M de pérdidas y deterioros de participadas (Bakkt); 2023, 160 M de pérdida por el pagaré de Optimal Blue; el 1S26, 389 M de revalorización de Polymarket y 62 M de Bakkt [1, 6, 8, 10]. El BPA ajustado de ICE fue de 5,06, 5,30, 5,62, 6,07 y 6,95 USD entre 2021 y 2025 [5, 9,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(30-jul-26)</w:t>
      </w:r>
      <w:r>
        <w:t xml:space="preserve">. La dirección habló de un segundo trimestre récord: BPA ajustado de 1,90 USD (+5 %), ingresos recurrentes de 1.353 M USD (+8 %) e interés abierto récord. El ingreso transaccional, en cambio, apenas creció (+2 %), porque la energía cayó un 13 % frente a un 2T25 excepcional [6]. En la presentación de la compra de MarketAxess dio estas cifras: valor empresa de 5.700 M USD, 10,6x el EBITDA ajustado con sinergias, 100 M USD de sinergias de costes (un tercio el primer año y el total al tercero), aumento del BPA ajustado desde el primer año, cierre en el 1S27 y apalancamiento máximo de unas 3,4x, con vuelta a 3x o menos en 18-24 meses [16]. Las recompras siguen, de 350 a 400 M USD por trimestre, con una autorización de 4.000 M [6, 16]. </w:t>
      </w:r>
      <w:r>
        <w:rPr>
          <w:b/>
        </w:rPr>
        <w:t xml:space="preserve">Cambio de discurso desde febrero</w:t>
      </w:r>
      <w:r>
        <w:t xml:space="preserve">: la guía de crecimiento recurrente subió de «un dígito medio» a «un dígito alto» en Exchanges y del mismo «un dígito medio» al 7-8 % en Fixed Income and Data Services. También subieron los gastos (no GAAP de 4.075-4.140 a 4.190-4.230 M USD) y el capex (de 740-790 a unos 850 M), por la remuneración variable, el plan de centros de datos y el desarrollo de producto [5, 6, 16]. El </w:t>
      </w:r>
      <w:r>
        <w:rPr>
          <w:b/>
        </w:rPr>
        <w:t xml:space="preserve">1T26</w:t>
      </w:r>
      <w:r>
        <w:t xml:space="preserve"> había sido récord: ingresos netos +20 %, energía +46 %, financieros +65 % y margen operativo del 56 %. A la vez, 389 M USD de revalorización de Polymarket inflaron el BPA GAAP a 2,48 USD [7, 8]. No se ha podido leer el turno de preguntas de ninguna de las dos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Bakkt desconsolidada en 2021 (plusvalía de 1.419 M USD en otros resultados); desde entonces, participada [10].; 2022: Sin compra, pero el balance lleva 5.000 M USD de bonos SMR emitidos para Black Knight y retenidos como caja restringida (6.149 M de caja restringida a corto) [3].; 2023: Black Knight, consolidada desde el 5-sep-23 (unos 4 meses en la cuenta, entera en el balance); Optimal Blue y Empower vendidos el 14-sep-23 por orden de la FTC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Exclusión de las cámaras</w:t>
      </w:r>
      <w:r>
        <w:t xml:space="preserve">: se restan del activo y del pasivo (corriente y total) los depósitos de margen y fondos de garantía de los miembros y los depósitos invertidos, contratos de entrega de ICE NGX y márgenes de variación pendientes: 150.429 M USD en 2021 (145.936 + 4.493), 147.372 en 2022, 80.794 en 2023, 84.312 en 2024, 81.226 en 2025 y 116.912 a jun-26 [1, 2, 3, 6]. Sin ellos, el activo pasa de 136.887 a 55.661 M USD en 2025, y el 83 % es fondo de comercio e intangibles (46.000 M). </w:t>
      </w:r>
      <w:r>
        <w:rPr>
          <w:b/>
        </w:rPr>
        <w:t xml:space="preserve">Deuda</w:t>
      </w:r>
      <w:r>
        <w:t xml:space="preserve">: la deuda bruta subió de 13.918 M USD en 2021 a 22.613 M en 2023 por Black Knight, y bajó a 20.368 M en 2024, 19.644 M en 2025 y 19.846 M en jun-26 [1, 8]. Son 18.628 M de bonos senior (vida media de 13 años, coste medio del 3,7 %) y 1.218 M de papel comercial [8]. Deuda/EBITDA: 4,6x en 2023 y 3,0x en 2025. MarketAxess, con un valor empresa de 5.700 M USD según la dirección, subirá la deuda: ICE emitió 3.750 M USD en bonos en ago-26. La dirección prevé un apalancamiento máximo de unas 3,4x el EBITDA pro forma y volver a 3x o menos en 18-24 meses [15, 16]. El circulante es negativo o casi nulo: se cobra por adelantado (ingresos diferidos de 567 M a jun-26)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16.524</w:t>
      </w:r>
      <w:r>
        <w:t xml:space="preserve">, conversión </w:t>
      </w:r>
      <w:r>
        <w:rPr>
          <w:b/>
          <w:bCs/>
        </w:rPr>
        <w:t xml:space="preserve">119 %</w:t>
      </w:r>
      <w:r>
        <w:t xml:space="preserve"> del beneficio neto; adquisiciones 10.380, dividendos 4.699, recompras 2.176.</w:t>
      </w:r>
    </w:p>
    <w:p>
      <w:pPr>
        <w:spacing w:after="100"/>
      </w:pPr>
      <w:r>
        <w:t xml:space="preserve">El flujo de explotación (después de intereses e impuestos) subió de 3.123 M USD en 2021 a 4.662 M en 2025, y fue de 3.324 M en el 1S26 frente a 2.472 M en el 1S25 [1, 2, 6]. El capex incluye el inmovilizado material y el software desarrollado capitalizado: 452 M en 2021, 791 M en 2025, y la guía de 2026 es de unos 850 M USD [6]. El salto de 2024-2025 se reparte entre el inmovilizado material (de 179 M en 2021 a 373 M en 2025) y el software capitalizado (de 273 a 418 M) [4]. ICE no separa mantenimiento y crecimiento. El flujo libre que publica ICE (explotación menos capex y software) fue de 3.857 M en 2024 y 3.871 M en 2025. El ajustado, que neutraliza el desfase de cobro y pago de las tasas de la Sección 31, fue de 3.620 y 4.187 M [5]. Ojo con esto: ICE cobra las tasas de la Sección 31 antes de pagarlas a la SEC, y eso mueve el flujo de explotación de un año a otro (−237 M en 2024, +316 M en 2025, −286 M en el 1S26) [5, 6]. Las inversiones en participadas no van en adquisiciones: 1.029 M USD en 2025 (Polymarket) y 600 M más en mar-26 [4, 8]. Los flujos excluyen las variaciones de los depósitos de margen de los miembros, que ICE presenta en financiación.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(Atlanta)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ICE desde 2002 y su única cuestión clave de auditoría de 2025 son las posiciones fiscales inciertas [1]. Tres asuntos piden atención. Primero, la </w:t>
      </w:r>
      <w:r>
        <w:rPr>
          <w:b/>
        </w:rPr>
        <w:t xml:space="preserve">amortización de intangibles adquiridos</w:t>
      </w:r>
      <w:r>
        <w:t xml:space="preserve"> (993 M USD en 2025) separa el beneficio contable (5,77 USD por acción) del ajustado que publica ICE (6,95 USD): el ajuste es legítimo en caja, pero oculta que ICE pagó por ese crecimiento, y es la razón de que el rendimiento sobre el capital invertido (8,1 %) no llegue al coste de capital [1, 5]. Segundo, los </w:t>
      </w:r>
      <w:r>
        <w:rPr>
          <w:b/>
        </w:rPr>
        <w:t xml:space="preserve">resultados de participadas</w:t>
      </w:r>
      <w:r>
        <w:t xml:space="preserve"> mueven el beneficio neto: plusvalías de 2.740 M USD en 2021 (Bakkt, Coinbase), pérdidas de 1.340 M en 2022 y 389 M de revalorización de Polymarket en el 1S26, al precio de una ronda posterior, sin cotización [1, 8]. Tercero, el </w:t>
      </w:r>
      <w:r>
        <w:rPr>
          <w:b/>
        </w:rPr>
        <w:t xml:space="preserve">flujo de explotación</w:t>
      </w:r>
      <w:r>
        <w:t xml:space="preserve"> lleva el desfase de las tasas de la Sección 31 (−237 M USD en 2024, +316 M en 2025) [5]. La remuneración en acciones fue de 293 M USD en 2025, un 3,0 % de los ingresos [1]. Indicadores: Piotroski de 8 sobre 9 y Beneish de −2,52, lejos de la zona de manipulación. El Altman Z (2,99, zona gris) se calcula sin los depósitos de las cámaras y no está pensado para un operador de mercados; no lo usamos.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Revalorización de Polymarket sin precio de mercado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Preferentes contabilizadas a unos 2.000 M USD por una ronda de marzo de 2026; 389 M de ganancia en el 1S26 [8]. Están en el puente a ese valor.</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contable frente al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es la amortización de intangibles adquiridos (unos 950 M USD anuales, según el calendario del 10-K) [1]. El objetivo a 12 meses usa el ajustado en historia y casos.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Desfase de las tasas de la Sección 31 en el flujo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flujo en ±300 M USD de un año a otro; ICE publica un flujo libre ajustado que lo neutraliza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durante 24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Ernst &amp; Young desde 2002 [1]; el socio rota según la norma de EE. UU., pero no la firma.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43.631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30.646 M en 2025 (el 64 % del capital invertido medio); ha subido más de un 5 % en 1 de 4 años: compra única grande. ROIC publicado 8,1 %; sin fondo de comercio, 22,3 %.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11,5 % · </w:t>
      </w:r>
      <w:r>
        <w:rPr>
          <w:b/>
          <w:bCs/>
        </w:rPr>
        <w:t xml:space="preserve">WACC</w:t>
      </w:r>
      <w:r>
        <w:t xml:space="preserve">: 8,6 %.</w:t>
      </w:r>
    </w:p>
    <w:p>
      <w:pPr>
        <w:spacing w:after="100"/>
      </w:pPr>
      <w:r>
        <w:t xml:space="preserve">En ICE, el capital invertido es sobre todo fondo de comercio e intangibles: 46.000 M USD de 55.661 M de activo sin márgenes en 2025 [1]. Por eso el ROIC contable es bajo para un negocio con un margen EBITDA del 65 %. Black Knight añadió unos 9.400 M de fondo de comercio y 4.200 M de intangibles netos entre 2022 y 2023, mientras el resultado operativo de Mortgage Technology pasó de 57 M USD en 2022 a 14 M en 2025 (de 511 a 859 M ajustado) [1, 9, 10]. El ROIC incremental de esa compra es, por tanto, bajo en términos contables. Exchanges, sin compras grandes, pasó de 2.523 a 3.982 M USD de resultado operativo entre 2021 y 2025 [1, 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libre de 1.067 M USD a jun-26 (837 M a dic-25) y línea de crédito revolving de 3.900 M USD sin disponer; papel comercial emitido: 1.218 M USD a jun-26 [6, 8]. El 20-ago-26, para MarketAxess, ICE hizo tres cosas. Emitió 3.750 M USD en bonos (3.710 M netos). Firmó un préstamo a plazo de 2.000 M USD con disposición diferida, que vence a los 24 meses de disponerlo. Y amplió la línea revolving: hasta ago-31 para 3.670 M USD de compromisos, con un tramo de 1.500 M para la compra. El préstamo puente de 6.200 M USD quedó cancelado [12, 13, 15]. Tras la emisión, la deuda bruta ronda los 23.600 M USD (estimación propia: 19.846 M a jun-26 + 3.750 M), antes de disponer del préstamo a plazo.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y S&amp;P A-, ambas con perspectiva estable: calificación de los bonos senior emitidos el 11-ago-2026 para MarketAxess [68].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Garantías de las cámaras</w:t>
      </w:r>
      <w:r>
        <w:t xml:space="preserve">: ICE responde con capital propio aportado al fondo de garantía y con caja restringida regulatoria de sus cámaras: 748 M USD de caja restringida a corto, 629 M de inversiones restringidas a corto y 381 M a largo a dic-25. Son de ICE, pero no están disponibles y no cuentan como caja en el puente [1]. </w:t>
      </w:r>
      <w:r>
        <w:rPr>
          <w:b/>
        </w:rPr>
        <w:t xml:space="preserve">Pasivo por impuestos diferidos</w:t>
      </w:r>
      <w:r>
        <w:t xml:space="preserve">: 3.998 M USD a dic-25, casi todo por los intangibles adquiridos [1]. </w:t>
      </w:r>
      <w:r>
        <w:rPr>
          <w:b/>
        </w:rPr>
        <w:t xml:space="preserve">Arrendamientos operativos</w:t>
      </w:r>
      <w:r>
        <w:t xml:space="preserve">: 672 M USD de pasivo a dic-25, frente a 372 M en 2024. En US GAAP su gasto ya está en el EBITDA y no se suman al puente [1]. </w:t>
      </w:r>
      <w:r>
        <w:rPr>
          <w:b/>
        </w:rPr>
        <w:t xml:space="preserve">Pensiones</w:t>
      </w:r>
      <w:r>
        <w:t xml:space="preserve">: el plan de prestación definida (congelado) tiene un superávit de 69 M USD, pero el complementario de directivos (19 M) y las prestaciones posteriores a la jubilación (115 M) dejan un déficit neto de 65 M, 49 M después de impuestos, que va al puente [1]. </w:t>
      </w:r>
      <w:r>
        <w:rPr>
          <w:b/>
        </w:rPr>
        <w:t xml:space="preserve">Covenants</w:t>
      </w:r>
      <w:r>
        <w:t xml:space="preserve">: la línea de crédito exige una ratio de apalancamiento; no se publica la holgura [1]. </w:t>
      </w:r>
      <w:r>
        <w:rPr>
          <w:b/>
        </w:rPr>
        <w:t xml:space="preserve">MarketAxess</w:t>
      </w:r>
      <w:r>
        <w:t xml:space="preserve">: ICE pagará 327,4 M USD si la compra no se cierra por motivos de competencia [12]. </w:t>
      </w:r>
      <w:r>
        <w:rPr>
          <w:b/>
        </w:rPr>
        <w:t xml:space="preserve">Minoritarios rescatables</w:t>
      </w:r>
      <w:r>
        <w:t xml:space="preserve">: 32 M USD a jun-26 [6].</w:t>
      </w:r>
    </w:p>
    <w:p>
      <w:pPr>
        <w:pStyle w:val="Heading1"/>
      </w:pPr>
      <w:r>
        <w:t xml:space="preserve">12. Asignación de capital</w:t>
      </w:r>
    </w:p>
    <w:p>
      <w:pPr>
        <w:pStyle w:val="Confianza"/>
        <w:spacing w:after="100"/>
      </w:pPr>
      <w:r>
        <w:t xml:space="preserve">Confianza: Media</w:t>
      </w:r>
    </w:p>
    <w:p>
      <w:pPr>
        <w:spacing w:after="100"/>
      </w:pPr>
      <w:r>
        <w:t xml:space="preserve">ICE paga un dividendo trimestral creciente: 1,32 USD por acción en 2021, 1,92 en 2025 y 0,52 por trimestre en 2026 (1,04 en el 1S26) [1, 8]. En 2025 destinó 1.105 M USD a dividendos [1]. Las recompras se paran tras una compra grande: 0 en 2023 y 2024 por Black Knight, 1.294 M USD en 2025 y 1.200 M en el 1S26 (7,9 M de acciones) [1, 8]. El consejo aprobó 3.000 M USD de recompras desde el 1-ene-26 y subió la autorización a 4.000 M desde el 1-jul-26 [1, 6]. La dirección dice que las recompras «siguen siendo una prioridad» compatible con «inversión disciplinada» [6]. La empresa se marca un rango objetivo de apalancamiento, pero no publica su cifra; usa el papel comercial para desapalancarse con la caja que genera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Ellie Mae (originación hipotecaria, Encompass)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ICE emitió 9.606 M USD en bonos en 2020. El importe es la caja pagada, neta de la caja adquirida; el precio total no se ha comprobado en el 10-K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Mortgage Technology. Sus ingresos cayeron con la originación en 2022 (el segmento, de 1.407 a 1.129 M USD) y se recuperan despacio; parte de sus intangibles ya está totalmente amortizada, lo que bajó la amortización en 2025 [1, 4,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Knight (software de administración hipotecaria MSP,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10.542 M USD en caja (bonos SMR de 5.000 M emitidos en 2022, papel comercial y deuda) y 1.274 M en acciones (10,9 M de acciones); neto de la venta de Optimal Blue y Empower, 11.362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5-sep-23. Mortgage Technology llegó a 2.101 M USD de ingresos en 2025, con un margen ajustado del 41 % y un margen GAAP del 1 %. La deuda bajó de 22.613 M (2023) a 19.644 M (2025). Costes de integración: 269 M en 2023, 104 M en 2024, 70 M en 2025 y 53 M en el 1S26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Polymarket (participación preferente, 22 % del capital en circulación)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 1.000 M USD (serie D, oct-25), 600 M (serie E, mar-26) y 40 M en ordinarias (abr-26)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389 M USD en el 1T26 por la ronda de la serie E; valor contable de unos 2.000 M a jun-26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(plataforma electrónica de bonos)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 en efectivo. El 20-ago-26 ICE emitió 3.750 M USD en bonos senior (1.250 M al 4,70 % con vencimiento en 2029, 1.100 M al 4,90 % en 2031, 650 M al 5,15 % en 2033 y 750 M al 5,40 % en 2036). Además, un préstamo a plazo de 2.000 M USD, un tramo de 1.500 M de la línea revolving y papel comercial; el préstamo puente de 6.200 M quedó cancelado.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29-jul-26 a 167 USD por acción en efectivo; el cierre se espera en el 1S27, pendiente de autorizaciones. ICE pagará 327,4 M USD de comisión de ruptura si la competencia la bloquea [11, 12, 13, 15]. Valor empresa de 5.700 M USD y 10,6x EV/EBITDA ajustado con sinergias, según la dirección en la conferencia; 100 M USD de sinergias de costes al tercer año [16]. Contraste propio: 167 USD × 35,19 M de acciones a 4-ago-26 dan 5.877 M USD de valor de las acciones, unas 14,0x el EBITDA de MarketAxess de 2025 (341,8 de resultado operativo + 76,7 de amortizaciones) sin sinergias ni caja [14].</w:t>
            </w:r>
          </w:p>
        </w:tc>
      </w:tr>
    </w:tbl>
    <w:p>
      <w:pPr>
        <w:spacing w:after="160" w:before="0"/>
      </w:pPr>
    </w:p>
    <w:p>
      <w:pPr>
        <w:spacing w:after="100"/>
      </w:pPr>
      <w:r>
        <w:t xml:space="preserve">ICE ha crecido comprando. Ellie Mae (2020) y Black Knight (2023) costaron más de 21.000 M USD en caja y acciones y montaron un negocio hipotecario de 2.101 M USD de ingresos. Ese negocio gana 859 M USD ajustados, pero solo 14 M GAAP, porque arrastra 779 M de amortización de intangibles [1, 5]. Tras cada compra, ICE se desapalanca: deja de recomprar, usa el papel comercial y rebaja la deuda bruta (de 22.613 M USD en 2023 a 19.644 M en 2025) antes de volver a las recompras [1]. Entre 2021 y 2025 pagó 4.699 M USD en dividendos y 2.176 M en recompras [4]. Aun así, las acciones diluidas pasaron de 565 a 575 M, porque Black Knight se pagó en parte con 10,9 M de acciones [1]. MarketAxess vuelve a poner a prueba ese patrón de comprar y desapalancarse, aunque esta vez la dirección dice que mantendrá las recompras: de 350 a 400 M USD por trimestre según la transcripción de la conferencia del 2T26 [16].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Sprecher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en 1997 Continental Power Exchange (CPEX), predecesora de ICE, tras catorce años en Western Power Group; es primer ejecutivo desde la fundación (2000) y preside el consejo desde noviembre de 2002 [1, 38]. En 2025 ICE encadenó su vigésimo año de ingresos récord (9.900 M USD netos), BPA ajustado de 6,95 USD (+14 %) y una rentabilidad total para el accionista del 64 % en tres años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Benjamin R. Jackson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de ICE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2011 desde SunGard (negocio de energía y materias primas); fue presidente y COO de ICE Futures U.S. y director comercial antes de ser nombrado President en noviembre de 2017 [1]. Dirige tecnología, operaciones, futuros y la integración de adquisiciones, y preside ICE Mortgage Technology; el comité le atribuye el cumplimiento de los objetivos de sinergias de Black Knight en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Warren Gardiner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2021, antes responsable de relación con inversores de ICE (2017-2021) y analista de renta variable en Evercore ISI y Barclays [1]. Bajo su mandato la deuda bruta pasó de 22.600 M USD al cierre de 2023 a 19.600 M USD al cierre de 2025 y se reanudaron las recompras en 2025 [1, 5,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 C. Martin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NYSE Group y presidenta (Chair) de Fixed Income &amp; Data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NYSE Euronext desde 2001 (consejera delegada de NYSE Liffe U.S.), después presidenta de ICE Data Services (2015-2020) y de Fixed Income &amp; Data Services (2020-2022); preside NYSE Group desde enero de 2022 [1]. En 2025 lanzó NYSE Texas, primera bolsa operativa de ese estado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S. Edmonds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Fixed Income &amp; Data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2010 como presidente de ICE Clear Credit; fue responsable global de compensación y riesgos (2014-2021) y director de desarrollo (2022-2023) antes de asumir FIDS en enero de 2024 [1]. En 2025 avanzó hacia la compensación de deuda pública estadounidense al contado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G. Williams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ICE desde 2013; fue presidente de ICE Futures Europe (2017-2022) antes de ser COO en julio de 2022, con infraestructura, centros de datos, redes y continuidad de negocio a su cargo [1]. No es consejero ni directivo con remuneración publicada, por lo que el proxy no da su participación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2.830-2.880 M USD; capex (con desarrollo de software capitalizado) de 400-430 M USD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2.977 M USD y capex de 452 M USD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2.990-3.040 M USD; capex de 490-520 M USD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2.953 M USD y capex de 482 M USD, ambos por debajo del rango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3.040-3.090 M USD; capex de 450-500 M USD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3.260 M USD, por la compra de Black Knight en septiembre de 2023, que la guía de febrero no incluía; capex de 489 M USD, dentro del rango [1,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3.810-3.860 M USD; capex de 600-650 M USD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3.810 M USD (extremo bajo) y capex de 752 M USD, un 16 % por encima del techo [5,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operativos ajustados de 3.915-3.965 M USD; capex de 730-780 M USD; ingresos de Mortgage Technology con crecimiento de un dígito bajo-medio; reanudar las recompras en el 1T25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ajustados de 3.939 M USD; capex de 791 M USD (11 M por encima del techo); Mortgage Technology +4 % (2.101 M USD); 1.300 M USD recomprados en 2025 [1,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Sprecher fundó ICE y la dirige desde hace 26 años con un equipo muy estable: Jackson es President desde 2017, el abogado general y el director de tecnología siguen desde 2018 y 2016, y no ha cambiado el presidente ni el primer ejecutivo en 24 meses [1]. La guía anual es de gastos y capex, no de beneficios: los gastos ajustados cayeron dentro o por debajo del rango en tres de cinco años, pero el capex superó el techo en 2021, 2024 y 2025 [5, 9, 10, 51, 52, 53]. </w:t>
      </w:r>
      <w:r>
        <w:rPr>
          <w:b/>
        </w:rPr>
        <w:t xml:space="preserve">La sucesión es el punto débil</w:t>
      </w:r>
      <w:r>
        <w:t xml:space="preserve">: Sprecher tiene 71 años, no hay sucesor público y el proxy solo dice que se avanza en la planificación; en 2026 se creó una jubilación cualificada para directivos ligada a ella [38]. Jackson es el candidato natural, pero no está designado.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Sprecher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E. Noonan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(desde 2022)</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Sharon Y. Bowen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Shantella E.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Duriya M. Farooqui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Hague of Richmond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 ICE Futures Europe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Hill of Oareford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independiente por su contrato de consultoría con ICE Futures Europe)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F. Mulhern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desde mayo de 2026);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E. Pinto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 y COO de JPMorgan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L. Silver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Martha A. Tirinnanzi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92,90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57,06 M acciones en el 13G/A de diciembre de 2025, [44]; el 13G/A de marzo de 2026 de The Vanguard Group declara 0 % [45] y el 13G de abril de 2026 de Vanguard Capital Management declara 42,55 M acciones (7,49 %) [46]: es una reordenación de entidades declarantes de Vanguard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39,07 M acciones en el 13G/A de abril de 2025, frente a 49,63 M (8,6 %) en el de febrero de 2025 [47, 48]; el proxy de 2026 la recoge con el 6,9 %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4,78 M acciones a 19 de marzo de 2026, con opciones ejercitables en 60 días; Sprecher, 3,48 M (0,61 %), de las que 1,65 M a través de CPEX y 81.570 de su esposa [38]; vendieron 92,9 M USD en los doce meses siguientes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(sobre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86 M acciones en autocartera sobre 653 M emitidas al cierre de 2025 (77 M en 2024); 7,7 M recompradas en 2025 por 1.300 M USD y nuevo programa de 3.000 M USD desde enero de 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C. Sprecher (presidente y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C. Sprecher (presidente y CEO), plan 10b5-1, tras ejercer 52.079 opciones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Mayur V. Kapani (director de tecnología), 14 ventas desde el 2025-10-08</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Benjamin R. Jackson (President), 8 ventas desde el 2026-02-10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Lynn C. Martin (presidenta de NYSE Group), 7 ventas desde el 2026-02-20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J. Surdykowski (abogado general), 8 ventas desde el 2025-11-11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S. Edmonds (presidente de FIDS), 5 ventas desde el 2026-02-19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A. Foley (recursos humanos), 5 ventas desde el 2025-12-12</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Warren Gardiner (director financiero), 4 ventas desde el 2025-11-20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Judith A. Sprieser (consejera hasta mayo de 2026), 9 ventas desde el 2025-12-05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Martha A. Tirinnanzi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Lord Hague of Richmond (consejero), 2 ventas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Sharon Y. Bowen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Sprecher devengó 22,13 M USD en 2025: 1,40 M de fijo, 4,05 M de bonus y 16,67 M en acciones, 196 veces el empleado mediano (112.902 USD) [38]. El bonus (objetivo, 250 % del fijo; tope, 200 % del objetivo) mide ingresos netos (30 %) y beneficio operativo ajustado (70 %) y pagó el 108 % [38]. El largo plazo es 30 % PSU por TSR a tres años frente al S&amp;P 500, 40 % PSU por EBITDA de 2027 y 30 % acciones por permanencia; las PSU por TSR de 2023 pagaron el 168 % [38]. </w:t>
      </w:r>
      <w:r>
        <w:rPr>
          <w:b/>
        </w:rPr>
        <w:t xml:space="preserve">En 2024 votó en contra el 20,6 %</w:t>
      </w:r>
      <w:r>
        <w:t xml:space="preserve"> por un premio extraordinario ligado a Black Knight; ICE los suprimió y el apoyo subió al 93,5 % en 2025 y al 92,1 % en 2026 [38, 39, 40, 41]. Hay dos cláusulas de recuperación y doble condición en el cambio de control [38].</w:t>
      </w:r>
    </w:p>
    <w:p>
      <w:pPr>
        <w:pStyle w:val="Heading2"/>
      </w:pPr>
      <w:r>
        <w:t xml:space="preserve">Operaciones vinculadas, estructura de control y defensas</w:t>
      </w:r>
    </w:p>
    <w:p>
      <w:pPr>
        <w:spacing w:after="100"/>
      </w:pPr>
      <w:r>
        <w:t xml:space="preserve">No hay accionista de control: los mayores son Vanguard y BlackRock, gestoras pasivas, y consejo y dirección suman menos del 1 % [38]. </w:t>
      </w:r>
      <w:r>
        <w:rPr>
          <w:b/>
        </w:rPr>
        <w:t xml:space="preserve">Los estatutos limitan el voto al 10 % y la propiedad al 20 %</w:t>
      </w:r>
      <w:r>
        <w:t xml:space="preserve">, pero no es un blindaje elegido: lo exige la SEC a quien controla bolsas registradas (NYSE) y una plataforma de swaps sobre valores, y todo cambio estatutario pasa por la SEC; la ampliación de 2026 obtuvo el 99,8 % de los votos y rige desde el 28 de agosto [38, 39, 50]. Los votos de Vanguard por encima del 10 % no cuentan. Hay elección anual por mayoría, acceso al proxy y junta extraordinaria a petición del 20 %, sin acuerdos por consentimiento escrito [38]. Las vinculadas son menores: el avión de Sprecher en un pool de una filial y la consultoría de Lord Hill (198.000 GBP en 2024) [38, 42].</w:t>
      </w:r>
    </w:p>
    <w:p>
      <w:pPr>
        <w:pStyle w:val="Heading2"/>
      </w:pPr>
      <w:r>
        <w:t xml:space="preserve">Señales de alerta</w:t>
      </w:r>
    </w:p>
    <w:p>
      <w:pPr>
        <w:pStyle w:val="ListParagraph"/>
        <w:numPr>
          <w:ilvl w:val="0"/>
          <w:numId w:val="2"/>
        </w:numPr>
        <w:spacing w:after="60"/>
      </w:pPr>
      <w:r>
        <w:t xml:space="preserve">Mayo de 2024: ICE pagó 10 M USD a la SEC por no hacer que nueve filiales (entre ellas la NYSE) avisaran a tiempo de una intrusión informática de abril de 2021, como exige el Reglamento SCI [49].</w:t>
      </w:r>
    </w:p>
    <w:p>
      <w:pPr>
        <w:pStyle w:val="ListParagraph"/>
        <w:numPr>
          <w:ilvl w:val="0"/>
          <w:numId w:val="2"/>
        </w:numPr>
        <w:spacing w:after="60"/>
      </w:pPr>
      <w:r>
        <w:t xml:space="preserve">La propuesta de presidente independiente obtuvo el 29 % de los votos en 2024 y el 23,7 % en 2026: una minoría estable rechaza que Sprecher acumule presidencia y dirección ejecutiva [39, 41].</w:t>
      </w:r>
    </w:p>
    <w:p>
      <w:pPr>
        <w:pStyle w:val="ListParagraph"/>
        <w:numPr>
          <w:ilvl w:val="0"/>
          <w:numId w:val="2"/>
        </w:numPr>
        <w:spacing w:after="60"/>
      </w:pPr>
      <w:r>
        <w:t xml:space="preserve">Sucesión sin nombre: el presidente y primer ejecutivo tiene 71 años, lleva el cargo desde 2000 y no hay sucesor anunciado [38].</w:t>
      </w:r>
    </w:p>
    <w:p>
      <w:pPr>
        <w:pStyle w:val="ListParagraph"/>
        <w:numPr>
          <w:ilvl w:val="0"/>
          <w:numId w:val="2"/>
        </w:numPr>
        <w:spacing w:after="60"/>
      </w:pPr>
      <w:r>
        <w:t xml:space="preserve">Ventas sistemáticas de directivos: 92,9 M USD en doce meses sin ninguna compra; Sprecher vendió 429.937 acciones por 66,4 M USD, todas dentro de planes 10b5-1 [43].</w:t>
      </w:r>
    </w:p>
    <w:p>
      <w:pPr>
        <w:pStyle w:val="ListParagraph"/>
        <w:numPr>
          <w:ilvl w:val="0"/>
          <w:numId w:val="2"/>
        </w:numPr>
        <w:spacing w:after="60"/>
      </w:pPr>
      <w:r>
        <w:t xml:space="preserve">Lord Hill, consejero desde septiembre de 2025, no es independiente porque cobró 198.000 GBP en 2024 por consultoría para ICE Futures Europe [42].</w:t>
      </w:r>
    </w:p>
    <w:p>
      <w:pPr>
        <w:pStyle w:val="ListParagraph"/>
        <w:numPr>
          <w:ilvl w:val="0"/>
          <w:numId w:val="2"/>
        </w:numPr>
        <w:spacing w:after="60"/>
      </w:pPr>
      <w:r>
        <w:t xml:space="preserve">No se hallan multas de la CFTC, la FCA ni el Banco de Inglaterra a ICE en 2025-2026; la nota de litigios del 10-K de 2025 no recoge procedimientos materiales abiertos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ICE no da objetivo de beneficio: guía ingresos recurrentes, gastos, inversión y acciones. El 30-jul-2026, con el 2T26, la subió [6]: ingresos recurrentes de Bolsas con crecimiento de un dígito alto (en febrero, de un dígito medio [5]); ingresos recurrentes de Renta fija y datos del 7-8 %; gastos operativos GAAP de 5.140-5.180 M USD y ajustados de 4.190-4.230 M (antes, 4.075-4.140 M), que excluyen la amortización de intangibles adquiridos, la integración y asuntos regulatorios; inversión de unos 850 M (antes, 740-790 M); 560-566 M de acciones medias en el 3T26 y gasto no operativo ajustado de 175-180 M en el trimestre [6]. La guía no incluye MarketAxess. La próxima actualización llega con el 3T26, el 29-oct-2026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BPA ajustado: Yahoo Finance, 15 analistas, 28-oct-2026 [71]; EBITDA, EBIT y DPA: MarketScreener, 8-oct-2026 [55]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BPA ajustado: Yahoo Finance, 15 analistas, 28-oct-2026 [71]; EBITDA, EBIT y DPA: MarketScreener, 8-oct-2026 [55]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8-oct-2026 [55]; su BPA de 2028e (8,19) es contable y no se usa</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243,00</w:t>
            </w:r>
          </w:p>
        </w:tc>
      </w:tr>
    </w:tbl>
    <w:p>
      <w:pPr>
        <w:spacing w:after="160" w:before="0"/>
      </w:pPr>
    </w:p>
    <w:p>
      <w:pPr>
        <w:pStyle w:val="Heading2"/>
      </w:pPr>
      <w:r>
        <w:t xml:space="preserve">Revisiones de estimaciones</w:t>
      </w:r>
    </w:p>
    <w:p>
      <w:pPr>
        <w:spacing w:after="100"/>
      </w:pPr>
      <w:r>
        <w:t xml:space="preserve">Las estimaciones suben poco a poco. En Yahoo Finance, el BPA ajustado de 2026e pasó de 8,03 USD hace 90 días a 8,18 (+1,9 %) y el de 2027e, de 8,72 a 8,88 (+1,8 %); el del 3T26, de 1,88 a 1,97 tras las estadísticas de volumen de septiembre [35, 71]. Los precios objetivo, en cambio, bajaron en junio y julio (Goldman Sachs de 208 a 180 USD, TD Cowen de 193 a 153) y se han estabilizado: media de 187,53 USD (185,33 el 8-oct). Las recomendaciones empeoran en el margen: TD Cowen bajó a mantener el 5-oct y Wells Fargo empezó con infraponderar (159-160 USD) el 2-oct; hoy son 13 compras, 2 mantener y 1 venta, frente a 14, 1 y 0 hace un mes [71]. El EBITDA de MarketScreener es del 8-oct [55]: sin historial gratuito de revisiones de EBITDA.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Rentabilidades totales con dividendos; índice, el ETF SPY del S&amp;P 500, y sector, el ETF XLF de financieras de EE. UU. [54]. La sesión del 28-oct no había abierto: se usa el cierre del 27-oct (155,44 USD). ICE pierde un 3,0 % en el año frente al +13,7 % del S&amp;P 500 y el +3,3 % de las financieras, y en cinco años rinde un 4,1 % anual frente al 12,4 %. Tocó máximo el 29-ene-2026 (176,05 USD), cayó en febrero con la venta de valores de software y datos por miedo a la IA [66] y marcó el mínimo el 29-jun (121,79 USD) con la baja volatilidad de junio y recortes de previsiones [65]. Desde entonces ha subido un 27,6 % con los resultados del 2T26 y la compra de MarketAxess [6, 11]. La peor caída de cinco años (−34,3 %) fue entre noviembre de 2021 y junio de 2022 [54]. Beta mensual a cinco años frente al SPY: 0,87 (ajustada, 0,91). Posición corta: 1,18 % del capital flotante [71].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 +0,8 % / -0,6 % / -1,4 %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 / +26,5 %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diarias del 5,8 % (3-feb) y del 7,8 % (11-feb): venta generalizada de valores de software y datos por miedo a la IA, que arrastró a las bolsas con negocio de datos [66]; los resultados del 4T25 (5-feb) batieron y subieron la guía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volatilidad y menor volumen en junio, recortes de previsiones y de precios objetivo (TD Cowen de 193 a 153 USD el 22-jun; Goldman Sachs de 208 a 180 el 30-jun) y miedo a la competencia de los futuros perpetuos de cripto [65, 66, 71]. Mínimo de 121,79 USD el 29-jun.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el mínimo y, el 30-jul, resultados del 2T26 por encima de lo esperado con la guía de ingresos recurrentes al alza, más el anuncio de la compra de MarketAxess [6,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consenso de BPA ajustado de 1,97 USD e ingresos de 2.745 M USD [71]. El volumen medio diario del trimestre subió un 31 % [35]. El informe tendrá que rehacerse con ellos.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de MarketAxess para votar la fusión con ICE (167 USD por acción en efectivo) [70]. El 21-oct el Departamento de Justicia y la FTC dieron por terminado antes de tiempo el plazo de la ley HSR [70].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Wells Fargo mantiene infraponderar (objetivo 160 USD; inició el 2-oct con 159), Morgan Stanley neutral con 173 (9-oct), Barclays sobreponderar con 189 (7-oct) y TD Cowen baja a mantener con 166 (5-oct) [71].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y consejeros: 91,3 M USD en 12 meses y ninguna compra; 88,9 M dentro de planes 10b5-1, 66,4 M del presidente y primer ejecutivo, Jeffrey Sprecher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Financiación de MarketAxess con deuda, sin acciones: 3.750 M USD en bonos (11-ago) y un préstamo a plazo de 2.000 M que cancela el puente [12,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MarketAxess por unos 6.000 M USD en efectivo; si se bloquea por regulación, ICE paga 327,4 M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tierra de nadie: −1,4 % en 12 meses, a un 11,2 % del máximo de 52 semanas y un 26,5 % sobre el mínimo, con la media de 200 sesiones casi plana y tendencia alcista por poco. Los movimientos fuertes tienen causa conocida (miedo a la IA en febrero, volatilidad baja en junio, resultados y MarketAxess en julio) y ninguno es un deterioro del negocio. Hay dos hechos con fecha mañana, los resultados del 3T26 y la junta de MarketAxess, que no aplazan la decisión (regla 11) pero obligan a rehacer este informe. Las ventas de directivos son programadas y recurrentes.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[54]. Para el objetivo a 12 meses, el PER se calcula sobre el BPA ajustado que publica ICE, la misma base que nuestros casos: 2019 3,88 USD, 2020 4,41, 2021 5,06, 2022 5,30, 2023 5,62, 2024 6,07 y 2025 6,95 [5, 9, 10, 51, 52, 53]. Con el BPA del año siguiente, el PER al cierre fue de 19,4 veces en 2018, 21,0 en 2019, 22,8 en 2020, 25,8 en 2021, 18,3 en 2022, 21,2 en 2023, 21,4 en 2024 y 19,9 en 2025 (sobre nuestro 2026e): mediana de cinco años de 21,2 veces. Hoy cotiza a 18,0 veces nuestro BPA de 2027e. El PER contable sale muy distinto (2,58 USD de BPA en 2022 por la pérdida en Bakkt) y no se usa. El descuento frente a su historia viene de la deuda de Black Knight y MarketAxess, del miedo a la IA en los datos y de un 2026 de volatilidad excepcional que el mercado no extrapola.</w:t>
      </w:r>
    </w:p>
    <w:p>
      <w:pPr>
        <w:pStyle w:val="Heading1"/>
      </w:pPr>
      <w:r>
        <w:t xml:space="preserve">18. Comparables cotizados</w:t>
      </w:r>
    </w:p>
    <w:p>
      <w:pPr>
        <w:pStyle w:val="Confianza"/>
        <w:spacing w:after="100"/>
      </w:pPr>
      <w:r>
        <w:t xml:space="preserve">Confianza: Media</w:t>
      </w:r>
    </w:p>
    <w:p>
      <w:pPr>
        <w:spacing w:after="100"/>
      </w:pPr>
      <w:r>
        <w:t xml:space="preserve">Nueve cotizadas de infraestructura de mercados y datos: bolsas con cámara de compensación (CME, Nasdaq, Deutsche Börse, LSEG, Euronext y Cboe), una plataforma electrónica de renta fija (Tradeweb, como la división de ICE que crecerá con MarketAxess) y dos proveedores de índices y datos (S&amp;P Global y MSCI), que encajan peor. Fuera MarketAxess (su precio está anclado a la oferta de ICE) y no hay cotizada que replique Tecnología hipotecaria. Cifras de MarketScreener y Stock Analysis del 23-oct-2026 (informes de CME Group y LSEG) [72], llevadas al cierre del 27-oct con la variación del precio [54]. El PER de los comparables de EE. UU. es sobre BPA ajustado, la misma base que el de 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Cboe Global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18,1x / 19,1x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20,4x / 21,5x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 / 25,7x / 27,1x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 / 10,6x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14,5 + 0,27 × crecimiento; R² = 0,05. El crecimiento explica poco los múltiplos de estos comparables (R² &lt; 0,3): la regresión no se usa en la valoración.</w:t>
      </w:r>
    </w:p>
    <w:p>
      <w:pPr>
        <w:spacing w:after="100"/>
      </w:pPr>
      <w:r>
        <w:t xml:space="preserve">ICE cotiza a 13,5 veces el EBITDA de los próximos 12 meses y a 17,7 veces el BPA, el múltiplo más bajo del grupo salvo LSEG en EV/EBITDA; la mediana de los comparables está en torno a 17-18 veces el EBITDA y 25,7 veces el beneficio. El descuento tiene tres razones medibles. Crece menos que Nasdaq, Tradeweb o MSCI en los próximos 12 meses una vez que se normaliza la energía; su rendimiento sobre el capital (8,1 %) es el más bajo del grupo junto con LSEG, por el fondo de comercio de Black Knight; y tiene más deuda (2,6 veces el EBITDA) que CME, Deutsche Börse o Tradeweb. A las medianas, ICE valdría 217,80 USD por EV/EBITDA y 225,06 por PER: es el techo de la valoración, no la base, porque supone cerrar un descuento que lleva tres años. Pesan el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cierre previsto en el 1S27 [8]. 167 USD en efectivo × 35,24 M de acciones diluidas (2T26) = 5.885 M, menos 305 M de caja neta a 30-jun-2026 (246 M de caja y 171 M de inversiones, menos 112 M de crédito). Ventas y EBITDA de los últimos 12 meses a junio de 2026: 870 M y 430 M (cuentas de MarketAxess) [11, 56, 57, 58]. La prima es la que publica el folleto sobre el cierre del 29-jul-2026.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privado (Thoma Bravo) como vendedor; 5.750 M en efectivo y 85,6 M de acciones de Nasdaq. Múltiplos sobre las previsiones de 2023 que publicó Nasdaq (unos 590 M de ventas y un margen EBITDA ajustado del 58 %), no sobre los últimos 12 meses: estimación propia [59].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de S&amp;P Global por cada IHS Markit); valor empresa publicado de 44.000 M con 4.800 M de deuda neta [60]. Ventas (4.288 M) y EBITDA ajustado (1.837 M) del ejercicio cerrado en noviembre de 2020 [61].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(90 % en efectivo), tras rebajar el precio inicial y vender Optimal Blue y Empower a Constellation para obtener la aprobación de la FTC. La cifra es la contraprestación por las acciones (11.800 M); además, ICE asumió unos 1.000 M de bonos [2]. No hay EBITDA oficial del perímetro comprado: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204,68 – 316,16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con múltiplo se reparten en dos grupos. El activo de negociación de renta fija y crecimiento lento (MarketAxess) se paga a 13 veces el EBITDA de los últimos 12 meses, en lo bajo del rango de 13 a 20 veces que usó J.P. Morgan en su opinión de equidad [56]. Los activos de datos y software recurrente (IHS Markit, Adenza) se pagaron a 24-31 veces, en un momento de tipos más bajos. ICE es comprador habitual y no objetivo: con unos 86.000 M USD de capitalización, solo CME o S&amp;P Global podrían comprarla, y la competencia lo haría muy difícil. Las transacciones sirven para leer el valor de las partes (Tecnología hipotecaria frente a Black Knight y Ellie Mae; Renta fija frente a MarketAxess), no como precio de control de ICE entera.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(+11,5 %, fijo) replica el consenso de 11.077 M USD [71]: el 1S26 creció un 12,5 % (5.643 M frente a 5.016 M) [8] y el volumen medio diario del 3T26 subió un 31 % interanual, con Brent +38 % y TTF +39 % [35]. Para 2027e solo +5,0 % (el consenso da +5,8 %): la comparación con un 2026 de volatilidad récord en energía es exigente (el 1T26 creció un 20 % y el 2T26 un 4,8 %) [6, 7]. Después, 6,0 % en 2028-2029, con ingresos recurrentes que crecen un 7-8 % [6], la recuperación hipotecaria que prevé Fannie Mae [27] y la compensación de bonos del Tesoro [1]. Baja al 3 % en 2035e. La TCAC de 2021-2025 fue del 8,6 %, con Black Knight dentro [1].</w:t>
      </w:r>
    </w:p>
    <w:p>
      <w:pPr>
        <w:keepNext/>
        <w:spacing w:after="100"/>
      </w:pPr>
      <w:r>
        <w:rPr>
          <w:b/>
          <w:bCs/>
        </w:rPr>
        <w:t xml:space="preserve">Márgenes.</w:t>
      </w:r>
    </w:p>
    <w:p>
      <w:pPr>
        <w:spacing w:after="100"/>
      </w:pPr>
      <w:r>
        <w:t xml:space="preserve">Margen EBITDA (sin integración ni asuntos regulatorios) del 67,5 % en 2026-2027 y del 68,0 % desde 2029. El de 2026 sale de la guía: 11.077 M de ingresos menos 4.190-4.230 M de gastos ajustados (que incluyen la amortización propia) dan un resultado operativo ajustado de unos 6.860 M, un 67,5 % de EBITDA con la amortización propia del 5,5 % [6]. Es más que el 66,0 % de 2025 y menos que el 68,8 % del 1T26, inflado por la energía [7]. Solo CME, con un 71 %, está por encima entre los comparables [72]. La expansión posterior (medio punto) es la que da el apalancamiento operativo con un 5 % de crecimiento; la guía de gastos de 2026 subió dos veces [5, 6].</w:t>
      </w:r>
    </w:p>
    <w:p>
      <w:pPr>
        <w:keepNext/>
        <w:spacing w:after="100"/>
      </w:pPr>
      <w:r>
        <w:rPr>
          <w:b/>
          <w:bCs/>
        </w:rPr>
        <w:t xml:space="preserve">Inversión y circulante.</w:t>
      </w:r>
    </w:p>
    <w:p>
      <w:pPr>
        <w:spacing w:after="100"/>
      </w:pPr>
      <w:r>
        <w:t xml:space="preserve">Capex del 7,7 % de las ventas en 2026 (la guía de unos 850 M USD) [6], que baja al 6,0 % en 2034-2035, frente al 8,0-8,1 % de 2024-2025 y al 6,1-6,6 % de 2021-2023 [1]. La amortización del DCF es solo la del inmovilizado y el software propio (5,5 % de las ventas; 566 M USD en 2025 [1]): la de intangibles adquiridos (993 M en 2025) no se deduce, porque no da escudo fiscal en caja. Lo confirma el pasivo por impuesto diferido de 4.064 M USD sobre 15.353 M de intangibles [1]. Circulante del 4,8 % de las ventas, como en 2023-2025.</w:t>
      </w:r>
    </w:p>
    <w:p>
      <w:pPr>
        <w:keepNext/>
        <w:spacing w:after="100"/>
      </w:pPr>
      <w:r>
        <w:rPr>
          <w:b/>
          <w:bCs/>
        </w:rPr>
        <w:t xml:space="preserve">Coste del capital.</w:t>
      </w:r>
    </w:p>
    <w:p>
      <w:pPr>
        <w:spacing w:after="100"/>
      </w:pPr>
      <w:r>
        <w:t xml:space="preserve">Tasa libre: bono del Tesoro de EE. UU. a 10 años del 4,99 % (27-oct-2026) [69], frente al 5,27 % del informe anterior. Beta de 0,91: la ajustada, mensual a 5 años, frente al SPY [54]; frente a una cesta de CME, Nasdaq y Cboe sale 1,01 y frente a las financieras, 0,85 [54]. Prima de mercado del 5,0 %. Coste de la deuda del 5,8 %: la tasa libre más los 82 puntos básicos del bono a 2036 de ago-26, con calificación A3/A- [68]. Peso de la deuda del 19 % a valor de mercado. Resultado: WACC del 8,57 % y coste del capital del 9,54 %. La recomendación de 12 meses no depende del WACC; el filtro de calidad sí, y con él ICE no llega ni con una beta de 0,5.</w:t>
      </w:r>
    </w:p>
    <w:p>
      <w:pPr>
        <w:keepNext/>
        <w:spacing w:after="100"/>
      </w:pPr>
      <w:r>
        <w:rPr>
          <w:b/>
          <w:bCs/>
        </w:rPr>
        <w:t xml:space="preserve">Valor terminal.</w:t>
      </w:r>
    </w:p>
    <w:p>
      <w:pPr>
        <w:spacing w:after="100"/>
      </w:pPr>
      <w:r>
        <w:t xml:space="preserve">Crecimiento a perpetuidad del 3,0 % en USD, Gordon: por debajo del nominal de EE. UU. a largo plazo y entre la inflación esperada y la tasa libre menos medio punto (4,49 %). El valor terminal pesa el 62 % del valor. Cada medio punto de crecimiento a perpetuidad mueve el valor unos 11-13 USD por acción (156,74 USD con el 2,5 % y 180,02 con el 3,5 %).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155,70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203,79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(reinvierte el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 (histórico: 11,5 %)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frente al 5,4 %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1.973 M, el 3 % del NOPAT, con un capex bruto medio del 6,8 % de las ventas). En un negocio de activos ligeros, el crecimiento medio del 5,4 %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casi cerrado: el 1S26 creció un 12,5 % por el volumen de energía (1T26 +46 %) y el volumen medio diario del 3T26 subió un 31 % [8, 35]. Precio: ingreso por contrato de energía de 1,70 a 1,74 USD en 2023-2025 y subidas contractuales en el software hipotecario [1]. Otros: divisa.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energía se normaliza frente a un 2026 récord [6, 7]; crecen los recurrentes: guía de Renta fija y datos del 7-8 % [6]. Precio: inflación repercutida en tarifas y suscripciones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la originación hipotecaria (Fannie Mae) [27] y compensación de bonos del Tesoro [1]. El consenso da +6,5 % [55].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cotizados con interés abierto récord (FIA) [33] y gasto en datos financieros al alza [34]; precio como en 2023-2025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hacia el crecimiento del mercado; el precio sigue la inflación en tarifas y en contratos de software de cinco a siete años [1].</w:t>
            </w:r>
          </w:p>
        </w:tc>
      </w:tr>
    </w:tbl>
    <w:p>
      <w:pPr>
        <w:spacing w:after="160" w:before="0"/>
      </w:pPr>
    </w:p>
    <w:p>
      <w:pPr>
        <w:spacing w:after="100"/>
      </w:pPr>
      <w:r>
        <w:t xml:space="preserve">Sí para el caso base, que pide poco: un 4,7 % anual en 2027e-2035e (5,4 % con 2026e), menos que el 8,6 % de 2021-2025. El foso es amplio (Brent y TTF con efectos de red; Encompass y MSP como sistemas de referencia) y el poder de precios está probado: ingreso por contrato de energía al alza y subidas contractuales en el software [1]. Es de activos ligeros: la reinversión neta es el 3 % del NOPAT, así que la prueba de reinversión del motor (rendimiento del 42,7 % sobre la reinversión bruta) no dice nada; el crecimiento sale de precio y volumen sin capital nuevo. Sin cuota publicada comparable no hay prueba de cuota (mercado final sin dato). El riesgo es el ciclo, que va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64,2 % (base: 68,0 %)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8,6 %)</w:t>
            </w:r>
          </w:p>
        </w:tc>
      </w:tr>
    </w:tbl>
    <w:p>
      <w:pPr>
        <w:spacing w:after="160" w:before="0"/>
      </w:pPr>
    </w:p>
    <w:p>
      <w:pPr>
        <w:spacing w:after="100"/>
      </w:pPr>
      <w:r>
        <w:t xml:space="preserve">El DCF vale 167,33 USD por acción, un 7,6 % sobre el precio de 155,44. Sube frente a los 154,01 del 8-oct porque la tasa libre bajó del 5,27 % al 4,99 % (WACC del 8,84 % al 8,57 %) y porque la guía de gastos permite un margen del 67,5 % en 2026. El DCF inverso dice que el precio descuenta un crecimiento del 3,8 % anual en 2027e-2035e con un margen del 64,2 %, frente a nuestro 4,7 % y 68,0 %, y una rentabilidad implícita del 8,9 %: un poco más que nuestro WACC. No es exigente: ICE creció un 8,6 % anual en 2021-2025 y el consenso espera un 5,8 % en 2027 [71]. El valor terminal pesa el 62 % y medio punto de WACC mueve el valor entre 151,19 y 186,68 USD. Con la prima de riesgo que hoy pide el mercado (4,2 %), el DCF sube a 190,57 USD. La conclusión es que el precio paga algo menos que el consenso, pero no una ganga: el problema de ICE no es el precio, sino que lo que se pagó por las compras no rinde su coste de capital.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volatilidad de la energía se normaliza en 2027 y los ingresos de energía (2.362 M USD en los últimos 12 meses) vuelven a niveles de 2024: los ingresos caen un 3,5 % ese año y el margen pierde 2 puntos. EMIR 3.0 desplaza parte de los derivados de tipos en euros a cámaras de la UE y la originación hipotecaria se estanca. Ya pasó en 2022: Tecnología hipotecaria cayó un 20 % y la acción, un 25 % [3].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2026 (+11,5 %), +5 % en 2027 tras un año de volatilidad récord y un 6 % después, con margen EBITDA del 67,5-68 %. MarketAxess se integra sin destruir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interés abierto récord se mantiene, la compensación de bonos del Tesoro despega y la originación hipotecaria vuelve a los niveles que prevé Fannie Mae [27]: el crecimiento es 1,5 puntos mayor cada año y el margen, un punto más alto, con un WACC 0,25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55,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164,68 USD (+5,9 %).</w:t>
      </w:r>
    </w:p>
    <w:p>
      <w:pPr>
        <w:spacing w:after="100"/>
      </w:pPr>
      <w:r>
        <w:t xml:space="preserve">Con nuestro WACC, el alcista gana un 35,6 % (210,75 USD) y el bajista pierde un 27,1 % (113,30 USD): asimetría de 1,31 veces. El valor ponderado (164,68 USD) queda un 5,9 % sobre el precio. El bajista no es cosmético: incluye un año con caída de ingresos (algo que ICE no ha tenido en 2021-2025, pero su segmento hipotecario sí, en 2022 [3]) y un WACC medio punto mayor. La pérdida máxima de la acción en cinco años fue del 34,3 % [54].</w:t>
      </w:r>
    </w:p>
    <w:p>
      <w:pPr>
        <w:pStyle w:val="Heading1"/>
      </w:pPr>
      <w:r>
        <w:t xml:space="preserve">22. Suma de partes</w:t>
      </w:r>
    </w:p>
    <w:p>
      <w:pPr>
        <w:pStyle w:val="Confianza"/>
        <w:spacing w:after="100"/>
      </w:pPr>
      <w:r>
        <w:t xml:space="preserve">Confianza: Media</w:t>
      </w:r>
    </w:p>
    <w:p>
      <w:pPr>
        <w:spacing w:after="100"/>
      </w:pPr>
      <w:r>
        <w:t xml:space="preserve">La suma de partes da 167,40 USD por acción, un 7,7 % sobre el precio. Bolsas aporta dos tercios del valor. El precio no paga una prima por la mezcla: a 14,6 veces el EBITDA de los últimos 12 meses, el conjunto cotiza por debajo de cualquiera de sus partes valorada a múltiplos de sus comparables. Tecnología hipotecaria es la parte más discutible: a 13 veces vale 14.131 M USD, más de lo que ICE pagó por Black Knight (unos 11.800 M) [1]; a 10 veces, el valor por acción bajaría unos 6 USD. No pesa en la síntesis más del 15 % porque usa un LTM con un trimestre de energía excepcional. Sin descuento de conglomerado: los tres segmentos comparten tecnología, red y clientes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segmento de los últimos 12 meses sin costes de integración (resultado operativo 4.388 M + amortización 254 M + 3 M) [1, 8]. 16 veces: por debajo de CME (21,5 veces los últimos 12 meses) y Nasdaq (20,4), en línea con Deutsche Börse y Euronext (16,0) [72], porque el LTM lleva un primer trimestre de energía excepcional.</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los últimos 12 meses: resultado operativo 1.017 M + amortización 345 M + 3 M [1, 8]. 16 veces, por debajo de S&amp;P Global (20,6), MSCI (24,4) y Tradeweb (23,4) y por encima de LSEG (11,1) [72]: ingresos recurrentes que crecen un 7-8 % y un margen EBITDA del 54 %.</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14.131</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los últimos 12 meses: resultado operativo 62 M + amortización 950 M + integración 75 M [1, 8]. 13 veces, el múltiplo que ICE paga por MarketAxess [56, 57]: software con un 75 % de ingresos recurrentes, pero ligado al ciclo hipotecario y sin comparable cotizado puro.</w:t>
            </w:r>
          </w:p>
        </w:tc>
      </w:tr>
    </w:tbl>
    <w:p>
      <w:pPr>
        <w:spacing w:after="160" w:before="0"/>
      </w:pPr>
    </w:p>
    <w:p>
      <w:pPr>
        <w:spacing w:after="100"/>
      </w:pPr>
      <w:r>
        <w:rPr>
          <w:b/>
          <w:bCs/>
        </w:rPr>
        <w:t xml:space="preserve">Valor por acción por suma de partes:</w:t>
      </w:r>
      <w:r>
        <w:t xml:space="preserve"> 167,40 (+7,7 %); con ±1x en los múltiplos, 138,04 – 196,77.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55,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177,50 USD (+14,2 % sobre 155,44).</w:t>
      </w:r>
    </w:p>
    <w:p>
      <w:pPr>
        <w:spacing w:after="100"/>
      </w:pPr>
      <w:r>
        <w:t xml:space="preserve">El DCF pesa el 40 % porque ICE es un negocio estable con un 51 % de ingresos recurrentes y flujos predecibles [1]. Los escenarios (25 %) recogen el riesgo de que la volatilidad de la energía se normalice. Los comparables (20 %) y la suma de partes (15 %) aportan la lectura de mercado; los comparables dan más (221,43 USD) porque ICE cotiza con descuento frente a todo el grupo, y por eso pesan poco. Las transacciones no pesan: llevan prima de control y ICE es comprador, no objetivo. La dispersión (113-221 USD) es amplia, con el precio en la parte baja. El valor intrínseco de la síntesis es de 177,50 USD, un 14,2 % sobre el precio; el DCF solo, 167,33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(18x) a mitad de camino hacia la mediana de 5 años (21.2x)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+61,8 %</w:t>
            </w:r>
          </w:p>
        </w:tc>
      </w:tr>
    </w:tbl>
    <w:p>
      <w:pPr>
        <w:spacing w:after="160" w:before="0"/>
      </w:pPr>
    </w:p>
    <w:p>
      <w:pPr>
        <w:spacing w:after="100"/>
      </w:pPr>
      <w:r>
        <w:rPr>
          <w:b/>
          <w:bCs/>
        </w:rPr>
        <w:t xml:space="preserve">Objetivo a 12 meses (ponderado):</w:t>
      </w:r>
      <w:r>
        <w:t xml:space="preserve"> 184,29 USD · rentabilidad +19,8 % (base +17,3 %) · señal Comprar.</w:t>
      </w:r>
    </w:p>
    <w:p>
      <w:pPr>
        <w:spacing w:after="100"/>
      </w:pPr>
      <w:r>
        <w:t xml:space="preserve">Para comparar, con la regla v2 (historia al cierre, mismo precio): 15,3x / 18,0x / 23,4x, 11,4 %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(8,12 USD) queda un 0,7 % por debajo del consenso (8,18) y el de 2027e (8,63), un 2,8 % por debajo (8,88) [71]: no suponemos recompras (la dirección recompra 350-400 M USD por trimestre) y crecemos un 5,0 % en 2027 frente al 5,8 % del consenso. Nuestro precio base (180,38 USD) queda un 3,8 % por debajo del objetivo medio de los analistas (187,53) y dentro de su rango (160-243). No hay una diferencia que explicar más allá de las recompras.</w:t>
      </w:r>
    </w:p>
    <w:p>
      <w:pPr>
        <w:keepNext/>
        <w:spacing w:after="100"/>
      </w:pPr>
      <w:r>
        <w:rPr>
          <w:b/>
          <w:bCs/>
        </w:rPr>
        <w:t xml:space="preserve">Del valor intrínseco al objetivo a 12 meses.</w:t>
      </w:r>
    </w:p>
    <w:p>
      <w:pPr>
        <w:spacing w:after="100"/>
      </w:pPr>
      <w:r>
        <w:t xml:space="preserve">El objetivo a 12 meses ponderado (184,29 USD; +19,8 % con el dividendo, base +17,3 %) queda por encima del valor intrínseco de la síntesis (177,50 USD, +14,2 %) y del DCF (167,33 USD, +7,6 %). La diferencia viene del múltiplo: la regla común acerca el PER actual (18,0 veces) a la mediana de cinco años en base ajustada (21,2 veces) y el alcista toma la mediana de los comparables (25,7 veces), mientras el DCF descuenta al 8,57 %. Para cerrar la distancia hacen falta unos resultados del 3T26 que confirmen un 2026 de +11 % y una guía de 2027 que no recorte gastos ni recompras, más el cierre de MarketAxess sin sorpresas. Con la regla v2 de control (base = el PER actual), la ponderada baja al 11,4 %.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diario +31 % en el trimestre [35]; consenso de BPA ajustado de 1,97 USD [71]. Confirma o no el +11 % de 2026. Este informe se rehace con ellos.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de MarketAxess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fusión; la autorización de competencia de EE. UU. ya llegó el 21-oct [70].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MarketAxess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de hasta 3,4 veces el EBITDA y vuelta a 3 o menos en 18-24 meses [16]; si se bloquea por regulación, ICE paga 327,4 M USD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 de repos del Tesoro en ICE Clear Credit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línea de ingresos de compensación con la obligación de compensar del Tesoro de EE. UU.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gastos y de ingresos recurrentes; primera lectura de la comparación con un 2026 récord.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la volatilidad en energía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113,30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récord y 51 % de ingresos recurrentes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de energía en las estadísticas mensuales de ICE [35].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 pagado por las compras no rinde su 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es el filtro de calidad del método el que no se cumple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sin fondo de comercio del 22,3 % y ROIC incremental del 11,5 %.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sobre el capital invertido por debajo del 9 % tras MarketAxess.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y precio de MarketAxess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si destruye un tercio de su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13,0 veces el EBITDA [56].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MarketAxess en crédito de EE. UU. y bajas de clientes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los datos financieros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de precios y de referencia que la IA consume, no sustituye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los ingresos recurrentes de datos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medio punto de WACC (151,19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con vida media larga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hipotecario y bajas de clientes en Encompass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(unos 6 USD) si Tecnología hipotecaria vale 10 veces su EBITDA en vez de 13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 de ingresos recurrentes y MSP como sistema de referencia en servicing; Wells Fargo renovó MSP en septiembre [6, 63].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originación por debajo de 190 M USD por trimestre (197 M en el 2T26)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EMIR 3.0 y la compensación de derivados en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Clear Netherlands en la UE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de Euribor en ICE frente a Eurex.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 Jeffrey Sprecher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Difícil de cuantificar; −5 % de reacción plausible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con Ben Jackson (presidente) y Lynn Martin (NYSE)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 de un consejero delegado distinto del presidente.</w:t>
            </w:r>
          </w:p>
        </w:tc>
      </w:tr>
    </w:tbl>
    <w:p>
      <w:pPr>
        <w:spacing w:after="160" w:before="0"/>
      </w:pPr>
    </w:p>
    <w:p>
      <w:pPr>
        <w:pStyle w:val="Heading2"/>
      </w:pPr>
      <w:r>
        <w:t xml:space="preserve">Pre-mortem</w:t>
      </w:r>
    </w:p>
    <w:p>
      <w:pPr>
        <w:spacing w:after="100"/>
      </w:pPr>
      <w:r>
        <w:t xml:space="preserve">Octubre de 2029: la acción cotiza a 93 USD, un 40 % menos. Empezó en 2027: la volatilidad del petróleo y del gas europeo se normalizó y el volumen de energía cayó un 25 %. Con una base de costes fija, el margen EBITDA bajó del 67,5 % al 64 %. A la vez, EMIR 3.0 se llevó parte de los Euribor a Fráncfort y la Fed no bajó los tipos: el bono a 10 años siguió cerca del 5 % y la originación hipotecaria no se recuperó. MarketAxess, comprada con deuda, perdió cuota frente a Tradeweb y el apalancamiento se quedó en 3,4 veces, sin recompras durante dos años. El mercado, que ya pagaba un descuento por el bajo rendimiento sobre el capital, dejó de pagar 14 veces el EBITDA y pagó 11, como a LSEG. Lo habrían anticipado el interés abierto de energía, los ingresos de originación por trimestre y la guía de gastos de febrero de 2027.</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a +5 %</w:t>
      </w:r>
    </w:p>
    <w:p>
      <w:pPr>
        <w:spacing w:after="100"/>
      </w:pPr>
      <w:r>
        <w:t xml:space="preserve">La IA toca Renta fija y datos (unos 2.300 M USD de ingresos al año) y Tecnología hipotecaria. Amenaza: que los modelos abaraten la analítica y el software de originación, que es lo que castigó la acción en febrero y septiembre [63, 66]. Oportunidad: ICE vende datos propios (precios de evaluación de bonos, datos de referencia, datos de las bolsas) que los modelos necesitan y no pueden fabricar, y usa IA en Encompass para automatizar la tramitación. Señal: el crecimiento de los ingresos recurrentes de datos (guía del 7-8 % en 2026 [6]); por debajo del 5 %, el riesgo pasa a ser de cifras y no solo de múltiplo.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Ciberseguridad y continuidad</w:t>
      </w:r>
      <w:r>
        <w:t xml:space="preserve">: ICE opera infraestructura crítica (Mortgage Technology está designada como tal por Seguridad Nacional y el Tesoro de EE. UU.) y un fallo trae multas y pérdida de confianza, como la sanción de la SEC de 2024 [1, 37]. </w:t>
      </w:r>
      <w:r>
        <w:rPr>
          <w:b/>
        </w:rPr>
        <w:t xml:space="preserve">Privacidad de datos de consumidores</w:t>
      </w:r>
      <w:r>
        <w:t xml:space="preserve">: el software hipotecario procesa datos personales bajo la supervisión de la FFIEC y la CFPB [1]. </w:t>
      </w:r>
      <w:r>
        <w:rPr>
          <w:b/>
        </w:rPr>
        <w:t xml:space="preserve">Transición energética</w:t>
      </w:r>
      <w:r>
        <w:t xml:space="preserve">: ICE vende mercados de derechos de emisión y combustibles renovables desde hace más de dos décadas y la UE ha intervenido el TTF (tope de precio hasta enero de 2025) [1]; la nueva regulación europea de calificaciones ESG (julio de 2026) alcanza a parte de ICE Data Services [1].</w:t>
      </w:r>
    </w:p>
    <w:p>
      <w:pPr>
        <w:pStyle w:val="Heading2"/>
      </w:pPr>
      <w:r>
        <w:t xml:space="preserve">Controversias</w:t>
      </w:r>
    </w:p>
    <w:p>
      <w:pPr>
        <w:spacing w:after="100"/>
      </w:pPr>
      <w:r>
        <w:t xml:space="preserve">Mayo de 2024: ICE pagó 10 M USD a la SEC por no avisar a tiempo, en nueve filiales incluida la NYSE, de una intrusión en su VPN detectada en abril de 2021 (Regulation SCI) [37]. 2023: la FTC impugnó la compra de Black Knight y la aprobó con la venta de Empower y Optimal Blue; ICE registró una pérdida de 160 M USD en el pagaré de esa venta, cobrado por 75 M en 2024 [1]. En 2024 cobró 160 M USD por un laudo arbitral frente a PennyMac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energía de 2026 es interés abierto nuevo y qué parte volumen especulativo que se irá con la volatilidad?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bajista depende de esto; el volumen del 3T26 subió un 31 % [35].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del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rendimiento sobre el capital invertido espera ICE tras MarketAxess y en qué plazo superará su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fondo de comercio de Black Knight, el rendimiento es del 8,1 % frente a un WACC del 8,57 %.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MarketAxess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sinergias de ingresos y costes se esperan, con qué plazo y con qué costes de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13,0 veces el EBITDA, la compra solo crea valor con sinergias; no constan cifras en los documentos revisados.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deuda neta sobre EBITDA es compatible con mantener el A3/A- y las recompras de 350-400 M USD por trimestre?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prevé hasta 3,4 veces y volver a 3 o menos en 18-24 meses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Encompass se perdieron en 2025 y cuál es la tasa de renovación de MSP?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cuota publicada y la originación sigue en mínimos de ciclo.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Polymarket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con la participación en Polymarket y qué ingresos de datos genera para ICE?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 M USD de valor contable sin precio de mercado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el presidente y primer ejecutivo, en el cargo desde 2000?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sucesor anunciado y vende acciones de forma programada (66,4 M USD en 12 meses) [38, 43].</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$ICE)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análisis técnico (ondas de Elliott) que da el mínimo del 29-jun como suelo y discute si la subida de septiembre se corrige; unos pocos mensajes alcistas de largo plazo que ven a CME, Cboe e ICE como «peajes» del mercado, y comentarios sobre la ampliación del horario de opciones y la tokenización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agosto a octubre son alcistas: la venta por miedo a la IA en los datos «exagerada», «listo para comprar» y la tesis de que el descuento por el negocio hipotecario esconde un buen compuesto; uno sobre la Bolsa de Texas como competidor de la NYSE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Noticias del mes: TD Cowen baja a mantener porque la acción «sigue en un rango», alianzas de tokenización (Blockchain.com), horario ampliado de opciones, suspensión técnica de NYSE American Options el 23-oct y la renovación del contrato de MSP con Wells Fargo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Quiver Quantitative (notas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Atribuye las caídas de junio y julio a recortes de previsiones tras un volumen de junio más flojo, a los futuros perpetuos de cripto aprobados por la CFTC como competencia futura y a las ventas de directivos (17 ventas y ninguna compra en seis meses)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eToro (análisis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que las bolsas cayeron a principios de año con la venta de software por miedo a la IA y en junio por la baja volatilidad: «volatilidad es volumen y volumen es beneficio»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los datos financieros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venta de febrero y la de septiembre se atribuyen al miedo a que la IA abarate los datos. En las cuentas, Renta fija y datos crece: guía de ingresos recurrentes del 7-8 % en 2026 [6]; el riesgo es de múltiplo, no de cifras por ahora.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volumen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medio diario del 3T26 subió un 31 % [35], pero el interés abierto de energía crecía menos. Los foros dan por hecho un buen 3T; el riesgo es 2027, cuando la comparación se endurece.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MarketAxess y el endeudamiento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(unos 6.000 M USD a 167 USD por acción) ya tiene la autorización de competencia de EE. UU. (21-oct) y la vota MarketAxess el 29-oct [70]; su efecto en el BPA ajustado es pequeño (±1 %) y el riesgo está en la ejecución.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directivos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Ciertas: 91,3 M USD de ventas en 12 meses y ninguna compra, casi todo dentro de planes 10b5-1 y 66,4 M del primer ejecutivo [43]. Encajan con su patrón de ventas programadas; no hay compras que compensen.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por la cotización y la tokenización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Bolsa de Texas y la NYSE Texas compiten por salidas a bolsa; los ingresos de cotización son una parte pequeña de Bolsas [1].</w:t>
            </w:r>
          </w:p>
        </w:tc>
      </w:tr>
    </w:tbl>
    <w:p>
      <w:pPr>
        <w:spacing w:after="160" w:before="0"/>
      </w:pPr>
    </w:p>
    <w:p>
      <w:pPr>
        <w:spacing w:after="100"/>
      </w:pPr>
      <w:r>
        <w:t xml:space="preserve">El sentimiento no es extremo. Los particulares que escriben son mayoritariamente de largo plazo y alcistas (el «peaje» del mercado), mientras dos casas de análisis se han vuelto más cautas en octubre (TD Cowen a mantener y Wells Fargo empieza con infraponderar). El foro no ve el problema de fondo del método: con el fondo de comercio de Black Knight, el rendimiento sobre el capital invertido no supera el coste de capital. Tampoco anticipa un riesgo que el informe no tenga: la IA en los datos, la normalización de la volatilidad y MarketAxess ya están en riesgos y escenarios. No mueve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72 (51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4,8 % frente a 4,8 % real: genera una variación de circulante de 58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0,05: el crecimiento no explica los múltiplos de estos comparables; no uses el valor de la regresión. Explicación: Con nueve comparables de modelos distintos (bolsas, datos puros, plataformas de renta fija) el crecimiento no explica el múltiplo (R² 0,05): no se usa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11,4 %: para comprar o ampliar hace falta motivo de negocio propio; para mantener basta la vigente. Explicación: La v3 da Comprar y la v2 de control, Mantener (11,4 %), porque la v2 toma como base el PER actual (18,0x) sin acercarlo a la mediana de 21,2x. Para quien la tiene manda la regla vigente; para comprar faltaría un motivo de negocio propio, y además la calidad (rendimiento sobre el capital frente a su coste) no pasa el filtro.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fuentes (51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 del 2T26 y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ICE (solo audio archivado; no se descarga por la regla del navegador); 2) búsqueda web de la transcripción: Stock Taper sin resumen («No summary has been written»), AllMind con la intervención de la dirección pero sin turno de preguntas; 3) Beta Finch y otros agregadores no consultados por el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turno de preguntas; se usan la intervención de la dirección [16] y las notas de prensa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3T24, 1T25 y 2T25; vs_consenso de todos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disponibles (solo dan el comparativo del propio trimestre); 2) Company Facts XBRL (sin ingresos netos de gastos transaccionales por trimestre); 3) no se descargaron las notas de prensa de 2024 por presupuesto; el consenso previo no se buscó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anteriores a 2020 (Interactive Data 2015, BondPoint, TMC, Chicago Stock Exchange) y precio total de Ellie Mae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2023: no las detallan; 2) Company Facts: caja neta pagada por compras de 425 M (2016), 423 M (2017), 1.246 M (2018), 352 M (2019) y 9.446 M (2020), sin desglose; 3) no se descargaron los 10-K de 2015-2020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en MSP e ingreso por préstamo cerrado en Encompass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sección de Mortgage Technology: no publica número de préstamos ni ingreso por préstamo; 2) 10-Q 2T26: tampoco; 3) notas de prensa del 4T25 y 2T26: solo ingresos por línea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Ficha pública de Sustainalytics de ICE con descargar.mjs: redirige a la portada; 2) la misma ficha con WebFetch: la página no muestra la puntuación (carga por JavaScript); la herramienta pública de MSCI tampoco es legible sin navegador; 3) agregador secundario knowesg.com: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 (Encompass en originación, MSP en servicing, ICE frente a EEX en TTF)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de ICE: no publica cuotas de Encompass ni de MSP; 2) demanda de la FTC contra ICE/Black Knight (2023): la página de la FTC da 404, el PDF del tribunal redirige a la portada y la copia de appliedantitrust.com agota el tiempo; 3) 10-K 2022 de Black Knight en EDGAR: falla la descarga dos veces; para el TTF, EEX publica TWh e ICE contratos, sin base común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FIA, volumen anual 2025: sin ranking accesible en la página; 2) Burton-Taylor 2026 (TP ICAP): de pago, la página solo da el resumen; 3) WFE: sin cuota agregada de los cinco primeros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originación de la MBA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Archivo de previsiones de mba.org con descargar.mjs: HTTP 403; 2) búsqueda del PDF de la previsión: sin enlace directo; 3) artículo de HousingWire que cita la previsión de septiembre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Fannie Mae como serie y la MBA por la prensa como contraste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State Street y otros por debajo del 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propiedad del proxy de 2026 (solo BlackRock y Vanguard superan el 5 %); 2) lista de 13G/13G/A de EDGAR desde 2024 (solo Vanguard y BlackRock); 3) los 13F no se consultaron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 objetivo numérico de desapalancamiento tras Black Knight (múltiplo deuda/EBITDA y plazo)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4T23, 4T24 y 4T25: solo dicen que se redujo el apalancamiento, que la empresa está dentro de su rango objetivo y que reanudaría recompras en el 1T25; 2) búsqueda web: aparecen 3,25x y 2,75-3,0x atribuidos a la conferencia de 2022, sin documento primario; 3) transcripción de la conferencia del 4T24 (Insider Monkey) tras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registra solo la reanudación de recompras y la deuda bruta (22.600 M USD en 2023 y 19.600 M USD en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hay accionista de control ni varias clases de acciones; 2) no aplica;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(no aplica)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años en curso); 2) Stock Analysis (solo LTM); 3) no hay proveedor gratuito con NTM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Ellie Mae (2020), LSEG-Refinitiv (2021), Euronext-Borsa Italiana (2021), Deutsche Börse-SimCorp (2023) y CME-NEX (2018)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Euronext y Deutsche Börse con URL directa (404); 2) EDGAR no tiene los documentos de los emisores europeos; 3) Ellie Mae era privada y no publicó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https://www.sec.gov/Archives/edgar/data/1571949/000157194926000004/ice-20251231.htm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https://www.sec.gov/Archives/edgar/data/1571949/000157194924000007/ice-20231231.htm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https://www.sec.gov/Archives/edgar/data/1571949/000157194923000006/ice-20221231.htm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Intercontinental Exchange (CIK 0001571949)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https://data.sec.gov/api/xbrl/companyfacts/CIK0001571949.json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https://www.sec.gov/Archives/edgar/data/1571949/000110465926010646/tm264989d1_ex99-1.htm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https://www.sec.gov/Archives/edgar/data/1571949/000110465926088462/tm2621213d1_ex99-1.htm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https://www.sec.gov/Archives/edgar/data/1571949/000110465926052145/tm2612824d1_ex99-1.htm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https://www.sec.gov/Archives/edgar/data/1571949/000157194926000011/ice-20260630.htm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 y del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https://www.sec.gov/Archives/edgar/data/1571949/000110465924011936/tm245272d1_ex99-1.htm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4T22 y del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https://www.sec.gov/Archives/edgar/data/1571949/000110465923009568/tm234867d1_ex99-1.htm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MarketAxess y préstamo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https://www.sec.gov/Archives/edgar/data/1571949/000119312526324909/d116245d8k.htm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préstamo a plazo de 2.000 M USD, 14.ª enmienda del crédito revolving y cancelación del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https://www.sec.gov/Archives/edgar/data/1571949/000119312526359930/d369319d8k.htm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https://www.sec.gov/Archives/edgar/data/1571949/000110465925104017/tm2529550d1_ex99-1.htm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MarketAxess Holdings (CIK 0001278021): acciones en circulación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https://data.sec.gov/api/xbrl/companyfacts/CIK0001278021.json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3.750 M USD en bonos senior (2029, 2031, 2033 y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https://www.sec.gov/Archives/edgar/data/1571949/000119312526359229/d124897d8k.htm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Intercontinental Exchange Inc Earnings Call (transcripción resumida de la intervención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https://allmind.ai/earnings/event/2934888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Form 10-K del ejercicio 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https://www.sec.gov/Archives/edgar/data/1571949/000157194916000020/ice2015123110k.htm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https://www.sec.gov/Archives/edgar/data/1571949/000157194921000003/ice-20201231.htm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https://www.sec.gov/Archives/edgar/data/1156375/000115637526000009/cme-20251231.htm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https://www.sec.gov/Archives/edgar/data/1120193/000162828026007703/ndaq-20251231.htm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Global Markets,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https://www.sec.gov/Archives/edgar/data/1374310/000162828026010013/cboe-20251231.htm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https://www.sec.gov/Archives/edgar/data/64040/000006404026000013/spgi-20251231.htm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resultados preliminares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https://www.lseg.com/en/media-centre/press-releases/2026/london-stock-exchange-group-plc-preliminary-results-for-the-year-ended-31-december-2025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company release Q4 y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https://deutsche-boerse.com/resource/blob/4887536/a68752b1b7c85f9cf530531c0c221dc4/data/company-release-q4-2025-en.pdf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referencia del BCE USD/EUR y GBP/EUR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https://data-api.ecb.europa.eu/service/data/EXR/D.USD+GBP.EUR.SP00.A?startPeriod=2025-12-30&amp;endPeriod=2025-12-31&amp;format=csvdata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MBA cuts 2027 originations (previsión de la MBA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https://www.housingwire.com/articles/mba-cuts-2027-originations/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ETD Volume - December 2025 (volumen anual de derivados cotizados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https://www.fia.org/fia/articles/etd-volume-december-2025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(estudio de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Reports September and Third Quarter 2026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https://s2.q4cdn.com/154085107/files/doc_news/Intercontinental-Exchange-Reports-September-and-Third-Quarter-2026-Statistics-2026.pdf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EEX Group Annual Volume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https://www.eex.com/fileadmin/SAP_Marketing_Cloud_E-Mail_Attachments/communications_and_marketing/Press_Releases/20260113_EEX_Group_Annual_volume_report.pdf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Intercontinental Exchange and Nine Affiliates Including the New York Stock Exchange with Failing to Inform the Commission of a Cyber Intrusion (2024-63)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https://www.sec.gov/newsroom/press-releases/2024-63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https://www.sec.gov/Archives/edgar/data/1571949/000119312526134700/ice-20260330.htm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del 15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https://www.sec.gov/Archives/edgar/data/1571949/000110465926063863/tm2615096d1_8k.htm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https://www.sec.gov/Archives/edgar/data/1571949/000110465925051631/tm2515751d1_8k.htm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mayo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https://www.sec.gov/Archives/edgar/data/1571949/000110465924063868/tm2415083d1_8k.htm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Lord Hill of Oareford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https://www.sec.gov/Archives/edgar/data/1571949/000110465925091292/tm2525899d1_8k.htm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ICE, 8-oct-2025 a 8-oct-2026 (92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https://www.sec.gov/cgi-bin/browse-edgar?action=getcompany&amp;CIK=0001571949&amp;type=4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The Vanguard Group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https://www.sec.gov/Archives/edgar/data/1571949/000010290925000359/xslSCHEDULE_13G_X01/primary_doc.xml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13) de The Vanguard Group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https://www.sec.gov/Archives/edgar/data/1571949/000010290926001524/xslSCHEDULE_13G_X02/primary_doc.xml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https://www.sec.gov/Archives/edgar/data/1571949/000210011926000658/xslSCHEDULE_13G_X02/primary_doc.xml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BlackRock, Inc.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https://www.sec.gov/Archives/edgar/data/1571949/000157641925000615/xslSCHEDULE_13G_X01/primary_doc.xml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11) de BlackRock, Inc.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https://www.sec.gov/Archives/edgar/data/1571949/000201238325000402/xslSCHEDULE_13G_X01/primary_doc.xml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Intercontinental Exchange and Nine Affiliates Including the New York Stock Exchange with Failing to Inform the Commission of a Cyber Intrusion (nota de prensa 2024-63)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https://www.sec.gov/news/press-release/2024-63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5.03): entrada en vigor del Eighth Amended and Restated Certificate of Incorporation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https://www.sec.gov/Archives/edgar/data/1571949/000110465926103230/tm2624234d1_8k.htm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2020, con la guía de 2021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https://www.sec.gov/Archives/edgar/data/1571949/000110465921011938/tm214960d1_ex99-1.htm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2021, con la guía de 2022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https://www.sec.gov/Archives/edgar/data/1571949/000110465922011150/tm225009d1_ex99-1.htm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2024, con la guía de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https://www.sec.gov/Archives/edgar/data/1571949/000110465925009884/tm255453d1_ex99-1.htm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(ICE, SPY, XLF, CME, NDAQ, CBOE, SPGI, MSCI, TW, LSEG.L, DB1.DE)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https://www.sec.gov/Archives/edgar/data/1278021/000119312526340249/mktx-20260630.htm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https://www.sec.gov/Archives/edgar/data/1278021/000119312526067009/mktx-20251231.htm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formulario 10-K del ejercicio cerrado el 30-nov-2020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https://www.sec.gov/Archives/edgar/data/1598014/000159801421000015/info-20201130.htm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mensajes de $ICE (API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https://api.stocktwits.com/api/2/streams/symbol/ICE.json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Fuente RSS combinada de ICE (artículos y noticias)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https://seekingalpha.com/api/sa/combined/ICE.xml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Falls as Competitive Concerns Likely Add to Recent Analyst Pressure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https://www.quiverquant.com/news/Intercontinental+Exchange+Falls+as+Competitive+Concerns+Likely+Add+to+Recent+Analyst+Pressure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Slides as Softer June Volume Trends Trigger Estimate Cuts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https://www.quiverquant.com/news/Intercontinental+Exchange+Slides+as+Softer+June+Volume+Trends+Trigger+Estimate+Cuts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Deep Dive: Can NYSE-Owner ICE Heat Back 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https://www.etoro.com/news-and-analysis/market-insights/deep-dives/deep-dive-can-nyse-owner-ice-heat-back-up/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senior 2029, 2031, 2033 y 2036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https://www.sec.gov/Archives/edgar/data/1571949/000119312526345198/d177529dfwp.htm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4,99 % el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 Form 8-K (fin anticipado del plazo de la ley HSR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https://www.sec.gov/cgi-bin/browse-edgar?action=getcompany&amp;CIK=0001278021&amp;type=8-K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estimaciones (earningsTrend), objetivos, recomendaciones, cambios de recomendación y calendario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infraestructura de mercados al 23-oct-2026 (MarketScreener y Stock Analysis), informes de CME Group y LSEG del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sobre MarketScreener y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93,8 %</w:t>
      </w:r>
      <w:r>
        <w:t xml:space="preserve"> · Secciones con menos del 60 % de campos cubiertos: </w:t>
      </w:r>
      <w:r>
        <w:rPr>
          <w:b/>
          <w:bCs/>
        </w:rPr>
        <w:t xml:space="preserve">ninguna</w:t>
      </w:r>
      <w:r>
        <w:t xml:space="preserve"> · Generado el 28 oct 2026.</w:t>
      </w:r>
    </w:p>
    <w:p>
      <w:pPr>
        <w:pStyle w:val="Nota"/>
        <w:spacing w:after="100"/>
      </w:pPr>
      <w:r>
        <w:t xml:space="preserve">Línea cotizada: acción ordinaria de ICE en la NYSE (USD). El análisis se hace el 28-oct-2026 antes de la apertura de Nueva York: precio = cierre del 27-oct-2026 (155,44 USD). </w:t>
      </w:r>
      <w:r>
        <w:rPr>
          <w:b/>
        </w:rPr>
        <w:t xml:space="preserve">ICE publica los resultados del 3T26 el 29-oct-2026, el día siguiente al corte: este informe usa el 2T26 como último trimestre y habrá que rehacerlo con esos resultados.</w:t>
      </w:r>
      <w:r>
        <w:t xml:space="preserve"> Ingresos: siempre netos de gastos por transacción (la cifra principal de ICE). Balance: fuera los depósitos de margen y fondos de garantía de los miembros de las cámaras (no son de ICE) y la caja restringida para capital regulatorio. Arrendamientos operativos (US GAAP): fuera del puente y de la deuda. MarketAxess (compra firmada el 29-jul-2026; autorización de competencia de EE. UU. el 21-oct; junta de MarketAxess el 29-oct) no está en el DCF, ni en el BPA ni en el puente: se trata como neutra al precio pagado. </w:t>
      </w:r>
      <w:r>
        <w:rPr>
          <w:b/>
        </w:rPr>
        <w:t xml:space="preserve">Base del BPA: ajustado</w:t>
      </w:r>
      <w:r>
        <w:t xml:space="preserve"> (el que publica ICE, sin amortización de intangibles adquiridos, integración ni asuntos regulatorios) en los tres casos y en la historia del PER. Consenso: BPA ajustado e ingresos de Yahoo Finance (28-oct) y EBITDA de MarketScreener (8-oct). Comparables tomados del informe de CME Group del 26-oct (cierre del 23-oct) y llevados al 27-oct con el precio. Notas A-D de la iteración del 8-oct, revisadas contra el XBRL de la SEC y las fuentes primarias; no se han leído las preguntas de los analistas en las conferencias.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Intercontinental Exchange, Inc. (ICE)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155,44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(121,79 – 176,05)</c:v>
                </c:pt>
                <c:pt idx="1">
                  <c:v>Precio objetivo de los analistas (160,00 – 243,00)</c:v>
                </c:pt>
                <c:pt idx="2">
                  <c:v>Comparables: EV/EBITDA NTM (171,90 – 230,72)</c:v>
                </c:pt>
                <c:pt idx="3">
                  <c:v>Comparables: PER NTM (203,17 – 237,32)</c:v>
                </c:pt>
                <c:pt idx="4">
                  <c:v>Transacciones precedentes (EV/EBITDA) (204,68 – 316,16)</c:v>
                </c:pt>
                <c:pt idx="5">
                  <c:v>DCF (WACC y g ± 0,5) (142,54 – 202,74)</c:v>
                </c:pt>
                <c:pt idx="6">
                  <c:v>Escenarios (bajista – alcista) (113,30 – 210,75)</c:v>
                </c:pt>
                <c:pt idx="7">
                  <c:v>Suma de partes (138,04 – 196,77)</c:v>
                </c:pt>
                <c:pt idx="8">
                  <c:v>DCF con la prima implícita del mercado (4,2 %)</c:v>
                </c:pt>
                <c:pt idx="9">
                  <c:v>Precio actual (155,44)</c:v>
                </c:pt>
              </c:strCache>
            </c:strRef>
          </c:cat>
          <c:val>
            <c:numRef>
              <c:f>Hoja1!$B$2:$B$11</c:f>
              <c:numCache>
                <c:formatCode>#,##0</c:formatCode>
                <c:ptCount val="10"/>
                <c:pt idx="0">
                  <c:v>121.79</c:v>
                </c:pt>
                <c:pt idx="1">
                  <c:v>160</c:v>
                </c:pt>
                <c:pt idx="2">
                  <c:v>171.9</c:v>
                </c:pt>
                <c:pt idx="3">
                  <c:v>203.17</c:v>
                </c:pt>
                <c:pt idx="4">
                  <c:v>204.68</c:v>
                </c:pt>
                <c:pt idx="5">
                  <c:v>142.54</c:v>
                </c:pt>
                <c:pt idx="6">
                  <c:v>113.3</c:v>
                </c:pt>
                <c:pt idx="7">
                  <c:v>138.04</c:v>
                </c:pt>
                <c:pt idx="8">
                  <c:v>170.54</c:v>
                </c:pt>
                <c:pt idx="9">
                  <c:v>154.66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(121,79 – 176,05)</c:v>
                </c:pt>
                <c:pt idx="1">
                  <c:v>Precio objetivo de los analistas (160,00 – 243,00)</c:v>
                </c:pt>
                <c:pt idx="2">
                  <c:v>Comparables: EV/EBITDA NTM (171,90 – 230,72)</c:v>
                </c:pt>
                <c:pt idx="3">
                  <c:v>Comparables: PER NTM (203,17 – 237,32)</c:v>
                </c:pt>
                <c:pt idx="4">
                  <c:v>Transacciones precedentes (EV/EBITDA) (204,68 – 316,16)</c:v>
                </c:pt>
                <c:pt idx="5">
                  <c:v>DCF (WACC y g ± 0,5) (142,54 – 202,74)</c:v>
                </c:pt>
                <c:pt idx="6">
                  <c:v>Escenarios (bajista – alcista) (113,30 – 210,75)</c:v>
                </c:pt>
                <c:pt idx="7">
                  <c:v>Suma de partes (138,04 – 196,77)</c:v>
                </c:pt>
                <c:pt idx="8">
                  <c:v>DCF con la prima implícita del mercado (4,2 %)</c:v>
                </c:pt>
                <c:pt idx="9">
                  <c:v>Precio actual (155,44)</c:v>
                </c:pt>
              </c:strCache>
            </c:strRef>
          </c:cat>
          <c:val>
            <c:numRef>
              <c:f>Hoja1!$C$2:$C$11</c:f>
              <c:numCache>
                <c:formatCode>#,##0</c:formatCode>
                <c:ptCount val="10"/>
                <c:pt idx="0">
                  <c:v>54.260000000000005</c:v>
                </c:pt>
                <c:pt idx="1">
                  <c:v>83</c:v>
                </c:pt>
                <c:pt idx="2">
                  <c:v>58.81999999999999</c:v>
                </c:pt>
                <c:pt idx="3">
                  <c:v>34.150000000000006</c:v>
                </c:pt>
                <c:pt idx="4">
                  <c:v>111.48000000000002</c:v>
                </c:pt>
                <c:pt idx="5">
                  <c:v>60.20000000000002</c:v>
                </c:pt>
                <c:pt idx="6">
                  <c:v>97.45</c:v>
                </c:pt>
                <c:pt idx="7">
                  <c:v>58.73000000000002</c:v>
                </c:pt>
                <c:pt idx="8">
                  <c:v>44.55000000000001</c:v>
                </c:pt>
                <c:pt idx="9">
                  <c:v>1.5600000000000023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Exchanges</c:v>
                </c:pt>
              </c:strCache>
            </c:strRef>
          </c:tx>
          <c:spPr>
            <a:solidFill>
              <a:srgbClr val="2A78D6"/>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Hoja1!$B$2:$B$7</c:f>
              <c:numCache>
                <c:formatCode>#,##0</c:formatCode>
                <c:ptCount val="6"/>
                <c:pt idx="0">
                  <c:v>5874</c:v>
                </c:pt>
                <c:pt idx="1">
                  <c:v>3856</c:v>
                </c:pt>
                <c:pt idx="2">
                  <c:v>4071</c:v>
                </c:pt>
                <c:pt idx="3">
                  <c:v>4440</c:v>
                </c:pt>
                <c:pt idx="4">
                  <c:v>4959</c:v>
                </c:pt>
                <c:pt idx="5">
                  <c:v>5411</c:v>
                </c:pt>
              </c:numCache>
            </c:numRef>
          </c:val>
        </c:ser>
        <c:ser>
          <c:idx val="1"/>
          <c:order val="1"/>
          <c:tx>
            <c:strRef>
              <c:f>Hoja1!$C$1</c:f>
              <c:strCache>
                <c:ptCount val="1"/>
                <c:pt idx="0">
                  <c:v>Fixed Income and Data Services</c:v>
                </c:pt>
              </c:strCache>
            </c:strRef>
          </c:tx>
          <c:spPr>
            <a:solidFill>
              <a:srgbClr val="EB6834"/>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Hoja1!$C$2:$C$7</c:f>
              <c:numCache>
                <c:formatCode>#,##0</c:formatCode>
                <c:ptCount val="6"/>
                <c:pt idx="0">
                  <c:v>2528</c:v>
                </c:pt>
                <c:pt idx="1">
                  <c:v>1883</c:v>
                </c:pt>
                <c:pt idx="2">
                  <c:v>2092</c:v>
                </c:pt>
                <c:pt idx="3">
                  <c:v>2231</c:v>
                </c:pt>
                <c:pt idx="4">
                  <c:v>2298</c:v>
                </c:pt>
                <c:pt idx="5">
                  <c:v>2419</c:v>
                </c:pt>
              </c:numCache>
            </c:numRef>
          </c:val>
        </c:ser>
        <c:ser>
          <c:idx val="2"/>
          <c:order val="2"/>
          <c:tx>
            <c:strRef>
              <c:f>Hoja1!$D$1</c:f>
              <c:strCache>
                <c:ptCount val="1"/>
                <c:pt idx="0">
                  <c:v>Mortgage Technology</c:v>
                </c:pt>
              </c:strCache>
            </c:strRef>
          </c:tx>
          <c:spPr>
            <a:solidFill>
              <a:srgbClr val="1BAF7A"/>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Hoja1!$D$2:$D$7</c:f>
              <c:numCache>
                <c:formatCode>#,##0</c:formatCode>
                <c:ptCount val="6"/>
                <c:pt idx="0">
                  <c:v>2156</c:v>
                </c:pt>
                <c:pt idx="1">
                  <c:v>1407</c:v>
                </c:pt>
                <c:pt idx="2">
                  <c:v>1129</c:v>
                </c:pt>
                <c:pt idx="3">
                  <c:v>1317</c:v>
                </c:pt>
                <c:pt idx="4">
                  <c:v>2022</c:v>
                </c:pt>
                <c:pt idx="5">
                  <c:v>2101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Exchanges</c:v>
                </c:pt>
                <c:pt idx="1">
                  <c:v>Fixed Income and Data Services</c:v>
                </c:pt>
                <c:pt idx="2">
                  <c:v>Mortgage Technology</c:v>
                </c:pt>
              </c:strCache>
            </c:strRef>
          </c:cat>
          <c:val>
            <c:numRef>
              <c:f>Hoja1!$B$2:$B$4</c:f>
              <c:numCache>
                <c:formatCode>General</c:formatCode>
                <c:ptCount val="3"/>
                <c:pt idx="0">
                  <c:v>54.5</c:v>
                </c:pt>
                <c:pt idx="1">
                  <c:v>24.4</c:v>
                </c:pt>
                <c:pt idx="2">
                  <c:v>21.2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 (sobre todo Reino Unido; también UE, India, Israel, Canadá y Singapur)</c:v>
                </c:pt>
              </c:strCache>
            </c:strRef>
          </c:cat>
          <c:val>
            <c:numRef>
              <c:f>Hoja1!$B$2:$B$3</c:f>
              <c:numCache>
                <c:formatCode>0"%"</c:formatCode>
                <c:ptCount val="2"/>
                <c:pt idx="0">
                  <c:v>63.6</c:v>
                </c:pt>
                <c:pt idx="1">
                  <c:v>36.4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(originación hipotecaria unifamiliar de EE. UU., 1-4 viviendas; estimación de Fannie Mae))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2021</c:v>
                </c:pt>
                <c:pt idx="1">
                  <c:v>2022</c:v>
                </c:pt>
                <c:pt idx="2">
                  <c:v>2023</c:v>
                </c:pt>
                <c:pt idx="3">
                  <c:v>2024</c:v>
                </c:pt>
                <c:pt idx="4">
                  <c:v>2025</c:v>
                </c:pt>
                <c:pt idx="5">
                  <c:v>2026e</c:v>
                </c:pt>
                <c:pt idx="6">
                  <c:v>2027e</c:v>
                </c:pt>
              </c:strCache>
            </c:strRef>
          </c:cat>
          <c:val>
            <c:numRef>
              <c:f>Hoja1!$B$2:$B$8</c:f>
              <c:numCache>
                <c:formatCode>#,##0</c:formatCode>
                <c:ptCount val="7"/>
                <c:pt idx="0">
                  <c:v>4570</c:v>
                </c:pt>
                <c:pt idx="1">
                  <c:v>2374</c:v>
                </c:pt>
                <c:pt idx="2">
                  <c:v>1503</c:v>
                </c:pt>
                <c:pt idx="3">
                  <c:v>1695</c:v>
                </c:pt>
                <c:pt idx="4">
                  <c:v>1956</c:v>
                </c:pt>
                <c:pt idx="5">
                  <c:v>2121</c:v>
                </c:pt>
                <c:pt idx="6">
                  <c:v>2279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ICE</c:v>
                </c:pt>
                <c:pt idx="1">
                  <c:v>CME Group</c:v>
                </c:pt>
                <c:pt idx="2">
                  <c:v>Nasdaq</c:v>
                </c:pt>
                <c:pt idx="3">
                  <c:v>Cboe Global Markets</c:v>
                </c:pt>
                <c:pt idx="4">
                  <c:v>London Stock Exchange Group</c:v>
                </c:pt>
                <c:pt idx="5">
                  <c:v>Deutsche Börse (EEX)</c:v>
                </c:pt>
                <c:pt idx="6">
                  <c:v>S&amp;P Global</c:v>
                </c:pt>
                <c:pt idx="7">
                  <c:v>MSCI</c:v>
                </c:pt>
                <c:pt idx="8">
                  <c:v>Constellation Software (Dark Matter, Optimal Blue)</c:v>
                </c:pt>
              </c:strCache>
            </c:strRef>
          </c:cat>
          <c:val>
            <c:numRef>
              <c:f>Hoja1!$B$2:$B$10</c:f>
              <c:numCache>
                <c:formatCode>0.0"%"</c:formatCode>
                <c:ptCount val="9"/>
                <c:pt idx="0">
                  <c:v>50.3</c:v>
                </c:pt>
                <c:pt idx="1">
                  <c:v>64.9</c:v>
                </c:pt>
                <c:pt idx="2">
                  <c:v>44.4</c:v>
                </c:pt>
                <c:pt idx="3">
                  <c:v>60.4</c:v>
                </c:pt>
                <c:pt idx="4">
                  <c:v>23.7</c:v>
                </c:pt>
                <c:pt idx="5">
                  <c:v>50</c:v>
                </c:pt>
                <c:pt idx="6">
                  <c:v>42.2</c:v>
                </c:pt>
                <c:pt idx="7">
                  <c:v>54.7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7146</c:v>
                </c:pt>
                <c:pt idx="1">
                  <c:v>7292</c:v>
                </c:pt>
                <c:pt idx="2">
                  <c:v>7988</c:v>
                </c:pt>
                <c:pt idx="3">
                  <c:v>9279</c:v>
                </c:pt>
                <c:pt idx="4">
                  <c:v>9931</c:v>
                </c:pt>
                <c:pt idx="5">
                  <c:v>11073</c:v>
                </c:pt>
                <c:pt idx="6">
                  <c:v>11627</c:v>
                </c:pt>
                <c:pt idx="7">
                  <c:v>12324</c:v>
                </c:pt>
                <c:pt idx="8">
                  <c:v>13064</c:v>
                </c:pt>
                <c:pt idx="9">
                  <c:v>13782</c:v>
                </c:pt>
                <c:pt idx="10">
                  <c:v>14471</c:v>
                </c:pt>
                <c:pt idx="11">
                  <c:v>15123</c:v>
                </c:pt>
                <c:pt idx="12">
                  <c:v>15728</c:v>
                </c:pt>
                <c:pt idx="13">
                  <c:v>16278</c:v>
                </c:pt>
                <c:pt idx="14">
                  <c:v>16766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4560</c:v>
                </c:pt>
                <c:pt idx="1">
                  <c:v>4762</c:v>
                </c:pt>
                <c:pt idx="2">
                  <c:v>5178</c:v>
                </c:pt>
                <c:pt idx="3">
                  <c:v>5950</c:v>
                </c:pt>
                <c:pt idx="4">
                  <c:v>6559</c:v>
                </c:pt>
                <c:pt idx="5">
                  <c:v>7474</c:v>
                </c:pt>
                <c:pt idx="6">
                  <c:v>7848</c:v>
                </c:pt>
                <c:pt idx="7">
                  <c:v>8356</c:v>
                </c:pt>
                <c:pt idx="8">
                  <c:v>8883</c:v>
                </c:pt>
                <c:pt idx="9">
                  <c:v>9372</c:v>
                </c:pt>
                <c:pt idx="10">
                  <c:v>9841</c:v>
                </c:pt>
                <c:pt idx="11">
                  <c:v>10283</c:v>
                </c:pt>
                <c:pt idx="12">
                  <c:v>10695</c:v>
                </c:pt>
                <c:pt idx="13">
                  <c:v>11069</c:v>
                </c:pt>
                <c:pt idx="14">
                  <c:v>11401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63.8</c:v>
                </c:pt>
                <c:pt idx="1">
                  <c:v>65.3</c:v>
                </c:pt>
                <c:pt idx="2">
                  <c:v>64.8</c:v>
                </c:pt>
                <c:pt idx="3">
                  <c:v>64.1</c:v>
                </c:pt>
                <c:pt idx="4">
                  <c:v>66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49.7</c:v>
                </c:pt>
                <c:pt idx="1">
                  <c:v>51.2</c:v>
                </c:pt>
                <c:pt idx="2">
                  <c:v>49.6</c:v>
                </c:pt>
                <c:pt idx="3">
                  <c:v>47.6</c:v>
                </c:pt>
                <c:pt idx="4">
                  <c:v>50.3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56.8</c:v>
                </c:pt>
                <c:pt idx="1">
                  <c:v>19.8</c:v>
                </c:pt>
                <c:pt idx="2">
                  <c:v>29.6</c:v>
                </c:pt>
                <c:pt idx="3">
                  <c:v>29.7</c:v>
                </c:pt>
                <c:pt idx="4">
                  <c:v>33.4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5.5</c:v>
                </c:pt>
                <c:pt idx="4">
                  <c:v>2.6</c:v>
                </c:pt>
                <c:pt idx="5">
                  <c:v>7.8</c:v>
                </c:pt>
                <c:pt idx="6">
                  <c:v>20.4</c:v>
                </c:pt>
                <c:pt idx="7">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62</c:v>
                </c:pt>
                <c:pt idx="1">
                  <c:v>59</c:v>
                </c:pt>
                <c:pt idx="2">
                  <c:v>62</c:v>
                </c:pt>
                <c:pt idx="3">
                  <c:v>59</c:v>
                </c:pt>
                <c:pt idx="4">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2671</c:v>
                </c:pt>
                <c:pt idx="1">
                  <c:v>3072</c:v>
                </c:pt>
                <c:pt idx="2">
                  <c:v>3053</c:v>
                </c:pt>
                <c:pt idx="3">
                  <c:v>3857</c:v>
                </c:pt>
                <c:pt idx="4">
                  <c:v>3871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4058</c:v>
                </c:pt>
                <c:pt idx="1">
                  <c:v>1446</c:v>
                </c:pt>
                <c:pt idx="2">
                  <c:v>2368</c:v>
                </c:pt>
                <c:pt idx="3">
                  <c:v>2754</c:v>
                </c:pt>
                <c:pt idx="4">
                  <c:v>3315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c:v>
                </c:pt>
                <c:pt idx="1">
                  <c:v>8.2</c:v>
                </c:pt>
                <c:pt idx="2">
                  <c:v>7.7</c:v>
                </c:pt>
                <c:pt idx="3">
                  <c:v>7.1</c:v>
                </c:pt>
                <c:pt idx="4">
                  <c:v>8.1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8.6</c:v>
                </c:pt>
                <c:pt idx="1">
                  <c:v>8.6</c:v>
                </c:pt>
                <c:pt idx="2">
                  <c:v>8.6</c:v>
                </c:pt>
                <c:pt idx="3">
                  <c:v>8.6</c:v>
                </c:pt>
                <c:pt idx="4">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6.4</c:v>
                </c:pt>
                <c:pt idx="2">
                  <c:v>9.8</c:v>
                </c:pt>
                <c:pt idx="3">
                  <c:v>10.3</c:v>
                </c:pt>
                <c:pt idx="4">
                  <c:v>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2.99</c:v>
                </c:pt>
                <c:pt idx="1">
                  <c:v>3.49</c:v>
                </c:pt>
                <c:pt idx="2">
                  <c:v>4.26</c:v>
                </c:pt>
                <c:pt idx="3">
                  <c:v>3.34</c:v>
                </c:pt>
                <c:pt idx="4">
                  <c:v>2.97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1037</c:v>
                </c:pt>
                <c:pt idx="1">
                  <c:v>2000</c:v>
                </c:pt>
                <c:pt idx="2">
                  <c:v>2200</c:v>
                </c:pt>
                <c:pt idx="3">
                  <c:v>1250</c:v>
                </c:pt>
                <c:pt idx="4">
                  <c:v>1250</c:v>
                </c:pt>
                <c:pt idx="5">
                  <c:v>12150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c:v>
                </c:pt>
                <c:pt idx="1">
                  <c:v>59</c:v>
                </c:pt>
                <c:pt idx="2">
                  <c:v>10198</c:v>
                </c:pt>
                <c:pt idx="3">
                  <c:v>38</c:v>
                </c:pt>
                <c:pt idx="4">
                  <c:v>19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747</c:v>
                </c:pt>
                <c:pt idx="1">
                  <c:v>853</c:v>
                </c:pt>
                <c:pt idx="2">
                  <c:v>955</c:v>
                </c:pt>
                <c:pt idx="3">
                  <c:v>1039</c:v>
                </c:pt>
                <c:pt idx="4">
                  <c:v>1105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250</c:v>
                </c:pt>
                <c:pt idx="1">
                  <c:v>632</c:v>
                </c:pt>
                <c:pt idx="2">
                  <c:v>0</c:v>
                </c:pt>
                <c:pt idx="3">
                  <c:v>0</c:v>
                </c:pt>
                <c:pt idx="4">
                  <c:v>1294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9</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 Inc.</c:v>
                </c:pt>
                <c:pt idx="2">
                  <c:v>Consejeros y directivos (22 personas)</c:v>
                </c:pt>
                <c:pt idx="3">
                  <c:v>Autocartera</c:v>
                </c:pt>
              </c:strCache>
            </c:strRef>
          </c:cat>
          <c:val>
            <c:numRef>
              <c:f>Hoja1!$B$2:$B$5</c:f>
              <c:numCache>
                <c:formatCode>0.0"%"</c:formatCode>
                <c:ptCount val="4"/>
                <c:pt idx="0">
                  <c:v>10.1</c:v>
                </c:pt>
                <c:pt idx="1">
                  <c:v>6.8</c:v>
                </c:pt>
                <c:pt idx="2">
                  <c:v>0.84</c:v>
                </c:pt>
                <c:pt idx="3">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11.5</c:v>
                </c:pt>
                <c:pt idx="1">
                  <c:v>26.6</c:v>
                </c:pt>
                <c:pt idx="2">
                  <c:v>8.1</c:v>
                </c:pt>
                <c:pt idx="3">
                  <c:v>24.5</c:v>
                </c:pt>
                <c:pt idx="4">
                  <c:v>26.2</c:v>
                </c:pt>
                <c:pt idx="5">
                  <c:v>19.9</c:v>
                </c:pt>
                <c:pt idx="6">
                  <c:v>-23.9</c:v>
                </c:pt>
                <c:pt idx="7">
                  <c:v>27.1</c:v>
                </c:pt>
                <c:pt idx="8">
                  <c:v>17.5</c:v>
                </c:pt>
                <c:pt idx="9">
                  <c:v>9.9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19.9</c:v>
                </c:pt>
                <c:pt idx="6">
                  <c:v>15.6</c:v>
                </c:pt>
                <c:pt idx="7">
                  <c:v>18.3</c:v>
                </c:pt>
                <c:pt idx="8">
                  <c:v>17.8</c:v>
                </c:pt>
                <c:pt idx="9">
                  <c:v>17.2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17.8</c:v>
                </c:pt>
                <c:pt idx="1">
                  <c:v>17.8</c:v>
                </c:pt>
                <c:pt idx="2">
                  <c:v>17.8</c:v>
                </c:pt>
                <c:pt idx="3">
                  <c:v>17.8</c:v>
                </c:pt>
                <c:pt idx="4">
                  <c:v>17.8</c:v>
                </c:pt>
                <c:pt idx="5">
                  <c:v>17.8</c:v>
                </c:pt>
                <c:pt idx="6">
                  <c:v>17.8</c:v>
                </c:pt>
                <c:pt idx="7">
                  <c:v>17.8</c:v>
                </c:pt>
                <c:pt idx="8">
                  <c:v>17.8</c:v>
                </c:pt>
                <c:pt idx="9">
                  <c:v>17.8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ICE</c:v>
                </c:pt>
                <c:pt idx="1">
                  <c:v>CME Group</c:v>
                </c:pt>
                <c:pt idx="2">
                  <c:v>Deutsche Börse</c:v>
                </c:pt>
                <c:pt idx="3">
                  <c:v>Nasdaq</c:v>
                </c:pt>
                <c:pt idx="4">
                  <c:v>London Stock Exchange Group</c:v>
                </c:pt>
                <c:pt idx="5">
                  <c:v>Euronext</c:v>
                </c:pt>
                <c:pt idx="6">
                  <c:v>Tradeweb Markets</c:v>
                </c:pt>
                <c:pt idx="7">
                  <c:v>MSCI</c:v>
                </c:pt>
                <c:pt idx="8">
                  <c:v>S&amp;P Global</c:v>
                </c:pt>
                <c:pt idx="9">
                  <c:v>Cboe Global Markets</c:v>
                </c:pt>
              </c:strCache>
            </c:strRef>
          </c:cat>
          <c:val>
            <c:numRef>
              <c:f>Hoja1!$B$2:$B$11</c:f>
              <c:numCache>
                <c:formatCode>0.0"x"</c:formatCode>
                <c:ptCount val="10"/>
                <c:pt idx="0">
                  <c:v>13.5</c:v>
                </c:pt>
                <c:pt idx="1">
                  <c:v>20.1</c:v>
                </c:pt>
                <c:pt idx="2">
                  <c:v>14.9</c:v>
                </c:pt>
                <c:pt idx="3">
                  <c:v>17.7</c:v>
                </c:pt>
                <c:pt idx="4">
                  <c:v>10.1</c:v>
                </c:pt>
                <c:pt idx="5">
                  <c:v>14.2</c:v>
                </c:pt>
                <c:pt idx="6">
                  <c:v>18.5</c:v>
                </c:pt>
                <c:pt idx="7">
                  <c:v>21.4</c:v>
                </c:pt>
                <c:pt idx="8">
                  <c:v>18.7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7.4</c:v>
                </c:pt>
              </c:numCache>
            </c:numRef>
          </c:xVal>
          <c:yVal>
            <c:numRef>
              <c:f>Hoja1!$C$2</c:f>
              <c:numCache>
                <c:formatCode>0.0"x"</c:formatCode>
                <c:ptCount val="1"/>
                <c:pt idx="0">
                  <c:v>13.5</c:v>
                </c:pt>
              </c:numCache>
            </c:numRef>
          </c:yVal>
          <c:smooth val="0"/>
        </c:ser>
        <c:ser>
          <c:idx val="1"/>
          <c:order val="1"/>
          <c:tx>
            <c:strRef>
              <c:f>Hoja1!$A$3</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20.1</c:v>
                </c:pt>
              </c:numCache>
            </c:numRef>
          </c:yVal>
          <c:smooth val="0"/>
        </c:ser>
        <c:ser>
          <c:idx val="2"/>
          <c:order val="2"/>
          <c:tx>
            <c:strRef>
              <c:f>Hoja1!$A$4</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5.5</c:v>
                </c:pt>
              </c:numCache>
            </c:numRef>
          </c:xVal>
          <c:yVal>
            <c:numRef>
              <c:f>Hoja1!$C$4</c:f>
              <c:numCache>
                <c:formatCode>0.0"x"</c:formatCode>
                <c:ptCount val="1"/>
                <c:pt idx="0">
                  <c:v>14.9</c:v>
                </c:pt>
              </c:numCache>
            </c:numRef>
          </c:yVal>
          <c:smooth val="0"/>
        </c:ser>
        <c:ser>
          <c:idx val="3"/>
          <c:order val="3"/>
          <c:tx>
            <c:strRef>
              <c:f>Hoja1!$A$5</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10.1</c:v>
                </c:pt>
              </c:numCache>
            </c:numRef>
          </c:xVal>
          <c:yVal>
            <c:numRef>
              <c:f>Hoja1!$C$5</c:f>
              <c:numCache>
                <c:formatCode>0.0"x"</c:formatCode>
                <c:ptCount val="1"/>
                <c:pt idx="0">
                  <c:v>17.7</c:v>
                </c:pt>
              </c:numCache>
            </c:numRef>
          </c:yVal>
          <c:smooth val="0"/>
        </c:ser>
        <c:ser>
          <c:idx val="4"/>
          <c:order val="4"/>
          <c:tx>
            <c:strRef>
              <c:f>Hoja1!$A$6</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6.5</c:v>
                </c:pt>
              </c:numCache>
            </c:numRef>
          </c:xVal>
          <c:yVal>
            <c:numRef>
              <c:f>Hoja1!$C$6</c:f>
              <c:numCache>
                <c:formatCode>0.0"x"</c:formatCode>
                <c:ptCount val="1"/>
                <c:pt idx="0">
                  <c:v>10.1</c:v>
                </c:pt>
              </c:numCache>
            </c:numRef>
          </c:yVal>
          <c:smooth val="0"/>
        </c:ser>
        <c:ser>
          <c:idx val="5"/>
          <c:order val="5"/>
          <c:tx>
            <c:strRef>
              <c:f>Hoja1!$A$7</c:f>
              <c:strCache>
                <c:ptCount val="1"/>
                <c:pt idx="0">
                  <c:v>Euronext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12.1</c:v>
                </c:pt>
              </c:numCache>
            </c:numRef>
          </c:xVal>
          <c:yVal>
            <c:numRef>
              <c:f>Hoja1!$C$7</c:f>
              <c:numCache>
                <c:formatCode>0.0"x"</c:formatCode>
                <c:ptCount val="1"/>
                <c:pt idx="0">
                  <c:v>14.2</c:v>
                </c:pt>
              </c:numCache>
            </c:numRef>
          </c:yVal>
          <c:smooth val="0"/>
        </c:ser>
        <c:ser>
          <c:idx val="6"/>
          <c:order val="6"/>
          <c:tx>
            <c:strRef>
              <c:f>Hoja1!$A$8</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13.3</c:v>
                </c:pt>
              </c:numCache>
            </c:numRef>
          </c:xVal>
          <c:yVal>
            <c:numRef>
              <c:f>Hoja1!$C$8</c:f>
              <c:numCache>
                <c:formatCode>0.0"x"</c:formatCode>
                <c:ptCount val="1"/>
                <c:pt idx="0">
                  <c:v>18.5</c:v>
                </c:pt>
              </c:numCache>
            </c:numRef>
          </c:yVal>
          <c:smooth val="0"/>
        </c:ser>
        <c:ser>
          <c:idx val="7"/>
          <c:order val="7"/>
          <c:tx>
            <c:strRef>
              <c:f>Hoja1!$A$9</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10.2</c:v>
                </c:pt>
              </c:numCache>
            </c:numRef>
          </c:xVal>
          <c:yVal>
            <c:numRef>
              <c:f>Hoja1!$C$9</c:f>
              <c:numCache>
                <c:formatCode>0.0"x"</c:formatCode>
                <c:ptCount val="1"/>
                <c:pt idx="0">
                  <c:v>21.4</c:v>
                </c:pt>
              </c:numCache>
            </c:numRef>
          </c:yVal>
          <c:smooth val="0"/>
        </c:ser>
        <c:ser>
          <c:idx val="8"/>
          <c:order val="8"/>
          <c:tx>
            <c:strRef>
              <c:f>Hoja1!$A$10</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7.6</c:v>
                </c:pt>
              </c:numCache>
            </c:numRef>
          </c:xVal>
          <c:yVal>
            <c:numRef>
              <c:f>Hoja1!$C$10</c:f>
              <c:numCache>
                <c:formatCode>0.0"x"</c:formatCode>
                <c:ptCount val="1"/>
                <c:pt idx="0">
                  <c:v>18.7</c:v>
                </c:pt>
              </c:numCache>
            </c:numRef>
          </c:yVal>
          <c:smooth val="0"/>
        </c:ser>
        <c:axId val="10"/>
        <c:axId val="20"/>
      </c:scatterChart>
      <c:valAx>
        <c:axId val="10"/>
        <c:scaling>
          <c:orientation val="minMax"/>
          <c:max val="16"/>
          <c:min val="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MarketAxess Holdings</c:v>
                </c:pt>
                <c:pt idx="1">
                  <c:v>Adenza</c:v>
                </c:pt>
                <c:pt idx="2">
                  <c:v>IHS Markit</c:v>
                </c:pt>
                <c:pt idx="3">
                  <c:v>Black Knight</c:v>
                </c:pt>
              </c:strCache>
            </c:strRef>
          </c:cat>
          <c:val>
            <c:numRef>
              <c:f>Hoja1!$B$2:$B$5</c:f>
              <c:numCache>
                <c:formatCode>0.0"x"</c:formatCode>
                <c:ptCount val="4"/>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4951</c:v>
                </c:pt>
                <c:pt idx="1">
                  <c:v>5255</c:v>
                </c:pt>
                <c:pt idx="2">
                  <c:v>5618</c:v>
                </c:pt>
                <c:pt idx="3">
                  <c:v>6015</c:v>
                </c:pt>
                <c:pt idx="4">
                  <c:v>6376</c:v>
                </c:pt>
                <c:pt idx="5">
                  <c:v>6727</c:v>
                </c:pt>
                <c:pt idx="6">
                  <c:v>7063</c:v>
                </c:pt>
                <c:pt idx="7">
                  <c:v>7381</c:v>
                </c:pt>
                <c:pt idx="8">
                  <c:v>7675</c:v>
                </c:pt>
                <c:pt idx="9">
                  <c:v>7909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41476</c:v>
                </c:pt>
                <c:pt idx="1">
                  <c:v>68776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155,44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113.3</c:v>
                </c:pt>
                <c:pt idx="1">
                  <c:v>167.33</c:v>
                </c:pt>
                <c:pt idx="2">
                  <c:v>210.75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155,44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(121,79 – 176,05)</c:v>
                </c:pt>
                <c:pt idx="1">
                  <c:v>Precio objetivo de los analistas (160,00 – 243,00)</c:v>
                </c:pt>
                <c:pt idx="2">
                  <c:v>Comparables: EV/EBITDA NTM (171,90 – 230,72)</c:v>
                </c:pt>
                <c:pt idx="3">
                  <c:v>Comparables: PER NTM (203,17 – 237,32)</c:v>
                </c:pt>
                <c:pt idx="4">
                  <c:v>Transacciones precedentes (EV/EBITDA) (204,68 – 316,16)</c:v>
                </c:pt>
                <c:pt idx="5">
                  <c:v>DCF (WACC y g ± 0,5) (142,54 – 202,74)</c:v>
                </c:pt>
                <c:pt idx="6">
                  <c:v>Escenarios (bajista – alcista) (113,30 – 210,75)</c:v>
                </c:pt>
                <c:pt idx="7">
                  <c:v>Suma de partes (138,04 – 196,77)</c:v>
                </c:pt>
                <c:pt idx="8">
                  <c:v>DCF con la prima implícita del mercado (4,2 %)</c:v>
                </c:pt>
                <c:pt idx="9">
                  <c:v>Precio actual (155,44)</c:v>
                </c:pt>
              </c:strCache>
            </c:strRef>
          </c:cat>
          <c:val>
            <c:numRef>
              <c:f>Hoja1!$B$2:$B$11</c:f>
              <c:numCache>
                <c:formatCode>#,##0</c:formatCode>
                <c:ptCount val="10"/>
                <c:pt idx="0">
                  <c:v>121.79</c:v>
                </c:pt>
                <c:pt idx="1">
                  <c:v>160</c:v>
                </c:pt>
                <c:pt idx="2">
                  <c:v>171.9</c:v>
                </c:pt>
                <c:pt idx="3">
                  <c:v>203.17</c:v>
                </c:pt>
                <c:pt idx="4">
                  <c:v>204.68</c:v>
                </c:pt>
                <c:pt idx="5">
                  <c:v>142.54</c:v>
                </c:pt>
                <c:pt idx="6">
                  <c:v>113.3</c:v>
                </c:pt>
                <c:pt idx="7">
                  <c:v>138.04</c:v>
                </c:pt>
                <c:pt idx="8">
                  <c:v>170.54</c:v>
                </c:pt>
                <c:pt idx="9">
                  <c:v>154.66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(121,79 – 176,05)</c:v>
                </c:pt>
                <c:pt idx="1">
                  <c:v>Precio objetivo de los analistas (160,00 – 243,00)</c:v>
                </c:pt>
                <c:pt idx="2">
                  <c:v>Comparables: EV/EBITDA NTM (171,90 – 230,72)</c:v>
                </c:pt>
                <c:pt idx="3">
                  <c:v>Comparables: PER NTM (203,17 – 237,32)</c:v>
                </c:pt>
                <c:pt idx="4">
                  <c:v>Transacciones precedentes (EV/EBITDA) (204,68 – 316,16)</c:v>
                </c:pt>
                <c:pt idx="5">
                  <c:v>DCF (WACC y g ± 0,5) (142,54 – 202,74)</c:v>
                </c:pt>
                <c:pt idx="6">
                  <c:v>Escenarios (bajista – alcista) (113,30 – 210,75)</c:v>
                </c:pt>
                <c:pt idx="7">
                  <c:v>Suma de partes (138,04 – 196,77)</c:v>
                </c:pt>
                <c:pt idx="8">
                  <c:v>DCF con la prima implícita del mercado (4,2 %)</c:v>
                </c:pt>
                <c:pt idx="9">
                  <c:v>Precio actual (155,44)</c:v>
                </c:pt>
              </c:strCache>
            </c:strRef>
          </c:cat>
          <c:val>
            <c:numRef>
              <c:f>Hoja1!$C$2:$C$11</c:f>
              <c:numCache>
                <c:formatCode>#,##0</c:formatCode>
                <c:ptCount val="10"/>
                <c:pt idx="0">
                  <c:v>54.260000000000005</c:v>
                </c:pt>
                <c:pt idx="1">
                  <c:v>83</c:v>
                </c:pt>
                <c:pt idx="2">
                  <c:v>58.81999999999999</c:v>
                </c:pt>
                <c:pt idx="3">
                  <c:v>34.150000000000006</c:v>
                </c:pt>
                <c:pt idx="4">
                  <c:v>111.48000000000002</c:v>
                </c:pt>
                <c:pt idx="5">
                  <c:v>60.20000000000002</c:v>
                </c:pt>
                <c:pt idx="6">
                  <c:v>97.45</c:v>
                </c:pt>
                <c:pt idx="7">
                  <c:v>58.73000000000002</c:v>
                </c:pt>
                <c:pt idx="8">
                  <c:v>44.55000000000001</c:v>
                </c:pt>
                <c:pt idx="9">
                  <c:v>1.5600000000000023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