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 Inc.</w:t>
      </w:r>
    </w:p>
    <w:p>
      <w:pPr>
        <w:spacing w:after="60"/>
        <w:rPr>
          <w:color w:val="52514E"/>
          <w:sz w:val="22"/>
          <w:szCs w:val="22"/>
        </w:rPr>
      </w:pPr>
      <w:r>
        <w:rPr>
          <w:color w:val="52514E"/>
          <w:sz w:val="22"/>
          <w:szCs w:val="22"/>
        </w:rPr>
        <w:t xml:space="preserve">INTU · NASDAQ Global Select Market · ISIN US4612021034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328,45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371,57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+14,6 % (base +16,8 %)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448,17 USD · mercado 520,49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88.484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 / US4612021034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https://www.intuit.com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328,45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252,84 – 682,27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88.484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88.984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1.204 M USD/día (3,7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371,57 USD</w:t>
      </w:r>
      <w:r>
        <w:t xml:space="preserve"> frente a 328,45 · Rentabilidad a 12 meses </w:t>
      </w:r>
      <w:r>
        <w:rPr>
          <w:b/>
          <w:bCs/>
        </w:rPr>
        <w:t xml:space="preserve">+14,6 % (base +16,8 %)</w:t>
      </w:r>
      <w:r>
        <w:t xml:space="preserve"> · Valor intrínseco 448,17 USD · con la prima implícita del mercado: 520,49 (+58,5 %) · Alcista / bajista +63,9 % / -33,9 %</w:t>
      </w:r>
    </w:p>
    <w:p>
      <w:pPr>
        <w:spacing w:after="100"/>
      </w:pPr>
      <w:r>
        <w:rPr>
          <w:b/>
        </w:rPr>
        <w:t xml:space="preserve">La recomendación y por qué.</w:t>
      </w:r>
      <w:r>
        <w:t xml:space="preserve"> Mantener, con convicción baja. El objetivo a 12 meses es de 371,57 USD (nuestro BPA GAAP de FY2028e por el PER de la regla común), un 14,6 % de rentabilidad ponderada con el dividendo y un 16,8 % en el caso base, frente a un precio de 328,45 USD. Le falta muy poco para Comprar (15 % ponderada): el límite de compra es 327,28 USD, un 0,4 % por debajo del cierre. El valor intrínseco es de 448,17 USD (+36,4 %) y el objetivo medio de los analistas, 406,92. La convicción es baja porque la rentabilidad que decide está a 0,4 puntos de su umbral (el motor sugiere media); subiría con un 1T FY2027 en la guía y una campaña fiscal de 2027 sin pérdida de cuota, y bajaría si las declaraciones de TurboTax caen más de un 3 %.</w:t>
      </w:r>
    </w:p>
    <w:p>
      <w:pPr>
        <w:spacing w:after="100"/>
      </w:pPr>
      <w:r>
        <w:rPr>
          <w:b/>
        </w:rPr>
        <w:t xml:space="preserve">El negocio.</w:t>
      </w:r>
      <w:r>
        <w:t xml:space="preserve"> TurboTax, QuickBooks y Credit Karma facturaron 21.448 M en FY2026 con un margen EBIT del 28,8 % y un ROIC del 23,1 %, 13,3 puntos por encima del WACC del 9,8 % [1]. La calidad sostiene </w:t>
      </w:r>
      <w:r>
        <w:rPr>
          <w:b/>
        </w:rPr>
        <w:t xml:space="preserve">en parte</w:t>
      </w:r>
      <w:r>
        <w:t xml:space="preserve"> el crecimiento del caso base (7,1 % anual, sin capital): pymes y Credit Karma crecen a doble dígito, pero TurboTax ha agotado su poder de precios: perdió un punto de cuota del IRS y la dirección admite que el precio es el primer motivo de baja [7, 84].</w:t>
      </w:r>
    </w:p>
    <w:p>
      <w:pPr>
        <w:spacing w:after="100"/>
      </w:pPr>
      <w:r>
        <w:rPr>
          <w:b/>
        </w:rPr>
        <w:t xml:space="preserve">Finanzas.</w:t>
      </w:r>
      <w:r>
        <w:t xml:space="preserve"> Flujo libre del 9,7 % de la capitalización (inflado por impuestos bajos en FY2026) y deuda neta ajustada de 500 M [1]. La guía de FY2027, reafirmada el 17-sep, da BPA GAAP de 20,12-20,36 USD; nuestro 20,04 queda justo por debajo [6, 84].</w:t>
      </w:r>
    </w:p>
    <w:p>
      <w:pPr>
        <w:spacing w:after="100"/>
      </w:pPr>
      <w:r>
        <w:rPr>
          <w:b/>
        </w:rPr>
        <w:t xml:space="preserve">Equipo y gobierno.</w:t>
      </w:r>
      <w:r>
        <w:t xml:space="preserve"> Neutro: 11 de 13 consejeros independientes, pero presidente y consejero delegado en la misma persona desde enero y ventas de directivos de 357,7 M en 12 meses, casi todas del fundador en diciembre de 2025 con planes 10b5-1 [32, 42].</w:t>
      </w:r>
    </w:p>
    <w:p>
      <w:pPr>
        <w:spacing w:after="100"/>
      </w:pPr>
      <w:r>
        <w:rPr>
          <w:b/>
        </w:rPr>
        <w:t xml:space="preserve">Valoración.</w:t>
      </w:r>
      <w:r>
        <w:t xml:space="preserve"> El DCF da 456,04 USD (+38,8 %). El precio descuenta un crecimiento de los ingresos del 1,9 % anual hasta FY2034e, frente al 7,1 % de nuestro caso base: comprar hoy rinde un 12,4 % anual, 2,6 puntos por encima del WACC. Cotiza a 15,5 veces el beneficio de los próximos 12 meses, frente a 22,1 de la mediana de comparables. Su historia (mediana adelantada de 49,1 veces) es de otro régimen: el selector elige la regla v2 y el objetivo a 12 meses solo cuenta con el crecimiento del BPA. De ahí el 20,6 % entre valor intrínseco y objetivo: la tesis de valor es a varios años.</w:t>
      </w:r>
    </w:p>
    <w:p>
      <w:pPr>
        <w:spacing w:after="100"/>
      </w:pPr>
      <w:r>
        <w:rPr>
          <w:b/>
        </w:rPr>
        <w:t xml:space="preserve">Riesgos y catalizadores.</w:t>
      </w:r>
      <w:r>
        <w:t xml:space="preserve"> El mayor riesgo es que los agentes de IA hagan gratis la declaración y la contabilidad básica (bajista: 217,11 USD, −33,9 %). La propia Intuit ya ofrece la declaración federal gratis con Credit Karma Tax desde el 20-oct, lo que puede recuperar cuota a costa del precio medio [83]. Catalizadores: 1T FY2027 hacia el 19-nov y la campaña de enero-abril. Desde el informe del 10-oct la acción sube un 8,5 % sin cambio en las estimaciones; la rentabilidad a 12 meses sigue en el 14,6 % porque el base de la regla es el PER de hoy.</w:t>
      </w:r>
    </w:p>
    <w:p>
      <w:pPr>
        <w:spacing w:after="100"/>
      </w:pPr>
      <w:r>
        <w:rPr>
          <w:b/>
        </w:rPr>
        <w:t xml:space="preserve">Qué cambiaría la decisión.</w:t>
      </w:r>
      <w:r>
        <w:t xml:space="preserve"> Si la tienes, se mantiene mientras cotice por debajo de 342,27 USD (filtro de mantener de las pruebas de robustez: ponderada ≥ 10 % y base ≥ 5 %); por encima, se vendería. La banda Vender de la regla (ponderada ≤ −10 %) empieza en 418,19 USD. Para comprar, por debajo de 327,28 USD con la regla, pero la compra robusta (BPA −10 %) exige 295,21 USD y la sostenibilidad «En parte» la limita al nivel B2. Pasaríamos a Vender si las declaraciones federales de TurboTax caen más de un 3 % en 2027 o si el 1T incumple la guía de +11 %.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371,57 USD</w:t>
      </w:r>
      <w:r>
        <w:t xml:space="preserve"> (rentabilidad +14,6 % (base +16,8 %)) · Valor intrínseco: 448,17 USD (+36,4 % sobre 328,45) · con la prima implícita del mercado: 520,49 (+58,5 %)</w:t>
      </w:r>
    </w:p>
    <w:p>
      <w:pPr>
        <w:spacing w:after="100"/>
      </w:pPr>
      <w:r>
        <w:t xml:space="preserve">Intuit es el software financiero del contribuyente y de la pyme estadounidense: TurboTax prepara 39 millones de declaraciones federales y, con QuickBooks y Credit Karma, el grupo suma unos 100 millones de clientes entre consumidores, pymes y asesores [6]. Facturó 21.448 M en FY2026 (+14 %) con un margen EBIT del 28,8 % y un ROIC del 23,1 % [1].</w:t>
      </w:r>
    </w:p>
    <w:p>
      <w:pPr>
        <w:spacing w:after="100"/>
      </w:pPr>
      <w:r>
        <w:t xml:space="preserve">El precio de 328,45 USD, un 51,9 % por debajo del máximo de 52 semanas, descuenta que los ingresos crecen un 1,9 % anual hasta FY2034, cuando la guía de FY2027 da un +9-10 % y el marco del día del inversor un BPA creciendo en la parte alta de la decena [84]. Cotiza a 12,7 veces el EBITDA, en el percentil 10 de su década [54].</w:t>
      </w:r>
    </w:p>
    <w:p>
      <w:pPr>
        <w:spacing w:after="100"/>
      </w:pPr>
      <w:r>
        <w:t xml:space="preserve">El mercado acierta en que TurboTax ha perdido poder de precios: perdió un punto de cuota del IRS y ahora regala la declaración federal con Credit Karma Tax [83, 84]. Se equivoca al extenderlo a todo el grupo: GBS, sin Mailchimp, crecerá un 13-14 % y Credit Karma un 11-13 % según la guía [6]. Para invertir hay que creer que la pyme seguirá pagando por QuickBooks aunque la declaración se abarate; a 12 meses, sin que vuelva el múltiplo, la rentabilidad esperada se queda en el 14,6 %.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16,27 = 226,15 · 16,4x × 23,10 = 378,84 · 21,3x × 25,04 = 533,35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(49,1x) es 3 veces el PER de hoy (16,4x);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406,92 (nuestro base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63,9 % / -33,9 %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frente a 9,8 %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327,28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327,28 y 418,19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418,19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tienes: por encima de 342,27 USD (filtro de mantener) se vendería; la banda Vender de la regla (ponderada ≤ −10 %) empieza en 418,19 USD.</w:t>
      </w:r>
    </w:p>
    <w:p>
      <w:pPr>
        <w:pStyle w:val="ListParagraph"/>
        <w:numPr>
          <w:ilvl w:val="0"/>
          <w:numId w:val="2"/>
        </w:numPr>
        <w:spacing w:after="60"/>
      </w:pPr>
      <w:r>
        <w:t xml:space="preserve">Por debajo de 327,28 USD la regla daría Comprar; la compra robusta (BPA −10 %) exige 295,21 USD.</w:t>
      </w:r>
    </w:p>
    <w:p>
      <w:pPr>
        <w:pStyle w:val="ListParagraph"/>
        <w:numPr>
          <w:ilvl w:val="0"/>
          <w:numId w:val="2"/>
        </w:numPr>
        <w:spacing w:after="60"/>
      </w:pPr>
      <w:r>
        <w:t xml:space="preserve">Si las declaraciones federales de TurboTax caen más de un 3 % en 2027, pasaríamos a Vender.</w:t>
      </w:r>
    </w:p>
    <w:p>
      <w:pPr>
        <w:pStyle w:val="ListParagraph"/>
        <w:numPr>
          <w:ilvl w:val="0"/>
          <w:numId w:val="2"/>
        </w:numPr>
        <w:spacing w:after="60"/>
      </w:pPr>
      <w:r>
        <w:t xml:space="preserve">Si el 1T FY2027 incumple la guía de +11 % de ingresos o de 1,71-1,75 USD de BPA GAAP, revisaríamos el caso base hacia el bajista.</w:t>
      </w:r>
    </w:p>
    <w:p>
      <w:pPr>
        <w:pStyle w:val="ListParagraph"/>
        <w:numPr>
          <w:ilvl w:val="0"/>
          <w:numId w:val="2"/>
        </w:numPr>
        <w:spacing w:after="60"/>
      </w:pPr>
      <w:r>
        <w:t xml:space="preserve">Si TurboTax recupera cuota en la campaña de 2027 sin perder precio medio,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convierte la declaración de impuestos y la contabilidad básica en algo gratuito, que TurboTax entra en declive y que QuickBooks le sigue: un Intuit con un crecimiento del 1,9 % anual, valorado casi como H&amp;R Block.</w:t>
      </w:r>
    </w:p>
    <w:p>
      <w:pPr>
        <w:keepNext/>
        <w:spacing w:after="100"/>
      </w:pPr>
      <w:r>
        <w:rPr>
          <w:b/>
          <w:bCs/>
        </w:rPr>
        <w:t xml:space="preserve">Lo que creemos nosotros.</w:t>
      </w:r>
    </w:p>
    <w:p>
      <w:pPr>
        <w:spacing w:after="100"/>
      </w:pPr>
      <w:r>
        <w:t xml:space="preserve">TurboTax crecerá poco (2-3 % en FY2027) y con menos precio, pero dos tercios del crecimiento vienen ya de pymes y Credit Karma, que crecen a doble dígito; un 7,1 % anual de media es prudente frente a la guía y al marco a tres años.</w:t>
      </w:r>
    </w:p>
    <w:p>
      <w:pPr>
        <w:keepNext/>
        <w:spacing w:after="100"/>
      </w:pPr>
      <w:r>
        <w:rPr>
          <w:b/>
          <w:bCs/>
        </w:rPr>
        <w:t xml:space="preserve">Por qué podemos tener razón.</w:t>
      </w:r>
    </w:p>
    <w:p>
      <w:pPr>
        <w:spacing w:after="100"/>
      </w:pPr>
      <w:r>
        <w:t xml:space="preserve">Porque la guía de FY2027 se dio en agosto, después de la peor campaña de TurboTax, y se reafirmó en septiembre con el beneficio operativo GAAP al +26-27 % [6, 84]. Si la IA rompiera también QuickBooks, se vería primero en los clientes de QuickBooks Online, que siguen creciendo.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28,4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12,7 veces el EBITDA y 20 veces el beneficio, percentil 10 de la década [54].</w:t>
      </w:r>
    </w:p>
    <w:p>
      <w:pPr>
        <w:pStyle w:val="ListParagraph"/>
        <w:numPr>
          <w:ilvl w:val="0"/>
          <w:numId w:val="2"/>
        </w:numPr>
        <w:spacing w:after="60"/>
      </w:pPr>
      <w:r>
        <w:rPr>
          <w:b/>
        </w:rPr>
        <w:t xml:space="preserve">Guía de FY2027 reafirmada</w:t>
      </w:r>
      <w:r>
        <w:t xml:space="preserve">: ingresos +9-10 % y beneficio operativo GAAP +26-27 % [6, 84].</w:t>
      </w:r>
    </w:p>
    <w:p>
      <w:pPr>
        <w:pStyle w:val="ListParagraph"/>
        <w:numPr>
          <w:ilvl w:val="0"/>
          <w:numId w:val="2"/>
        </w:numPr>
        <w:spacing w:after="60"/>
      </w:pPr>
      <w:r>
        <w:rPr>
          <w:b/>
        </w:rPr>
        <w:t xml:space="preserve">Pymes y Credit Karma</w:t>
      </w:r>
      <w:r>
        <w:t xml:space="preserve">: GBS sin Mailchimp +13-14 % y Credit Karma +11-13 % previstos [6].</w:t>
      </w:r>
    </w:p>
    <w:p>
      <w:pPr>
        <w:pStyle w:val="ListParagraph"/>
        <w:numPr>
          <w:ilvl w:val="0"/>
          <w:numId w:val="2"/>
        </w:numPr>
        <w:spacing w:after="60"/>
      </w:pPr>
      <w:r>
        <w:rPr>
          <w:b/>
        </w:rPr>
        <w:t xml:space="preserve">Caja</w:t>
      </w:r>
      <w:r>
        <w:t xml:space="preserve">: flujo libre del 9,7 % de la capitalización y deuda neta casi nula.</w:t>
      </w:r>
    </w:p>
    <w:p>
      <w:pPr>
        <w:pStyle w:val="ListParagraph"/>
        <w:numPr>
          <w:ilvl w:val="0"/>
          <w:numId w:val="2"/>
        </w:numPr>
        <w:spacing w:after="60"/>
      </w:pPr>
      <w:r>
        <w:rPr>
          <w:b/>
        </w:rPr>
        <w:t xml:space="preserve">Recompras</w:t>
      </w:r>
      <w:r>
        <w:t xml:space="preserve">: 7.900 M de autorización, un 9 % del capital al precio de hoy [1].</w:t>
      </w:r>
    </w:p>
    <w:p>
      <w:pPr>
        <w:pStyle w:val="Heading2"/>
      </w:pPr>
      <w:r>
        <w:t xml:space="preserve">En contra</w:t>
      </w:r>
    </w:p>
    <w:p>
      <w:pPr>
        <w:pStyle w:val="ListParagraph"/>
        <w:numPr>
          <w:ilvl w:val="0"/>
          <w:numId w:val="2"/>
        </w:numPr>
        <w:spacing w:after="60"/>
      </w:pPr>
      <w:r>
        <w:rPr>
          <w:b/>
        </w:rPr>
        <w:t xml:space="preserve">TurboTax pierde cuota</w:t>
      </w:r>
      <w:r>
        <w:t xml:space="preserve">: un punto del IRS en 2026; el precio es el primer motivo de baja [7, 84].</w:t>
      </w:r>
    </w:p>
    <w:p>
      <w:pPr>
        <w:pStyle w:val="ListParagraph"/>
        <w:numPr>
          <w:ilvl w:val="0"/>
          <w:numId w:val="2"/>
        </w:numPr>
        <w:spacing w:after="60"/>
      </w:pPr>
      <w:r>
        <w:rPr>
          <w:b/>
        </w:rPr>
        <w:t xml:space="preserve">Producto gratuito propio</w:t>
      </w:r>
      <w:r>
        <w:t xml:space="preserve">: Credit Karma Tax regala la declaración federal desde el 20-oct [83].</w:t>
      </w:r>
    </w:p>
    <w:p>
      <w:pPr>
        <w:pStyle w:val="ListParagraph"/>
        <w:numPr>
          <w:ilvl w:val="0"/>
          <w:numId w:val="2"/>
        </w:numPr>
        <w:spacing w:after="60"/>
      </w:pPr>
      <w:r>
        <w:rPr>
          <w:b/>
        </w:rPr>
        <w:t xml:space="preserve">Compras caras</w:t>
      </w:r>
      <w:r>
        <w:t xml:space="preserve">: Credit Karma y Mailchimp (19.200 M) bajaron el ROIC del 100 % al 13 % [1].</w:t>
      </w:r>
    </w:p>
    <w:p>
      <w:pPr>
        <w:pStyle w:val="ListParagraph"/>
        <w:numPr>
          <w:ilvl w:val="0"/>
          <w:numId w:val="2"/>
        </w:numPr>
        <w:spacing w:after="60"/>
      </w:pPr>
      <w:r>
        <w:rPr>
          <w:b/>
        </w:rPr>
        <w:t xml:space="preserve">Gobierno</w:t>
      </w:r>
      <w:r>
        <w:t xml:space="preserve">: presidente y consejero delegado en la misma persona; ventas de directivos de 357,7 M [33, 42].</w:t>
      </w:r>
    </w:p>
    <w:p>
      <w:pPr>
        <w:pStyle w:val="ListParagraph"/>
        <w:numPr>
          <w:ilvl w:val="0"/>
          <w:numId w:val="2"/>
        </w:numPr>
        <w:spacing w:after="60"/>
      </w:pPr>
      <w:r>
        <w:rPr>
          <w:b/>
        </w:rPr>
        <w:t xml:space="preserve">Rebote sin cifras</w:t>
      </w:r>
      <w:r>
        <w:t xml:space="preserve">: +22,5 % desde el 29-sep sin cambio en el consenso de BPA [51, 54].</w:t>
      </w:r>
    </w:p>
    <w:p>
      <w:pPr>
        <w:pStyle w:val="Heading2"/>
      </w:pPr>
      <w:r>
        <w:t xml:space="preserve">Qué tiene que pasar para que la tesis funcione</w:t>
      </w:r>
    </w:p>
    <w:p>
      <w:pPr>
        <w:spacing w:after="100"/>
      </w:pPr>
      <w:r>
        <w:t xml:space="preserve">La tesis depende de que QuickBooks y Credit Karma sigan creciendo a doble dígito mientras TurboTax se estabiliza. La señal de que no ocurre sería un 1T FY2027 por debajo de la guía de +11 % (hacia el 19-nov) o una campaña fiscal de 2027 con las declaraciones de TurboTax cayendo más de un 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federales de TurboTax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millones (−2 %,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por la IA y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GBS sin Mailchimp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+13-14 %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en línea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millones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Credit Karma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+11-13 %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(FY2026); guía ≈ 32 %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salto de beneficio de la guía.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 se constituyó en California en marzo de 1984, se trasladó a Delaware y salió a bolsa en marzo de 1993 [1]. Creció con tres franquicias: la contabilidad para pymes (QuickBooks), la declaración de la renta para particulares (TurboTax) y el software fiscal para asesores (Lacerte, ProSeries). En la última década se transformó con dos compras grandes: Credit Karma (diciembre de 2020, 8.100 M USD) y Mailchimp (noviembre de 2021, 12.000 M USD: 5.700 M en efectivo y 10,1 M de acciones) [10]. Sasan Goodarzi es consejero delegado desde enero de 2019 y presidente desde enero de 2026; ese mismo 2019 la empresa declaró su estrategia de plataforma experta impulsada por IA [1]. En mayo de 2026 recortó un 17 % la plantilla fija para reasignar recursos a sus tres grandes apuestas [11], y en el FY2026 superó los 21.000 M USD de ingresos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(marzo de 1984)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Delaware y salida a bolsa en marzo de 1993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Goodarzi, consejero delegado (enero); la empresa declara la estrategia de plataforma experta con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Credit Karma el 3 de diciembre de 2020 por 8.100 M USD: entrada en la recomendación de créditos y seguros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Mailchimp el 1 de noviembre de 2021 por 12.000 M USD (5.700 M en efectivo y 10,1 M de acciones), financiada en parte con un préstamo de 4.700 M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los fiscales generales de los 50 estados por la publicidad de TurboTax «gratis»: 141 M USD, sin admitir culpa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la orden de la FTC sobre la publicidad de TurboTax (23 de marzo), sin sanción económica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Consumer, Credit Karma y ProTax se unen en un solo segmento Consumer (1 de agosto); el IRS suspende Direct File para la campaña de 2026 (noviembre)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Quinto Circuito anula la orden de la FTC (20 de marzo); recorte del 17 % de la plantilla fija (20 de mayo); ingresos de 21.448 M USD en el FY2026; Mailchimp pasa a segmento propio desde el FY2027 [1, 6,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 vende software financiero y servicios a unos 93 millones de particulares, pymes y asesores, sobre todo en EE. UU.: los ingresos internacionales son en torno al 8 % del total [1]. En pymes (Global Business Solutions, 60 % de los ingresos del FY2026) ofrece QuickBooks Online y Desktop, Intuit Enterprise Suite para empresas medianas, nóminas, cobros con tarjeta, pago de facturas, cuenta corriente, préstamos (QuickBooks Capital) y marketing por correo (Mailchimp) [1]. En particulares (Consumer, 40 %) vende TurboTax, en versión «hágalo usted mismo» y asistida por expertos (TurboTax Live), Credit Karma, que recomienda tarjetas, préstamos y seguros, y ProTax, el software fiscal para asesores (Lacerte, ProSeries, ProConnect) [1]. Vende sobre todo en directo por internet y apps, y a través de asesores contables (programa ProAdvisor), bancos, minoristas y plataformas de IA [1]. Usa la nube pública de Amazon Web Services y Google Cloud para la mayoría de sus sistemas [1].</w:t>
      </w:r>
    </w:p>
    <w:p>
      <w:pPr>
        <w:pStyle w:val="Heading2"/>
      </w:pPr>
      <w:r>
        <w:t xml:space="preserve">Cómo gana dinero</w:t>
      </w:r>
    </w:p>
    <w:p>
      <w:pPr>
        <w:spacing w:after="100"/>
      </w:pPr>
      <w:r>
        <w:t xml:space="preserve">Cuatro motores. Suscripciones de QuickBooks Online Accounting (5.051 M USD en el FY2026, +23 % por precios efectivos más altos, más clientes y mezcla) [1]. Servicios en línea ligados al volumen, como cobros, nóminas y préstamos (4.867 M, +16 %): los cobros crecen con el volumen procesado por cliente y el rendimiento, y QuickBooks Capital con el volumen de préstamos [1]. TurboTax (5.296 M, +7 %), que cobra por declaración y crece por la mezcla hacia la versión asistida: TurboTax Live ya es el 53 % de los ingresos de TurboTax y creció un 37 % [6]. Y Credit Karma (2.641 M, +20 %), que cobra comisiones por cada préstamo, tarjeta o seguro contratado y depende del apetito de crédito de los bancos [1, 6]. La estacionalidad es muy fuerte: TurboTax y ProTax se concentran de noviembre a abril, en el 2T y el 3T fiscales [1]. El margen operativo GAAP fue del 27,4 % en el FY2026 (5.884 M sobre 21.448 M)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Intuit vende a decenas de millones de particulares y pymes y no publica ningún cliente relevante [1]. Lo que se repite es el </w:t>
      </w:r>
      <w:r>
        <w:rPr>
          <w:b/>
        </w:rPr>
        <w:t xml:space="preserve">poder de precios</w:t>
      </w:r>
      <w:r>
        <w:t xml:space="preserve">. En el FY2026 los clientes de pago del ecosistema en línea crecieron un 3 %, pero el ingreso medio por cliente subió un 15 % [1]. El ecosistema Desktop creció un 6 % solo por precios efectivos más altos [1]. En TurboTax Online el ingreso medio por usuario se esperaba +11 % en la campaña de 2026, mientras las unidades totales en línea caían cerca de un 2 % y los usuarios que no pagan bajaban de 8 a 7 millones [12]. Las unidades federales de TurboTax en EE. UU. bajaron un 2 %, de 39,9 a 39,0 millones (Desktop −7 %, Online −2 %) [6]. La empresa no publica tasa de renovación ni de bajas; como referencia del sector, Xero declara una tasa de bajas mensual media del 1,14 %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del ecosistema online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(+5 %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QuickBooks Online, QuickBooks Time y Mailchimp; dos puntos menos de crecimiento que el año anterior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cliente del ecosistema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precio y adopción de servicios (cobros, nóminas, capital)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federales de TurboTax en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Online 34,9 (-2 %), escritorio 4,1 (-7 %)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TurboTax Live (peso en TurboTax)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en ingresos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TurboTax Live +38 % en FY2026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Credit Karma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personales, tarjetas y seguros; la empresa no publica el número de miembros en el 10-K ni en la nota de resultados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Mailchimp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1.267 M; guía FY2027 de -1 % a 0 %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préstamos de QuickBooks Capital en el 4T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préstamos vendidos a socios (forward flow), con menor rendimiento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de mercado medio (QBO Advanced + Intuit Enterprise Suite)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mercado medio +39 % en FY2026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Intuit juega en dos mercados. El primero es la declaración de la renta de particulares en EE. UU.: las declaraciones que el contribuyente prepara por sí mismo y presenta por internet son el mercado de TurboTax, y las de los profesionales, el de H&amp;R Block y ProTax. Se mide en unidades con la estadística oficial del IRS [13, 14, 15, 16, 17, 18] y en dinero con IBISWorld (servicios de preparación de impuestos) [27]. El segundo es el software de contabilidad y gestión para pymes, mundial pero con EE. UU. como mercado principal, con dos estimaciones independientes, la de Research and Markets [28] y la de Grand View Research [29]. La serie usa las declaraciones autopreparadas presentadas por internet (IRS), que es el volumen más directo del negocio de TurboTax. Ojo: los informes de mercado de software contable se quedan cortos frente a las cuentas reales. Research and Markets da 5.100 M USD para EE. UU. en 2025 [28], cuando solo QuickBooks Online Accounting y Desktop facturaron 6.852 M en el FY2026 [1]. Por eso esas cifras sirven para el crecimiento, no para calcular cuotas.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Declaración de la renta: 67,1 millones de declaraciones autopreparadas presentadas por internet en 2025 (87,9 millones de profesionales; 165,8 millones recibidas en total) [14]; en dinero, 15.000 M USD en 2026 los servicios de preparación de impuestos de EE. UU. [27]. Software de contabilidad: 16.600 M USD en el mundo en 2025, 5.100 M en EE. UU. [28]; 19.380 M USD en el mundo en 2024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eclaraciones individuales autopreparadas presentadas por internet en EE. UU. (año natural, IR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declaraciones y de contribuyentes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declaraciones autopreparadas por internet pasaron de 72,2 millones (2020, año de las ayudas por la pandemia) a 67,1 millones (2025); a 8-may-2026 iban un 1,7 % por encima del año anterior (65,7 frente a 64,6 millones) [13,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«hágalo usted mismo» a la declaración asistida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Live creció un 37 % y ya es el 53 % de los ingresos de TurboTax [6]; H&amp;R Block subió un 4 % su precio medio neto en la declaración asistida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contabilidad de las pymes y paso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crecimiento anual del 8,0 % (2025-2032) [28] y del 8,4 % (2025-2030) [29] del software de contabilidad; QuickBooks Online Accounting +23 %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y crédito integrados en el software (cobros, pago de facturas, préstamos)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dinero de Intuit subieron 434 M en el FY2026 [1]; Xero compró Melio, una plataforma estadounidense de pago de facturas, para unir contabilidad y pagos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 creció un 20 %, sobre todo por los préstamos personales (+235 M) [1, 6]; depende del apetito de crédito de bancos y aseguradoras.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Agentes de IA y ofertas gratuitas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cuenta ya entre sus competidores a los proveedores de IA de uso general [1]; los clientes de TurboTax que no pagan bajaron de 8 a 7 millones y las unidades en línea cayeron un 2 % [6,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grandes en la declaración de la renta (TurboTax, con 39,0 millones de unidades, frente a 3,6 millones de declaraciones de pago por internet de H&amp;R Block) [6, 19], pero con ofertas gratuitas: Cash App Taxes declara gratis [20]. La cuota de TurboTax en las declaraciones por internet bajó cerca de 1 punto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(unos 93 millones) sin capacidad de negociar [1]; el ingreso medio por cliente del ecosistema en línea subió un 15 % con un 3 % más de clientes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(AWS, Google Cloud) y los modelos de IA son insumos con varios proveedores [1]; los gastos de alojamiento y servicios externos crecen y el 10-K avisa de que la IA puede exigir más inversión y subir costes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exactitud fiscal, el cumplimiento normativo y la confianza; Intuit admite que la IA puede bajarlas para nuevos entrantes y para los proveedores de IA de uso general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profesionales presentan 87,9 millones de declaraciones frente a 67,1 millones autopreparadas [14]; el programa público Free File sigue vigente hasta octubre de 2029 [19]; Direct File llegó a 296.531 declaraciones aceptadas en 2025 antes de suspenderse [26]; los agentes de IA son el nuevo sustituto posible [1].</w:t>
            </w:r>
          </w:p>
        </w:tc>
      </w:tr>
    </w:tbl>
    <w:p>
      <w:pPr>
        <w:spacing w:after="160" w:before="0"/>
      </w:pPr>
    </w:p>
    <w:p>
      <w:pPr>
        <w:pStyle w:val="Heading2"/>
      </w:pPr>
      <w:r>
        <w:t xml:space="preserve">Ciclo</w:t>
      </w:r>
    </w:p>
    <w:p>
      <w:pPr>
        <w:spacing w:after="100"/>
      </w:pPr>
      <w:r>
        <w:t xml:space="preserve">El volumen de declaraciones es estable: 162-166 millones recibidas al año en 2022-2025 [14, 15, 16, 17]. Responde más a la política fiscal que al PIB. En 2020 las ayudas por la pandemia llevaron a 72,2 millones las autopreparadas por internet, que volvieron a 67,4 millones en 2021 [18]. En 2022 y 2023 bajaron un 0,6 % y un 2,8 % [16, 17]. El software contable para pymes sigue creciendo a tasas altas (QuickBooks Online +23 %, Xero +31 %, Sage +10 % subyacente) [1, 22, 23]. Lo cíclico está en Credit Karma y QuickBooks Capital, ligados al crédito [1]. No se ha documentado el comportamiento del sector en 2008-09.</w:t>
      </w:r>
    </w:p>
    <w:p>
      <w:pPr>
        <w:pStyle w:val="Heading2"/>
      </w:pPr>
      <w:r>
        <w:t xml:space="preserve">Regulación</w:t>
      </w:r>
    </w:p>
    <w:p>
      <w:pPr>
        <w:spacing w:after="100"/>
      </w:pPr>
      <w:r>
        <w:t xml:space="preserve">El IRS suspendió Direct File, su programa gratuito de declaración directa, para la campaña de 2026; el Tesoro alegó que había mejores alternativas y que se usaba poco [26]. Proponentes siguen defendiéndolo y el acuerdo Free File entre el IRS y la industria vence en octubre de 2029 [1, 19]. El 20 de marzo de 2026 el Quinto Circuito anuló la orden de la FTC sobre la publicidad de TurboTax «gratis» [1]. Credit Karma sigue bajo una orden de la FTC que exige un programa de seguridad con auditorías bienales hasta 2034 [1]. En IA rigen la Ley de IA de la UE (2025) y normas estatales en Utah, Colorado y California [1]. La ley fiscal OBBBA rebajó los pagos de impuestos en efectivo de Intuit en el FY2026 [1].</w:t>
      </w:r>
    </w:p>
    <w:p>
      <w:pPr>
        <w:pStyle w:val="Heading2"/>
      </w:pPr>
      <w:r>
        <w:t xml:space="preserve">Tendencias y disrupción</w:t>
      </w:r>
    </w:p>
    <w:p>
      <w:pPr>
        <w:spacing w:after="100"/>
      </w:pPr>
      <w:r>
        <w:t xml:space="preserve">La IA es la tendencia dominante y tiene dos caras. Intuit y sus rivales venden ya agentes que hacen el trabajo: Intuit declara agentes que ejecutan tareas de contabilidad de forma autónoma y experiencias de agente en TurboTax [1], H&amp;R Block ofrece AI Tax Assist [19] y Xero se presenta como ganador de la IA [22]. Al mismo tiempo, Intuit admite que los proveedores de IA de uso general pueden crear productos que resuelvan las mismas necesidades [1]. El mercado lo ha descontado: tras recortar la previsión de TurboTax a 5.277-5.282 M USD (desde 5.305-5.330 M) la acción tocó mínimos de cinco años, con una caída del 51 % en 2026 a esa fecha [30]. La segunda tendencia es la mezcla hacia la declaración asistida por expertos, que favorece a Intuit (TurboTax Live +37 %) [6]. La tercera, la unión de contabilidad, pagos y crédito en una sola plataforma (Xero con Melio, Bill.com, Block) [20, 21,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software fiscal para particulares en EE. UU. (estimación propia: 39,0 millones de unidades federales de TurboTax frente a 67,1 millones de declaraciones autopreparadas por internet, ≈ 58 %) [6, 14]. En contabilidad para pymes es el líder en EE. UU. por ingresos (6.852 M USD entre QuickBooks Online y Desktop Accounting), sin cuota fiable porque los informes de mercado dan un tamaño menor que sus propias ventas [1,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la declaración de la renta: 11,3 millones de declaraciones asistidas y 3,6 millones de pago por internet en el FY2026 (junio); la cuota es la de sus declaraciones de pago por internet sobre las autopreparadas (estimación propia). Ingresos +4,9 %; la de por internet creció un 0,2 %. EBIT = ingresos menos gastos operativos (907,7 M). Ofrece AI Tax Assist y es dueña de Wave (contabilidad para pymes, 122,7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QuickBooks en contabilidad en la nube: 2.753 M NZD en el FY2026 (marzo), +31 %, con 4,92 millones de clientes y la compra de Melio para entrar en EE. UU.; resultado operativo de 316 M NZD, lastrado por los costes de la compra. Ingresos convertidos a 0,5876 USD/NZD, media del ejercicio [22,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contabilidad para pymes y empresas medianas (Sage Intacct, que creció un 23 % en EE. UU.): 2.513 M GBP en el FY2025 (septiembre), +10 % subyacente, y beneficio operativo de 530 M GBP. Compite con Intuit Enterprise Suite en el segmento medio. Convertido a 1,3071 USD/GBP, media del ejercicio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cobros de pymes (Square) y en la declaración de la renta gratuita (Cash App Taxes); ingresos planos en 2025 y resultado operativo de 1.708 M. Los ingresos incluyen bitcoin, de margen bajo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Holdings (Bill.com)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pago de facturas y cuentas a pagar de pymes, integrado con QuickBooks, NetSuite, Sage Intacct y Xero; ingresos +13 % en el FY2026 (junio) y pérdida operativa de 73 M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asesores ProAdvisor y de aplicaciones conectadas a QuickBooks Online [1]; Bill.com se integra con QuickBooks entre los primeros [14]. Credit Karma conecta usuarios y entidades con datos de aprobación (Lightbox)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y aun así los clientes crecieron un 3 % [1]; el ecosistema Desktop creció un 6 % solo por precio [1]. Los datos contables y el historial fiscal atan al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y QuickBooks son marcas registradas con 39,0 millones de unidades federales y 9.918 M USD de ecosistema en línea [1, 4]; cartera de patentes creciente, aunque sin dependencia de ninguna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del 27,4 % frente al 23,0 % de H&amp;R Block, el 21,1 % de Sage, el 11,5 % de Xero y el −4,4 % de Bill.com en sus últimos ejercicios [1, 12, 14-16].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93 millones de clientes y datos propios que alimentan sus modelos de IA [1]; pero la IA puede bajar las barreras de entrada, según la propia empresa [1].</w:t>
            </w:r>
          </w:p>
        </w:tc>
      </w:tr>
    </w:tbl>
    <w:p>
      <w:pPr>
        <w:spacing w:after="160" w:before="0"/>
      </w:pPr>
    </w:p>
    <w:p>
      <w:pPr>
        <w:pStyle w:val="Heading2"/>
      </w:pPr>
      <w:r>
        <w:t xml:space="preserve">Amenazas</w:t>
      </w:r>
    </w:p>
    <w:p>
      <w:pPr>
        <w:spacing w:after="100"/>
      </w:pPr>
      <w:r>
        <w:t xml:space="preserve">Tres, por orden de probabilidad. Primera, la erosión del volumen de TurboTax: en 2026 cayeron las unidades federales (−2 %) y la cuota de las declaraciones por internet (≈ −1 punto), y la guía del FY2027 da a TurboTax solo un +2-3 % [6, 12]. Segunda, los agentes de IA de uso general, que Intuit ya lista como competidores y que pueden ofrecer como complemento lo que hoy cobra TurboTax o QuickBooks [1]. Tercera, la declaración pública gratuita: Direct File está suspendido, no derogado, y Free File sigue hasta 2029 [19, 26]. En pymes, Xero entra en EE. UU. con Melio y Sage Intacct crece un 23 % en el segmento medio [22,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17,1 %</w:t>
      </w:r>
      <w:r>
        <w:t xml:space="preserve">, EBITDA </w:t>
      </w:r>
      <w:r>
        <w:rPr>
          <w:b/>
          <w:bCs/>
        </w:rPr>
        <w:t xml:space="preserve">17,4 %</w:t>
      </w:r>
      <w:r>
        <w:t xml:space="preserve">, BPA </w:t>
      </w:r>
      <w:r>
        <w:rPr>
          <w:b/>
          <w:bCs/>
        </w:rPr>
        <w:t xml:space="preserve">17,8 %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5.196 M en FY2017 a 21.448 M en FY2026 [1, 5]. FY2021 y FY2022 incluyen la entrada de Credit Karma (dic-2020) y Mailchimp (nov-2021) [3]; desde FY2023 el crecimiento es orgánico salvo una compra pequeña en FY2025 (184 M) [1]. En FY2026 los ingresos crecieron un 14 %: Global Business Solutions +16 % (+18 % sin Mailchimp) y Consumer +11 % (TurboTax +7 %, Credit Karma +20 %) [6]. El EBIT subió un 20 % hasta 5.884 M (27,4 % de margen) pese a 293 M de reestructuración en el 4T [1]. La amortización de intangibles de las dos compras (659 M en FY2026) y los pagos en acciones (2.056 M) van dentro del EBIT [1]. El beneficio neto de FY2026 (4.566 M) incluye 180 M de ganancias netas en inversiones a largo plazo [1] y una tasa fiscal del 24 % frente al 20 % de FY2025, por menos ventaja fiscal de los pagos en acciones [6].</w:t>
      </w:r>
    </w:p>
    <w:p>
      <w:pPr>
        <w:pStyle w:val="Heading2"/>
      </w:pPr>
      <w:r>
        <w:t xml:space="preserve">Ajustes y partidas no recurrentes</w:t>
      </w:r>
    </w:p>
    <w:p>
      <w:pPr>
        <w:spacing w:after="100"/>
      </w:pPr>
      <w:r>
        <w:t xml:space="preserve">Cifras reportadas US GAAP. El EBITDA es EBIT más depreciación y amortización de intangibles adquiridos del estado de flujos; incluye los pagos en acciones (2.056 M en FY2026, 9,6 % de los ingresos) [1]. En no recurrentes van la reestructuración de FY2024 (223 M, con 25 M de pagos en acciones), FY2025 (15 M) y FY2026 (293 M, plan de 2026 con coste total previsto de 315 M) [1] y el acuerdo de 141 M con los fiscales de los 50 estados en FY2022 [3]; hubo reestructuración en dos de los últimos tres ejercicios. El BPA no GAAP de la empresa (24,27 USD en FY2026) excluye pagos en acciones, amortización de intangibles, reestructuración y resultados de inversiones [6]; desde FY2027 dejará de excluir los pagos en acciones [6]. FY2017 está reexpresado por la norma de ingresos ASC 606 en el 10-K de FY2019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(25-ago-2026) la dirección presentó un FY2026 con 21.448 M de ingresos (+14 %) y BPA no GAAP de 24,27 USD (+20 %) [6], pero el mensaje central fue un cambio de modelo: reconoció que TurboTax perdió clientes de bricolaje fiscal por precio y anunció que aceptará un ingreso medio por cliente menor para recuperar cuota de declaraciones electrónicas del IRS [7]. Los clientes de pago del ecosistema online crecieron solo un 3 % (8,9 millones), dos puntos menos que un año antes, y la empresa fijó como prioridad captar clientes nuevos [7]. Anunció dos cambios de presentación: Mailchimp pasa a ser segmento propio en FY2027 y los pagos en acciones dejan de excluirse del resultado no GAAP [6]. La guía de FY2027 desacelera los ingresos al 9-10 % (TurboTax +2-3 %, Credit Karma +11-13 %, Desktop a la baja, Mailchimp de -1 % a 0 %) con mejora de margen por el recorte de plantilla del plan de 2026 (293 M de coste en el 4T) [6, 7]. El objetivo a largo plazo es crecer a doble dígito de forma duradera, y solo se dan expectativas por segmento [7]. Se mantuvo el ritmo de recompras (2.100 M en el 4T, +179 %)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Credit Karma, consolidada desde el 3-dic-2020: casi 8 meses en la cuenta y el año completo en el balance (fondo de comercio de 1.654 M a 5.613 M).; FY2022: Mailchimp, consolidada desde el 1-nov-2021 (12.000 M): 9 meses en la cuenta y el año completo en el balance (fondo de comercio a 13.736 M).; FY2020: el activo total crece un 74 % y los ingresos un 13 %).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488 M en FY2017 a 6.914 M en FY2022 por las compras de Credit Karma y Mailchimp, y está en 7.669 M en FY2026 tras emitir 1.750 M en jun-2026 para refinanciar los vencimientos de FY2027 [1, 5]. La caja con inversiones a corto plazo subió a 7.200 M [1]. El circulante operativo es negativo: clientes 625 M frente a ingresos diferidos 1.072 M y proveedores 873 M [1]. El activo está dominado por fondo de comercio (13.981 M) e intangibles (4.642 M), el 51 % del total [1]. Los préstamos a cobrar de QuickBooks Capital y consumo suman 1.647 M (1.468 M para mantener y 179 M para vender) [1]. El patrimonio bajó de 19.710 M a 18.992 M en FY2026 porque las recompras (5.463 M) y los dividendos (1.341 M) superaron al beneficio; en jul-2026 la empresa amortizó toda la autocartera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38.708</w:t>
      </w:r>
      <w:r>
        <w:t xml:space="preserve">, conversión </w:t>
      </w:r>
      <w:r>
        <w:rPr>
          <w:b/>
          <w:bCs/>
        </w:rPr>
        <w:t xml:space="preserve">164 %</w:t>
      </w:r>
      <w:r>
        <w:t xml:space="preserve"> del beneficio neto; adquisiciones 9.473, dividendos 7.701, recompras 16.995.</w:t>
      </w:r>
    </w:p>
    <w:p>
      <w:pPr>
        <w:spacing w:after="100"/>
      </w:pPr>
      <w:r>
        <w:t xml:space="preserve">El flujo operativo pasó de 1.599 M en FY2017 a 8.838 M en FY2026 [1, 5]. FY2026 está inflado por los impuestos: los pagos en caja por impuestos bajaron a 281 M desde 1.408 M en FY2025 y 1.881 M en FY2024 por la deducción inmediata del I+D (ley OBBBA) [1]; los impuestos diferidos sumaron 1.279 M al flujo [1]. El capex es pequeño: 221 M en FY2026 (175 M de inmovilizado y 46 M de software capitalizado), un 1 % de los ingresos [1]. La mayor diferencia entre beneficio y caja son los pagos en acciones (2.056 M), que no consumen caja pero diluyen; la empresa pagó además 709 M en FY2026 (982 M en FY2025) por retenciones fiscales de acciones entregadas a empleados, en financiación [1]. Los préstamos de QuickBooks Capital van en inversión, fuera del flujo operativo: originó 6.755 M y cobró o vendió 6.463 M en FY2026 [1]. Los fondos de clientes (-2.086 M en FY2026, +3.107 M en FY2025) van en financiación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Intuit desde 1990 y emitió opinión favorable sobre las cuentas y sobre el control interno de FY2026 [1]; la cuestión clave de auditoría fue la identificación de obligaciones de desempeño en el reconocimiento de ingresos [1]. Los pagos en acciones sumaron 2.056 M en FY2026 (9,6 % de los ingresos y 45 % del beneficio neto) [1]. No hubo deterioros del fondo de comercio en FY2024-FY2026: el valor razonable de todas las unidades superó con holgura su valor contable [1]; las pérdidas acumuladas por deterioro son 114 M, anteriores a FY2024 [1]. El software de uso interno capitalizado es pequeño (46 M en FY2026) [1]. Diferencia entre resultado contable y fiscal: en FY2026 los impuestos en caja (281 M) fueron muy inferiores al gasto contable (1.451 M) por la deducción del I+D [1]. FY2017 está reexpresado por ASC 606 en la cuenta pero no en el balance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2.056 M en FY2026 (9,6 % de los ingresos); el EBIT no GAAP los excluía hasta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 FY2026 inflado por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pagados de 281 M frente a 1.408 M en FY2025 por la ley OBBBA; efecto no recurrente en su mayor parte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 M en FY2024, 15 M en FY2025 y 293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Préstamos fuera del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originaciones de préstamos de QuickBooks Capital (6.755 M en FY2026) van en inversión; las provisiones por pérdidas crediticias subieron a 237 M desde 134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inversiones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M de ganancias netas en inversiones a largo plazo en FY2026 dentro de otros ingresos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demandas en jul y ago-2026 por declaraciones de 2025 y 2026; sin estimación de pérdida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13.981 M en FY2026 (el 69 % del capital invertido medio); ha subido más de un 5 % en 3 de 9 años: comprador en serie. ROIC publicado 23,1 %; sin fondo de comercio, 74,2 %.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19,1 % · </w:t>
      </w:r>
      <w:r>
        <w:rPr>
          <w:b/>
          <w:bCs/>
        </w:rPr>
        <w:t xml:space="preserve">WACC</w:t>
      </w:r>
      <w:r>
        <w:t xml:space="preserve">: 9,8 %.</w:t>
      </w:r>
    </w:p>
    <w:p>
      <w:pPr>
        <w:spacing w:after="100"/>
      </w:pPr>
      <w:r>
        <w:rPr>
          <w:b/>
        </w:rPr>
        <w:t xml:space="preserve">Intuit crea valor, pero mucho menos que antes de sus dos grandes compras.</w:t>
      </w:r>
      <w:r>
        <w:t xml:space="preserve"> El ROIC después de impuestos fue del 94-126 % de FY2017 a FY2020, con un negocio de software sin apenas capital. Credit Karma (7.200 M, dic-2020) y Mailchimp (12.000 M, nov-2021) lo hundieron al 12,6 % en FY2023 al multiplicar el capital invertido; desde entonces se ha recuperado al 23,1 % en FY2026, más del doble del WACC del 9,8 % [1, 4]. Lo explica el margen EBIT, que ha vuelto del 21,3 % de FY2022 al 28,8 %. Mailchimp no ha rendido (ingresos de 1.267-1.287 M en FY2024-FY2026, sin crecer) y será segmento propio en FY2027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4.705 M + inversiones a corto plazo 2.495 M (7.200 M) a 31-jul-2026; línea de crédito no garantizada de 2.200 M sin disponer hasta ene-2031 y programa de pagarés de 2.200 M sin saldo [1]. En ago-2026 devolvió los bonos de 750 M de sep-2026 con la emisión de jun-2026 y caja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 S&amp;P A (estable), jun-2026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nominal de 7.720 M: 6.750 M en bonos sénior no garantizados (cupones del 1,35 % al 5,50 %, vencimientos de 2026 a 2053) y 970 M en líneas garantizadas de sociedades instrumentales que financian préstamos de QuickBooks Capital, sin recurso a Intuit [1]. La línea de 2.200 M exige deuda bruta/EBITDA no superior a 4,0 veces; la empresa la cumple [1]. Pasivos por arrendamiento operativo de 752 M fuera de la deuda (US GAAP: su gasto ya está en el EBITDA) [1, 5]. Fondos de clientes de 5.038 M a ambos lados del balance (activo y pasivo corriente) [1]. Litigios: dos demandas colectivas de accionistas presentadas en jul y ago-2026 y una demanda colectiva en Ontario certificada en jul-2026, sin estimación de pérdida; el Tribunal de Apelación del Quinto Circuito anuló en mar-2026 la orden de la FTC sobre la publicidad de TurboTax gratuito [1]. Otros pasivos corrientes: 308 M de planes de compensación diferida de directivos y 41 M del impuesto especial sobre recompras [1].</w:t>
      </w:r>
    </w:p>
    <w:p>
      <w:pPr>
        <w:pStyle w:val="Heading1"/>
      </w:pPr>
      <w:r>
        <w:t xml:space="preserve">12. Asignación de capital</w:t>
      </w:r>
    </w:p>
    <w:p>
      <w:pPr>
        <w:pStyle w:val="Confianza"/>
        <w:spacing w:after="100"/>
      </w:pPr>
      <w:r>
        <w:t xml:space="preserve">Confianza: Alta</w:t>
      </w:r>
    </w:p>
    <w:p>
      <w:pPr>
        <w:spacing w:after="100"/>
      </w:pPr>
      <w:r>
        <w:t xml:space="preserve">Dividendo trimestral de 1,38 USD por acción pagadero el 16-oct-2026, un 15 % más que un año antes [6]; el dividendo declarado por acción subió de 1,36 USD en FY2017 a 4,80 USD en FY2026 [1, 5]. Recompras: 5.463 M en FY2026 (13,4 millones de acciones), frente a 2.793 M en FY2025 [1]; el consejo amplió la autorización en 3.200 M (ago-2025) y 8.000 M (may-2026), y quedan 7.900 M [1, 6]. En jul-2026 amortizó toda la autocartera [1]. La dirección espera que las recompras sigan siendo una parte significativa de la asignación de capital en FY2027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en caja y 10,6 millones de acciones (3.800 M); contraprestación total de 8.100 M con acciones condicionadas a permanencia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865 M en FY2021 (8 meses) a 2.641 M en FY2026; caída en FY2023 (1.634 M); sin deterioro del fondo de comercio [1,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5.700 M en caja y 10,1 millones de acciones (6.300 M a 625,99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estancados: 1.267 M (FY2024), 1.287 M (FY2025), 1.272 M (FY2026); guía FY2027 de -1 % a 0 %; sin deterioro; segmento propio desde FY2027 [3, 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no identificada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134 M de fondo de comercio en Global Business Solutions [1].</w:t>
            </w:r>
          </w:p>
        </w:tc>
      </w:tr>
    </w:tbl>
    <w:p>
      <w:pPr>
        <w:spacing w:after="160" w:before="0"/>
      </w:pPr>
    </w:p>
    <w:p>
      <w:pPr>
        <w:spacing w:after="100"/>
      </w:pPr>
      <w:r>
        <w:t xml:space="preserve">Entre FY2017 y FY2026 Intuit pagó en caja 9.473 M por compras, 7.701 M en dividendos y 16.995 M en recompras [5] (sumas de la serie de flujos). Las dos grandes compras se pagaron en parte con acciones (20,7 millones de acciones), y las acciones diluidas pasaron de 261 millones en FY2017 a 284 millones en FY2022; las recompras las bajaron a 277 millones en FY2026 y 272 millones en el 4T26 [5,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ene-2026)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enero de 2019; antes dirigió Small Business (2016-2018) y Consumer Tax (2013-2016), fue CIO y CEO de Nexant [1]. Con él los ingresos pasaron de 9.633 M USD en FY2021 a 21.448 M en FY2026 y el beneficio operativo GAAP de 2.500 M a 5.884 M [45][6]. Desde la junta de enero de 2026 también preside el consejo [32][1].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Sandeep S. Aujla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agosto de 2023; en Intuit desde 2015 como responsable de finanzas de Small Business y Tecnología; antes en Visa, Goldman Sachs y Morgan Stanley [1]. En sus tres ejercicios la empresa ha superado la guía anual de ingresos y de beneficio operativo no GAAP (FY2024-FY2026) [48][49][6].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(empleado de la compañía)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Intuit y es consejero desde 1984; es empleado (salario de 0,65 M USD y bonus de 0,65 M en FY2025) y no cuenta como independiente [32]. Tenía 6,16 M de acciones a 31-oct-2025 a través de fideicomisos [32] y vendió 494.365 acciones por 327,5 M USD en diciembre de 2025 con un plan 10b5-1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y vicepresidente de Visa; consejero desde 2024 y coordinador independiente desde la junta de enero de 2026, cuando el CEO asumió la presidencia [32]. Es el único consejero o directivo que ha comprado acciones en los 12 meses previos al corte: 1.750 acciones por 0,54 M USD en mayo de 2026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Ashley Still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general de Mid-Market y Small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Mid-Market y desde el 31-may-2026 suma Small Business tras la salida de Marianna Tessel, que había sido NEO con una remuneración de 16,4 M USD en FY2025 [37][32]. No figura entre los directivos ejecutivos (executive officers) del 10-K de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 Hanebrink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Estrategia y Desarrollo Corporativo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cargo desde 2019; antes en Block (Square) entre 2014 y 2016 y en Intuit desde 2011; consejero de PubMatic [1]. Responsable de las compras grandes del periodo (Credit Karma y Mailchimp).</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dada en nov-2020 (no se dio en ago-2020): ingresos 8.265-8.415 M USD (+8-10 %); beneficio operativo GAAP 2.425-2.475 M; no GAAP 2.960-3.010 M; BPA no GAAP 8,40-8,55 USD [43][44]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9.633 M (+25 %, con Credit Karma, comprada en dic-2020 y no incluida en la guía); beneficio operativo GAAP 2.500 M; no GAAP 3.485 M; BPA no GAAP 9,74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11.050-11.200 M USD (+15-16 %); beneficio operativo GAAP 2.605-2.680 M; no GAAP 4.050-4.125 M; BPA GAAP 7,46-7,66 USD y no GAAP 11,05-11,25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12.726 M (11.964 M sin los 762 M de Mailchimp, comprada después de la guía); beneficio operativo GAAP 2.571 M; no GAAP 4.504 M; BPA GAAP 7,28 USD y no GAAP 11,85 USD; incluye un cargo de 141 M por el acuerdo con los fiscales generales de los estados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14.485-14.700 M USD (+14-16 %); beneficio operativo GAAP 2.794-2.899 M; no GAAP 5.258-5.363 M; BPA no GAAP 13,59-13,89 USD; Credit Karma +10-15 %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14.368 M (+13 %), por debajo del rango; beneficio operativo GAAP 3.141 M; no GAAP 5.503 M; BPA no GAAP 14,40 USD; Credit Karma −9 %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15.890-16.105 M USD (+11-12 %); beneficio operativo GAAP 3.615-3.720 M; no GAAP 6.155-6.260 M; BPA no GAAP 16,17-16,47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16.285 M (+13 %); beneficio operativo GAAP 3.630 M (parte baja del rango); no GAAP 6.402 M; BPA no GAAP 16,94 USD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18.160-18.347 M USD (+12-13 %); beneficio operativo GAAP 4.649-4.724 M; no GAAP 7.241-7.316 M; BPA no GAAP 19,16-19,36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18.831 M (+16 %); beneficio operativo GAAP 4.923 M; no GAAP 7.572 M; BPA no GAAP 20,15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20.997-21.186 M USD (+12-13 %); beneficio operativo GAAP 5.782-5.859 M; no GAAP 8.611-8.688 M; BPA GAAP 15,49-15,69 USD y no GAAP 22,98-23,18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21.448 M (+14 %); beneficio operativo GAAP 5.884 M; no GAAP 8.935 M; BPA GAAP 16,46 USD y no GAAP 24,27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Seis guías anuales entre FY2021 y FY2026: cuatro cumplidas o superadas en ingresos y beneficio operativo, y dos parciales (FY2022, beneficio GAAP por debajo por el cargo de 141 M USD; FY2023, ingresos 117 M por debajo del rango) [44]-[6]. La guía de FY2027 cambia la base: el no GAAP incluye ya los pagos en acciones (2.020 M USD) y Mailchimp pasa a segmento propio, lo que rompe la comparación con años anteriores [6]. El equipo es estable en la cúpula (Goodarzi desde 2019, Aujla desde 2023), pero en 2025-2026 la directora de personas (Fennell) pasó a otro puesto, salió la de Small Business (Tessel), cambió el secretario general (McLean por Cozzens, 31-jul-2026) y el CEO pasó a presidir el consejo [32][37][38][1]. El proxy no nombra sucesor del CEO.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 y empleado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 Burton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L. Dalzell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(presidente);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Liu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Tekedra Mawakana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 Norrod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Szkutak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Vazquez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S. Yuan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Adena Friedman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McDermott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0,54 / ventas 357,73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 M de acciones a 30-sep-2025 (13G/A de 6-oct-2025) [32]; el 13G/A de 27-mar-2026 declara 0 % tras su reorganización interna del 12-ene-2026, que reparte la posición entre filiales que declaran por separado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 M de acciones a 31-dic-2024 según su 13G/A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6,16 M de acciones a 31-oct-2025 [32]; vendió 494.365 en diciembre de 2025 (alrededor del 8 % de su posición)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6,94 M de acciones con opciones ejercitables a 31-oct-2025, la mayor parte de Cook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amortizó 27.006 M USD de acciones propias en FY2026 y el balance de 31-jul-2026 no tiene autocartera (21.543 M a 31-jul-2025); en FY2026 pagó 5.412 M en recompras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D. Cook (fundador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K. Goodarzi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Vasant Prabhu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 D. Hotz (directora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depende a partes iguales de ingresos y beneficio operativo no GAAP; en FY2025 la fórmula dio el 117,8 % del objetivo (ingresos de 18.830 M USD frente a 18.450 M; beneficio de 7.570 M frente a 7.360 M), pero el comité pagó el 100 % por los objetivos «True North» no financieros [32]. El variable a largo plazo es la mitad en PSU por rentabilidad total relativa (objetivo en el percentil 60, tope del 100 % si la rentabilidad absoluta es negativa) y la otra mitad en RSU y opciones, que solo exigen permanencia [32]. No hay métrica de ROIC ni de flujo de caja. El 96 % de la remuneración directa del CEO es variable y sus PSU tienen un año de retención [32]. Hay recuperación (clawback) según la norma de Nasdaq y del plan de acciones; sin gross-up fiscal por cambio de control [32].</w:t>
      </w:r>
    </w:p>
    <w:p>
      <w:pPr>
        <w:pStyle w:val="Heading2"/>
      </w:pPr>
      <w:r>
        <w:t xml:space="preserve">Operaciones vinculadas, estructura de control y defensas</w:t>
      </w:r>
    </w:p>
    <w:p>
      <w:pPr>
        <w:spacing w:after="100"/>
      </w:pPr>
      <w:r>
        <w:t xml:space="preserve">No hay accionista de control: el mayor es Vanguard (10,28 %) y el fundador tiene el 2,21 % [32]. Una sola clase de acciones con el mismo voto, elección anual de todos los consejeros por mayoría, derecho de acceso al proxy y actuación por escrito de los accionistas; se prohíbe a consejeros y empleados cubrir o pignorar acciones [32]. Desde el inicio de FY2025 (1-ago-2024) no ha habido operaciones vinculadas de más de 120.000 USD ni hay propuestas [32]. En enero de 2025 la junta aprobó limitar la responsabilidad de los directivos según la ley de Delaware, con el 85,15 % a favor sobre los votos emitidos [34]. Desde enero de 2026 el CEO preside el consejo, con un consejero coordinador independiente (Prabhu) [32]. Dos de los trece consejeros no son independientes (Goodarzi y Cook) y todas las comisiones son solo de independientes [32].</w:t>
      </w:r>
    </w:p>
    <w:p>
      <w:pPr>
        <w:pStyle w:val="Heading2"/>
      </w:pPr>
      <w:r>
        <w:t xml:space="preserve">Señales de alerta</w:t>
      </w:r>
    </w:p>
    <w:p>
      <w:pPr>
        <w:pStyle w:val="ListParagraph"/>
        <w:numPr>
          <w:ilvl w:val="0"/>
          <w:numId w:val="2"/>
        </w:numPr>
        <w:spacing w:after="60"/>
      </w:pPr>
      <w:r>
        <w:t xml:space="preserve">Unión de presidente y CEO desde la junta de 22-ene-2026, anunciada el 20-nov-2025, tras la salida de la presidenta independiente Suzanne Nora Johnson [32].</w:t>
      </w:r>
    </w:p>
    <w:p>
      <w:pPr>
        <w:pStyle w:val="ListParagraph"/>
        <w:numPr>
          <w:ilvl w:val="0"/>
          <w:numId w:val="2"/>
        </w:numPr>
        <w:spacing w:after="60"/>
      </w:pPr>
      <w:r>
        <w:t xml:space="preserve">Ventas de directivos por 357,7 M USD en 12 meses, frente a compras de 0,54 M; el 92 % las hizo el fundador Scott Cook en diciembre de 2025 a 632-678 USD por acción, con planes 10b5-1 [42]. El 16-mar-2026 el fundador y la cúpula cancelaron sus planes 10b5-1; entre el 10 y el 12 de marzo el consejero Dalzell había vendido a 440-474 USD [39][42].</w:t>
      </w:r>
    </w:p>
    <w:p>
      <w:pPr>
        <w:pStyle w:val="ListParagraph"/>
        <w:numPr>
          <w:ilvl w:val="0"/>
          <w:numId w:val="2"/>
        </w:numPr>
        <w:spacing w:after="60"/>
      </w:pPr>
      <w:r>
        <w:t xml:space="preserve">Rotación en la dirección: cambia la directora de personas (ago-2025), la directora de Small Business (31-may-2026) y el secretario general (julio de 2026) [37][38][1].</w:t>
      </w:r>
    </w:p>
    <w:p>
      <w:pPr>
        <w:pStyle w:val="ListParagraph"/>
        <w:numPr>
          <w:ilvl w:val="0"/>
          <w:numId w:val="2"/>
        </w:numPr>
        <w:spacing w:after="60"/>
      </w:pPr>
      <w:r>
        <w:t xml:space="preserve">Reestructuración de mayo de 2026: un 17 % menos de plantilla y 300-340 M USD de cargos [40].</w:t>
      </w:r>
    </w:p>
    <w:p>
      <w:pPr>
        <w:pStyle w:val="ListParagraph"/>
        <w:numPr>
          <w:ilvl w:val="0"/>
          <w:numId w:val="2"/>
        </w:numPr>
        <w:spacing w:after="60"/>
      </w:pPr>
      <w:r>
        <w:t xml:space="preserve">El apoyo al CEO en la junta de 2026 bajó al 95,08 % a favor (99,59 % en 2025) y al consejero Szkutak al 94,91 % [33][34].</w:t>
      </w:r>
    </w:p>
    <w:p>
      <w:pPr>
        <w:pStyle w:val="ListParagraph"/>
        <w:numPr>
          <w:ilvl w:val="0"/>
          <w:numId w:val="2"/>
        </w:numPr>
        <w:spacing w:after="60"/>
      </w:pPr>
      <w:r>
        <w:t xml:space="preserve">El voto a favor de la remuneración no ha bajado del 91,67 % en las tres últimas juntas [33][34][35].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25-ago-2026 Intuit fijó la guía del FY2027 (agosto 2026-julio 2027): ingresos de 23.279-23.512 M USD (+9-10 %), con Global Business Solutions sin Mailchimp +13-14 %, TurboTax +2-3 %, Credit Karma +11-13 %, ProTax +2 % y Mailchimp, ya como segmento propio, entre −1 % y 0 % [6]. Beneficio operativo GAAP de 7.408-7.490 M (+26-27 %) y BPA GAAP de 20,12-20,36 USD (+22-24 %) [6]. Desde el 1-ago-2026 las medidas no GAAP ya incluyen los pagos en acciones: beneficio operativo no GAAP de 8.063-8.145 M y BPA no GAAP de 22,88-23,12 USD, con 2.020 M de pagos en acciones dentro [6]. Para el 1T FY2027, ingresos de 4.294-4.313 M (+11 %) y BPA GAAP de 1,71-1,75 USD [6]. El 17-sep-2026, en el día del inversor, la empresa reafirmó la guía del 1T y del FY2027 y fijó el marco a tres años: ingresos de la plataforma de empresas +10-15 % anual, plataforma de consumo +4-8 %, BPA no GAAP (ya con los pagos en acciones) creciendo «en la parte alta de la decena» (high teens) y pagos en acciones bajando al 8 % de las ventas en 2030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consulta del 27-oct-2026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consulta del 27-oct-2026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consulta del 27-oct-2026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12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732,00</w:t>
            </w:r>
          </w:p>
        </w:tc>
      </w:tr>
    </w:tbl>
    <w:p>
      <w:pPr>
        <w:spacing w:after="160" w:before="0"/>
      </w:pPr>
    </w:p>
    <w:p>
      <w:pPr>
        <w:pStyle w:val="Heading2"/>
      </w:pPr>
      <w:r>
        <w:t xml:space="preserve">Revisiones de estimaciones</w:t>
      </w:r>
    </w:p>
    <w:p>
      <w:pPr>
        <w:spacing w:after="100"/>
      </w:pPr>
      <w:r>
        <w:t xml:space="preserve">Las estimaciones apenas se han movido desde el 10-oct: MarketScreener da hoy un BPA GAAP de 20,34 USD para el FY2027 y 23,61 para el FY2028, frente a 20,30 y 23,60 hace dos semanas, y ventas de 23.411 M y 25.535 M [51]. Stock Analysis (S&amp;P Global, 34 analistas) da un objetivo medio de 406,92 USD (mediana 400; 290-732) y 15 compras fuertes, 5 compras, 12 mantener, 1 venta y 1 venta fuerte [53]; MarketBeat cuenta 16 compras, 12 mantener y 3 ventas con un objetivo medio de 431,55 [81]. Las recomendaciones se deterioraron en agosto, tras la guía del FY2027 (Bank of America y Wolfe rebajaron a neutral el 26-ago); desde entonces solo hay reiteraciones: Morgan Stanley mantener con 315 USD (12-oct), Citi compra con 416 (7-oct), RBC compra con 385 (2-oct), Goldman venta con 304 (24-sep) [53, 81]. Los cambios del BPA a 3 y 12 meses no están en abierto.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Intuit pierde un 50,4 % en 2026 hasta el 27 de octubre, frente a un S&amp;P 500 que sube un 12,8 % y un índice de software (IGV) que sube un 5,8 % [54]. La caída máxima es del 68,2 %, del 30-jul-2025 al 25-jun-2026, con un mínimo de 252,84 USD el 22 de junio [54]. Desde el mínimo del 29-sep (268,03) ha rebotado un 22,5 %: en octubre recuperó terreno con la compra de Sequence (+6,4 % el 15-oct) y un salto del 5,7 % el 22-oct, día en que H&amp;R Block subió un 4,7 % y el S&amp;P 500 bajó un 1,2 % [54, 81, 85]. A diez años la acción sube un 11,7 % anual, por debajo del S&amp;P 500 (13,8 %) y del IGV (17,4 %) [54]. La beta mensual de 5 años es 0,96 y la semanal de 2 años 0,43 [54]. Las posiciones cortas eran el 2,63 % de las acciones [57].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 / -1,4 % / -18,0 % / -51,9 %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-51,9 % / +28,8 %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 (21-may, −20,0 % en un día): recorte de la guía de TurboTax y anuncio del recorte del 17 % de la plantilla; el 2-jun cayó otro 8,9 % con el sector [7, 40,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252,84 USD (22-jun) hasta 367 USD el 21-ago, con la vuelta del software y antes de la guía del FY2027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359,30 USD (31-ago) a 268,03 USD (29-sep): la guía del FY2027 (+9-10 %, TurboTax +2-3 %), las rebajas de Bank of America y Wolfe y el reconocimiento en el día del inversor (17-sep) de que TurboTax perdió un punto de cuota por precio; fue de los peores valores del S&amp;P 500 en septiembre [80, 81,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del 29-sep: compra de Sequence (15-oct, +6,4 %) y +5,7 % el 22-oct, día en que H&amp;R Block subió un 4,7 % y el S&amp;P 500 cayó un 1,2 %, sin noticia propia localizada; sin cambios en las estimaciones de BPA [51, 81,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Bank of America rebaja a neutral (objetivo 360 USD) y Wolfe a peer perform tras la guía del FY2027 [81].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reafirma la guía del 1T y del FY2027, marco a tres años (empresas +10-15 %, consumo +4-8 %, BPA no GAAP en la parte alta de la decena) y admite la pérdida de un punto de cuota del IRS en TurboTax, con el precio como primer motivo de baja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Sequence, plataforma de facturación e ingresos con IA (serie A), para QuickBooks Online Advanced e Intuit Enterprise Suite; importe no publicado, inmaterial frente a 88.000 M de capitalización [82].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Credit Karma Tax: declaración federal gratis y estatal por 15 USD, para contribuyentes jóvenes de menos de 50.000 USD; más de la mitad de los ingresos de TurboTax ya viene de los servicios con experto [83].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Reiteraciones sin cambio de tono: Morgan Stanley mantener (315 USD), Citi compra (416), RBC compra (385); Goldman venta (304, 24-sep)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consejeros y directivos de 357,7 M USD en 12 meses (327,5 M del fundador Scott Cook en diciembre de 2025), casi todas con planes 10b5-1; compras de 0,54 M; ninguna venta relevante desde agosto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FY2027 (fecha estimada; la empresa aún no la ha anunciado): guía de ingresos de 4.294-4.313 M (+11 %) y BPA GAAP de 1,71-1,75 USD [6, 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21,9 % en un mes y un 22,5 % desde el mínimo del 29-sep, pero sigue un 51,9 % por debajo del máximo de 52 semanas y bajo la media de 200 sesiones (tendencia bajista) [54]. El rebote no viene de las cifras: el consenso de BPA no se ha movido (20,34 USD en FY2027e) y las noticias del mes son una compra pequeña (Sequence) y un producto gratuito (Credit Karma Tax) [51, 82, 83]. No hay colocaciones, ampliaciones ni litigios pendientes que puedan mover el precio más de un 5 %; los resultados del 19-nov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Intuit cotiza a 12,7 veces el EBITDA de los últimos 12 meses y 20 veces el beneficio, en el percentil 10 de su década: la media fue de 35,7 y 52,3 veces, y el mínimo de 12,5 y 19,2 veces [54]. La acción ha caído un 50,4 % en 2026 mientras el BPA GAAP subía un 20 %: es una caída de múltiplo, no de beneficio [1, 54]. El rebote de octubre (+21,9 % en un mes) apenas la ha sacado de los mínimos. El mercado ha dejado de pagar a Intuit como un monopolio fiscal y contable y la valora como un negocio que la IA puede volver gratuito: la historia del PER es de otro régimen, y por eso la regla a 12 meses no supone que vuelva.</w:t>
      </w:r>
    </w:p>
    <w:p>
      <w:pPr>
        <w:pStyle w:val="Heading1"/>
      </w:pPr>
      <w:r>
        <w:t xml:space="preserve">18. Comparables cotizados</w:t>
      </w:r>
    </w:p>
    <w:p>
      <w:pPr>
        <w:pStyle w:val="Confianza"/>
        <w:spacing w:after="100"/>
      </w:pPr>
      <w:r>
        <w:t xml:space="preserve">Confianza: Media</w:t>
      </w:r>
    </w:p>
    <w:p>
      <w:pPr>
        <w:spacing w:after="100"/>
      </w:pPr>
      <w:r>
        <w:t xml:space="preserve">Nueve cotizadas de EE. UU. que venden software y servicios financieros a pymes y consumidores: H&amp;R Block (impuestos, rival directo de TurboTax), Paychex y Paycom (nóminas), BILL (pagos y cuentas a pagar de pymes), Block y Toast (pagos y software para comercios), Shopify (software para pymes de comercio electrónico), Freshworks (software de atención al cliente para pymes) y Adobe (software de suscripción de tamaño y márgenes parecidos). Xero y Sage, los rivales más directos de QuickBooks, quedan fuera porque cotizan en Australia y Londres, con cuentas en otra divisa y sin el mismo desglose de pagos en acciones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Freshworks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12,8x / 27,4x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14,0x / 45,9x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22,1x / 27,6x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3,5x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-3,2 + 1,68 × crecimiento; R² = 0,80. Para el crecimiento esperado de la empresa (9,2 %), el múltiplo ajustado es 12,2x y el valor por acción, 393,22.</w:t>
      </w:r>
    </w:p>
    <w:p>
      <w:pPr>
        <w:spacing w:after="100"/>
      </w:pPr>
      <w:r>
        <w:t xml:space="preserve">Intuit cotiza a 10,2 veces el EBITDA de los próximos 12 meses y 15,5 veces el beneficio, por debajo de la mediana del software de pagos, nóminas y pymes (12,8 y 22,1 veces) pese a tener más margen (32,7 % frente al 16,6 %) y un crecimiento parecido (9,2 % frente al 12,9 %) [58, 59, 60, 61, 62, 63, 64, 65, 66, 67]. Solo H&amp;R Block y Adobe, con el mismo miedo a la IA, cotizan más bajo en PER (8,0 y 11,9 veces). Las medianas darían 412,65 USD (EV/EBITDA) y 467,17 USD (PER); la media de las dos, 439,91. La muestra es frágil (Shopify a 85,2 veces el beneficio): pesa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7.100 M USD en efectivo y acciones, a partes iguales; Credit Karma facturó casi 1.000 M USD en 2019 (sin auditar), un 20 % más [68]. El precio incluía unos 1.000 M de acciones para empleados que se llevan a gasto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12.000 M USD en efectivo y acciones, con 300 M de primas a empleados en acciones [69]. El anuncio no daba los ingresos de Mailchimp, entonces privada; para el FY2027 Intuit espera de Mailchimp 1.256-1.266 M de ingresos, sin crecimiento [6,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Avalara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93,50 USD por acción en efectivo, 8.400 M USD con la deuda neta y una prima del 27 % sobre el cierre previo a las noticias [70]. Ingresos de los 12 meses a junio de 2022: unos 789 M USD (2021: 699 M; primer semestre de 2022: 413 M frente a 323 M) [71, 72]. Software fiscal para pymes y empresas medianas.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USD por acción en efectivo, 8.000 M USD de valor empresa y una prima del 77 % sobre el cierre sin efecto de las noticias [73]. Ingresos de los 12 meses a octubre de 2022: 818 M USD [74]. Software de gestión del gasto.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22,50 USD por acción en efectivo, unos 4.100 M USD de valor empresa y una prima del 19 % sobre la media de 30 días [75]. Ingresos de los 12 meses a septiembre de 2024: 624 M USD [76]. Nóminas y recursos humanos para pymes.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USD por acción en efectivo, 12.300 M USD de valor empresa y una prima del 32 % sobre el cierre sin efecto del 15-ago-2025 [77]. Ingresos de los 12 meses a junio de 2025: 1.852 M USD [78]. Software de nóminas y recursos humanos.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Divvy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 M USD: 625 M en efectivo y 1.875 M en acciones de Bill.com [79]. Divvy, privada, no publicó ingresos [79]. Tarjetas y gestión de gastos para pymes.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523,60 – 778,36</w:t>
            </w:r>
          </w:p>
        </w:tc>
      </w:tr>
    </w:tbl>
    <w:p>
      <w:pPr>
        <w:spacing w:after="160" w:before="0"/>
      </w:pPr>
    </w:p>
    <w:p>
      <w:pPr>
        <w:spacing w:after="100"/>
      </w:pPr>
      <w:r>
        <w:t xml:space="preserve">Cinco compras de software con múltiplo de ventas, de 6,6 a 10,6 veces (Credit Karma, Avalara, Coupa, Paycor y Dayforce), con primas del 27-77 % [68, 69, 70, 71, 72, 73, 74, 75, 76, 77, 78]. Darían 563,40 USD por acción, un 71,5 % por encima del precio, pero llevan prima de control y son de empresas sin el riesgo de la IA de hoy; con 88.000 M de capitalización una opa no es realista.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+9,5 %: la guía del 25-ago-2026 da 23.279-23.512 M (+9-10 %), con GBS sin Mailchimp +13-14 %, Credit Karma +11-13 %, TurboTax +2-3 % y Mailchimp plano, reafirmada el 17-sep; el marco a tres años del día del inversor da +10-15 % en empresas y +4-8 % en consumo [6, 84]. El consenso da 23.411 M [51]. Luego baja medio punto al año hasta el 4 % de FY2034e. La media del caso base (7,1 %) queda muy por debajo del 17,1 % anual de la década, que incluye las compras, y del 13-16 % orgánico de FY2023-FY2026 [1].</w:t>
      </w:r>
    </w:p>
    <w:p>
      <w:pPr>
        <w:keepNext/>
        <w:spacing w:after="100"/>
      </w:pPr>
      <w:r>
        <w:rPr>
          <w:b/>
          <w:bCs/>
        </w:rPr>
        <w:t xml:space="preserve">Márgenes.</w:t>
      </w:r>
    </w:p>
    <w:p>
      <w:pPr>
        <w:spacing w:after="100"/>
      </w:pPr>
      <w:r>
        <w:t xml:space="preserve">Margen EBITDA GAAP del 35,5 % en FY2027e: la guía da un beneficio operativo GAAP de 7.408-7.490 M (+26-27 %), con ≈850 M de amortizaciones [6]. Sube al 38,5 % en FY2030e por apalancamiento operativo y el recorte del 17 % de la plantilla [40], frente al 32,7 % de FY2026 (sin la reestructuración) y al 31-32 % de FY2017-FY2020. El consenso, con los pagos en acciones restados, da un 36,3 % en FY2027e [51]. En el día del inversor la empresa prometió 440 puntos básicos más de margen operativo GAAP en FY2027 y bajar los pagos en acciones al 8 % de las ventas en 2030 [84].</w:t>
      </w:r>
    </w:p>
    <w:p>
      <w:pPr>
        <w:keepNext/>
        <w:spacing w:after="100"/>
      </w:pPr>
      <w:r>
        <w:rPr>
          <w:b/>
          <w:bCs/>
        </w:rPr>
        <w:t xml:space="preserve">Inversión y circulante.</w:t>
      </w:r>
    </w:p>
    <w:p>
      <w:pPr>
        <w:spacing w:after="100"/>
      </w:pPr>
      <w:r>
        <w:t xml:space="preserve">Capex del 1,5 % de las ventas en FY2027e que sube al 2,5 %; el de FY2026 fue del 1,0 % [1]. La amortización (3,9 %) incluye 659 M de intangibles de Credit Karma y Mailchimp y converge al capex. Circulante negativo (−1,2 % de las ventas), el de FY2026. Tipo impositivo normalizado del 22 %, por encima del de caja de FY2026, que se benefició de la nueva ley fiscal [1].</w:t>
      </w:r>
    </w:p>
    <w:p>
      <w:pPr>
        <w:keepNext/>
        <w:spacing w:after="100"/>
      </w:pPr>
      <w:r>
        <w:rPr>
          <w:b/>
          <w:bCs/>
        </w:rPr>
        <w:t xml:space="preserve">Coste del capital.</w:t>
      </w:r>
    </w:p>
    <w:p>
      <w:pPr>
        <w:spacing w:after="100"/>
      </w:pPr>
      <w:r>
        <w:t xml:space="preserve">Tasa libre del 4,99 %, el Tesoro de EE. UU. a 10 años del 27-oct-2026 (era el 5,22 % el 8-oct) [55]. Beta de 0,96, la mensual a 5 años frente al S&amp;P 500; la semanal a 2 años da 0,43, demasiado baja para un negocio con este riesgo [54]. Prima de mercado del 5,5 %, coste de la deuda del 5,6 % (bono de 2036) y un 8,0 % de deuda a valor de mercado. WACC del 9,80 %; con la prima implícita del mercado (4,20 %), el 8,65 % [56].</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(4,49 %). El múltiplo de salida implícito es de 11,1 veces el EBITDA, por debajo de los 12,7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(reinvierte el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111,4 % (histórico: 19,1 %)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 frente al 7,1 %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-2.024 M, con un capex bruto medio del 2,1 % de las ventas). En un negocio de activos ligeros, el crecimiento medio del 7,1 %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GBS sin Mailchimp +13-14 % (clientes de QuickBooks Online +3 % y precio y mezcla), Credit Karma +11-13 %, TurboTax +2-3 % y Mailchimp plano; reparto entre volumen y precio, estimación propia [6,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en FY2026, pero TurboTax aceptará menos precio para recuperar cuota [6,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ingresos de +8,7 % en FY2029e (27.749 M sobre 25.535 M) y marco del día del inversor (empresas +10-15 %, consumo +4-8 %) [51, 84].</w:t>
            </w:r>
          </w:p>
        </w:tc>
      </w:tr>
    </w:tbl>
    <w:p>
      <w:pPr>
        <w:spacing w:after="160" w:before="0"/>
      </w:pPr>
    </w:p>
    <w:p>
      <w:pPr>
        <w:spacing w:after="100"/>
      </w:pPr>
      <w:r>
        <w:t xml:space="preserve">En parte. El 7,1 % anual del caso base no necesita capital (capex del 1,5-2,5 %) y tiene precedente: los ingresos orgánicos crecieron un 13-16 % en FY2023-FY2026 y QuickBooks Online sigue ganando clientes [1, 6]. Pero el poder de precios de TurboTax se ha agotado: perdió un 2 % de declaraciones federales en 2026 y la dirección admite que el precio es el primer motivo de baja [6, 7]. El crecimiento tendrá que venir de pymes y Credit Karma, no del negocio fiscal. Por eso el caso base baja del 9,5 % al 4 % y el bajista deja los ingresos planos.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 (base: 38,5 %)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(WACC: 9,8 %)</w:t>
            </w:r>
          </w:p>
        </w:tc>
      </w:tr>
    </w:tbl>
    <w:p>
      <w:pPr>
        <w:spacing w:after="160" w:before="0"/>
      </w:pPr>
    </w:p>
    <w:p>
      <w:pPr>
        <w:spacing w:after="100"/>
      </w:pPr>
      <w:r>
        <w:t xml:space="preserve">El DCF da 456,04 USD por acción, un 38,8 % por encima del precio, con un 62 % del valor en el terminal. </w:t>
      </w:r>
      <w:r>
        <w:rPr>
          <w:b/>
        </w:rPr>
        <w:t xml:space="preserve">El precio sigue descontando que Intuit casi deja de crecer.</w:t>
      </w:r>
      <w:r>
        <w:t xml:space="preserve"> El DCF inverso dice que, con nuestros márgenes, los 328,45 USD de hoy suponen un crecimiento de los ingresos del 1,9 % anual de FY2027e a FY2034e, frente al 7,1 % de nuestro caso base y a una guía de +9-10 % para FY2027 reafirmada en septiembre; o, con nuestro crecimiento, un margen EBITDA del 28,4 % en vez del 38,5 %. Comprar a este precio rinde un 12,4 % anual si se cumple el caso base, 2,6 puntos por encima de su coste de capital (9,8 %). El rebote de octubre ha subido el crecimiento implícito del 1,2 % al 1,9 %: sigue siendo poco. Lo que el precio teme es que los agentes de IA conviertan la declaración y la contabilidad de la pyme en algo gratuito; la dirección admite que TurboTax perdió un punto de cuota del IRS y que el precio es el primer motivo de baja [7, 84].</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hacen la declaración de impuestos y la contabilidad básica casi gratis: TurboTax pierde clientes por precio y QuickBooks frena, como le pasó a Chegg con los asistentes de IA. Ingresos casi planos durante ocho años, margen EBITDA del 32,5 %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FY2027 (+9-10 %) y el crecimiento baja medio punto al año, con QuickBooks Online y Credit Karma tirando y TurboTax plano: crecimiento medio del 7,1 % y margen EBITDA del 38,5 % desde FY2030.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TurboTax Live y los servicios con expertos asistidos por IA siguen creciendo un 30 % y QuickBooks gana el mercado medio de empresas: crecimiento medio del 9,1 % y margen del 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28,4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412,78 USD (+25,7 %).</w:t>
      </w:r>
    </w:p>
    <w:p>
      <w:pPr>
        <w:spacing w:after="100"/>
      </w:pPr>
      <w:r>
        <w:t xml:space="preserve">La asimetría es aceptable pero no holgada: el alcista vale 538,41 USD (+63,9 %) y el bajista 217,11 (−33,9 %), 1,88 veces. El bajista no es cosmético: deja los ingresos casi planos ocho años y quita seis puntos de margen, lo que le pasó a Chegg cuando llegaron los asistentes de IA. El precio está más cerca del bajista que del base, porque el DCF inverso pide solo un 1,9 % anual. Con la prima de riesgo que hoy pide el mercado (4,20 %), el bajista sube a 249,91 USD. El valor ponderado por probabilidad es de 412,78 USD.</w:t>
      </w:r>
    </w:p>
    <w:p>
      <w:pPr>
        <w:pStyle w:val="Heading1"/>
      </w:pPr>
      <w:r>
        <w:t xml:space="preserve">22. Suma de partes</w:t>
      </w:r>
    </w:p>
    <w:p>
      <w:pPr>
        <w:pStyle w:val="Confianza"/>
        <w:spacing w:after="100"/>
      </w:pPr>
      <w:r>
        <w:t xml:space="preserve">Confianza: Media</w:t>
      </w:r>
    </w:p>
    <w:p>
      <w:pPr>
        <w:spacing w:after="100"/>
      </w:pPr>
      <w:r>
        <w:t xml:space="preserve">No aplica en el valor objetivo: los segmentos solo tienen resultado reexpresado para FY2024-FY2026 y los costes no asignados (10.311 M en FY2026) son la mayor parte del gasto, así que una suma de partes dependería de cómo se repartan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28,4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448,17 USD (+36,4 % sobre 328,45).</w:t>
      </w:r>
    </w:p>
    <w:p>
      <w:pPr>
        <w:spacing w:after="100"/>
      </w:pPr>
      <w:r>
        <w:t xml:space="preserve">Pesos: DCF 55 %, escenarios 25 %, comparables 15 %, transacciones 5 % y suma de partes 0 %. El DCF manda porque la caja de Intuit es predecible (conversión del 164 % del beneficio en la década, inflada por la amortización de intangibles) y porque recoge el riesgo con un WACC del 9,8 %; los escenarios pesan un 25 % porque el riesgo de la IA es asimétrico. Los comparables (439,91 USD) pesan un 15 % por la fragilidad de la muestra, y las transacciones (563,40 USD) un 5 % porque llevan prima de control. Todos los métodos quedan por encima del precio de 328,45 USD; el valor objetivo es de 448,17 USD (+36,4 %). Ese es el valor intrínseco, no el precio a 12 meses: la regla común a 12 meses da 371,57 USD, porque no supone que el múltiplo vuelva a su historia.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w:t>
            </w:r>
          </w:p>
        </w:tc>
      </w:tr>
    </w:tbl>
    <w:p>
      <w:pPr>
        <w:spacing w:after="160" w:before="0"/>
      </w:pPr>
    </w:p>
    <w:p>
      <w:pPr>
        <w:spacing w:after="100"/>
      </w:pPr>
      <w:r>
        <w:rPr>
          <w:b/>
          <w:bCs/>
        </w:rPr>
        <w:t xml:space="preserve">Objetivo a 12 meses (ponderado):</w:t>
      </w:r>
      <w:r>
        <w:t xml:space="preserve"> 371,57 USD · rentabilidad +14,6 % (base +16,8 %) · señal Mantener.</w:t>
      </w:r>
    </w:p>
    <w:p>
      <w:pPr>
        <w:spacing w:after="100"/>
      </w:pPr>
      <w:r>
        <w:t xml:space="preserve">Para comparar, con la regla v2 (historia al cierre, mismo precio): 13,9x / 16,4x / 21,3x, 14,6 % Mantener; con el tope anterior del base (×1,3, 14-oct mediodía): 48,9 % Comprar; con la v3 sin el selector (tope ×1,1): 26,1 % Comprar. Decide la v2, elegida por el selector de método (desrateada: la mediana adelantada (49,1x) es 3 veces el PER de hoy (16,4x); la historia es de otro régimen y decide la v2; METODO-VIGENTE.md).</w:t>
      </w:r>
    </w:p>
    <w:p>
      <w:pPr>
        <w:keepNext/>
        <w:spacing w:after="100"/>
      </w:pPr>
      <w:r>
        <w:rPr>
          <w:b/>
          <w:bCs/>
        </w:rPr>
        <w:t xml:space="preserve">Frente al consenso (solo contraste).</w:t>
      </w:r>
    </w:p>
    <w:p>
      <w:pPr>
        <w:spacing w:after="100"/>
      </w:pPr>
      <w:r>
        <w:t xml:space="preserve">Nuestro BPA GAAP de FY2028e (23,10) queda un 2,2 % por debajo del consenso (23,61) y el de FY2027e (20,04) un 1,5 % por debajo (20,34): las ventas casi coinciden (25.599 M frente a 25.535 M) y la diferencia es de margen e impuestos (27 %). La distancia con el objetivo medio de los analistas (406,92) es de múltiplo: la calle paga unas 17 veces el BPA de FY2028e y la regla común, que con la historia de otro régimen elige la v2, se queda en el PER de hoy.</w:t>
      </w:r>
    </w:p>
    <w:p>
      <w:pPr>
        <w:keepNext/>
        <w:spacing w:after="100"/>
      </w:pPr>
      <w:r>
        <w:rPr>
          <w:b/>
          <w:bCs/>
        </w:rPr>
        <w:t xml:space="preserve">Del valor intrínseco al objetivo a 12 meses.</w:t>
      </w:r>
    </w:p>
    <w:p>
      <w:pPr>
        <w:spacing w:after="100"/>
      </w:pPr>
      <w:r>
        <w:t xml:space="preserve">El valor intrínseco (448,17 USD, +36,4 %) queda un 20,6 % por encima del objetivo a 12 meses ponderado (371,57 USD; +14,6 % con el dividendo, base +16,8 %). La distancia es de múltiplo: el valor intrínseco supone que el negocio sigue creciendo al 7 % y lo descuenta al 9,8 %, mientras que la regla a 12 meses, con la historia del PER de otro régimen, solo cuenta con que el BPA crezca al PER de hoy (16,4 veces). Para cerrarla haría falta que el mercado vuelva a pagar más de 20 veces el beneficio, y eso exige una campaña fiscal de 2027 que demuestre que TurboTax deja de perder cuota.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(+11 % de ingresos y BPA GAAP de 1,71-1,75 USD en el 1T) y de QuickBooks Online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proxy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Goodarzi como presidente y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fiscal de 2027 (datos semanales del IRS) y estreno de Credit Karma Tax gratis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TurboTax recupera cuota bajando precio y si el producto gratuito canibaliza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(cierre de la campaña)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trimestre que hundió la acción un 20 %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(7.900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9 %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fiscales de OpenAI, Google o Apple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prueba del riesgo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la declaración de impuestos y la contabilidad básica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217,11 USD, −52 % sobre el valor base y −33,9 %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fiscales propios, TurboTax Live con expertos y QuickBooks como sistema de registro de la pyme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federales de TurboTax por debajo de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de TurboTax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DCF inverso ya solo pide un 1,9 % anual; el bajista lo recoge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con menos precio, según la dirección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TurboTax por debajo del +2 %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 estancado y posible deterioro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Costó 12.000 M; ingresos planos en 1.270-1.290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deterioro hasta FY2026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 con ingresos a la baja como segmento propio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Direct File del IRS, publicidad de «gratis» (FTC) y demandas de accionistas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Direct File está suspendido para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Free File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Direct File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Tesoro al 4,99 %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10,8 %: el DCF baja a 396,92 USD, aún +20,8 %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casi nula y flujo libre del 9,7 %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presidente y consejero delegado en la misma persona desde enero de 2026 y ventas de directivos de 357,7 M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de 13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ventas fuera de planes 10b5-1</w:t>
            </w:r>
          </w:p>
        </w:tc>
      </w:tr>
    </w:tbl>
    <w:p>
      <w:pPr>
        <w:spacing w:after="160" w:before="0"/>
      </w:pPr>
    </w:p>
    <w:p>
      <w:pPr>
        <w:pStyle w:val="Heading2"/>
      </w:pPr>
      <w:r>
        <w:t xml:space="preserve">Pre-mortem</w:t>
      </w:r>
    </w:p>
    <w:p>
      <w:pPr>
        <w:spacing w:after="100"/>
      </w:pPr>
      <w:r>
        <w:t xml:space="preserve">Octubre de 2029: la acción ha caído un 40 %, a unos 197 USD. La historia más probable empieza en la campaña fiscal de 2027: OpenAI y Apple integran la preparación de la declaración en sus asistentes, gratis para la mayoría de los contribuyentes, y TurboTax pierde un 8 % de declaraciones aunque baje precios. En 2028 los asistentes empiezan a llevar también la contabilidad básica de autónomos y micropymes, y QuickBooks Online frena al 5 %. El margen aguanta un tiempo con los recortes de plantilla, pero el mercado deja de ver crecimiento y valora a Intuit como a H&amp;R Block, a 6 veces el EBITDA. El indicador que lo habría anticipado: las declaraciones federales a la baja en 2026 y la admisión de que el precio era el primer motivo de baja.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−34 % en el bajista (217,11 USD); +18 % en el alcista sobre el base (538,41 USD)</w:t>
      </w:r>
    </w:p>
    <w:p>
      <w:pPr>
        <w:spacing w:after="100"/>
      </w:pPr>
      <w:r>
        <w:t xml:space="preserve">La IA toca casi todo el negocio. Amenaza a TurboTax (5.296 M de ingresos en FY2026, un 25 % del grupo [6]), cuyo producto de hágalo usted mismo pueden replicar gratis los asistentes generales: la empresa ya perdió un punto de cuota del IRS por precio y responde regalando la declaración federal con Credit Karma Tax [83, 84]. Es a la vez la palanca de QuickBooks y de los servicios con experto: más del 75 % de los clientes de Intuit Enterprise Suite usan sus agentes cada mes y TurboTax Live ya da más de la mitad de los ingresos de TurboTax [83, 84]. Y abarata su propio coste: el 70 % del código nuevo lo entrega la IA. Señal que avisaría: declaraciones federales de TurboTax cayendo más de un 3 % en la campaña de 2027 o clientes de QuickBooks Online a la baja.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13,29, riesgo bajo (E 1,12; S 8,79; G 3,38)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Los asuntos que mueven las cifras son tres. Primero, la privacidad y la seguridad de los datos: Intuit custodia declaraciones de la renta y datos de crédito de unos 93 millones de clientes, y Credit Karma está bajo una orden de la FTC que exige un programa de seguridad con auditorías bienales hasta 2034 [1]. Segundo, la protección del consumidor en la publicidad y la venta: los 141 M USD pagados a los estados en 2022 y el litigio con la FTC por los productos «gratis» [1]. Tercero, el uso responsable de la IA, sujeto a la Ley de IA de la UE y a leyes estatales en Utah, Colorado y California [1]. El capital humano también pesa: el recorte del 17 % de la plantilla fija en 2026 costará unos 315 M USD [1, 11]. Las emisiones no son materiales en un negocio de software en la nube pública. Morningstar Sustainalytics le da un riesgo ESG bajo, de 13,29, con el componente social (8,79) como el mayor [31].</w:t>
      </w:r>
    </w:p>
    <w:p>
      <w:pPr>
        <w:pStyle w:val="Heading2"/>
      </w:pPr>
      <w:r>
        <w:t xml:space="preserve">Controversias</w:t>
      </w:r>
    </w:p>
    <w:p>
      <w:pPr>
        <w:spacing w:after="100"/>
      </w:pPr>
      <w:r>
        <w:t xml:space="preserve">Litigio con la FTC por la publicidad de TurboTax gratis: orden de 2024 anulada por el Quinto Circuito el 20-mar-2026 y petición de archivo el 31-ago-2026 [1]. Acción colectiva en Ontario (Canadá), certificada el 24-jul-2026 [1]. Dos demandas colectivas de accionistas (10-jul y 17-ago-2026) por declaraciones supuestamente engañosas en 2025-2026 [1]. Intuit no puede estimar la pérdida posible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TurboTax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medio por cliente está dispuesta a ceder TurboTax para recuperar cuota, y qué efecto tendrá en el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negocio fiscal se encoge.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clientes perdidos se fue a soluciones con IA y qué parte a Free File o a gestores?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riesgo es estructural 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Credit Karma Tax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pago de TurboTax pueden pasarse a Credit Karma Tax gratis, y cuánto ingreso por cliente se pierde con ello?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declaración federal gratis puede recuperar cuota a costa del precio medio.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QuickBooks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QuickBooks Online ganó y perdió en FY2026, y con qué ingreso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Mailchimp como segmento propio y se ha valorado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12.000 M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impositivo de caja espera después de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caja de FY2026 está inflado por impuestos bajos.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las recompras al precio actual, con 7.900 M de autorización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este precio retirarían un 9 %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público de $INTU)</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los 30 últimos mensajes (22-27 de octubre), 7 se marcan alcistas y 3 bajistas; dominan los mensajes de operadores a corto plazo que celebran la ruptura de los 340 USD y los que ven el rebote como rotación de los valores de IA hacia el software clásico; algún bajista espera volver a los 240 USD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25-sep y el 27-oct predominan los artículos de compra (PEG de 0,5 veces, debilidad por la IA como oportunidad, recuperación que empieza), pero el último (27-oct) rebaja a mantener tras el rebote: largo, pero no compra a este precio [87].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opiniones entre julio y octubre de 2026: una de venta por el frenazo del crecimiento, los despidos y la amenaza a TurboTax, y una de compra por su dominio en finanzas personales y de pymes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TurboTax (miedo a que la declaración se vuelva gratis)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admite que perdió un punto de cuota en el IRS y que el precio es el primer motivo de baja; la guía de TurboTax para el FY2027 es de +2-3 %.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técnico y rotación hacia el software «odiado»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sube un 22,5 % desde el mínimo del 29-sep sin cambio en las estimaciones de BPA: es múltiplo, no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sobre nuestro BPA de FY2027e es de unas 16 veces frente a medianas históricas de más de 40: barato, pero la historia es de otro régimen.</w:t>
            </w:r>
          </w:p>
        </w:tc>
      </w:tr>
    </w:tbl>
    <w:p>
      <w:pPr>
        <w:spacing w:after="160" w:before="0"/>
      </w:pPr>
    </w:p>
    <w:p>
      <w:pPr>
        <w:spacing w:after="100"/>
      </w:pPr>
      <w:r>
        <w:t xml:space="preserve">El sentimiento ha mejorado con el rebote, pero sigue dividido. En Stocktwits dominan los operadores a corto plazo y el debate es si el rebote es rotación desde los valores de IA hacia el software castigado; en Seeking Alpha la mayoría de los autores es comprador desde septiembre, aunque el último (27-oct) rebaja a mantener por precio [86, 87]. Entre los analistas no hay giro: 20 compras, 12 mantener y 2 ventas, igual que hace dos semanas [53]. No hay euforia ni capitulación que contradiga las cifras; el riesgo que repiten los foros, la IA sobre TurboTax, ya está en el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88 (56 primarias); citas distintas en el texto: 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74 % y los ingresos un 13 %: si hubo una compra cerca del cierre, decláralo en financieros.cambios_perimetro y explícalo. Explicación: El activo creció por la caja de la emisión de deuda y la financiación preparada para Credit Karma (cerrada en dic-2020, en FY2021), no por una compra en FY2020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12,2x a 19,5x según qué comparable se quite (393,22 a 629,61 por acción): la muestra es frágil; explícalo y no le des mucho peso. Explicación: Con Shopify (62,0 veces) y Freshworks (41,8 veces) en la muestra, la mediana es frágil: por eso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(45,9x → 27,4x), Block (13,3x → 8,6x): el salto implica un crecimiento del EBITDA que no cuadra con el de las ventas. ¿EBITDA de proveedores distintos, o un cambio de perímetro? Explicación: BILL y Block salen de márgenes muy bajos y el EBITDA previsto de Block parece cambiar de definición; pesan poco en la mediana [62, 63].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(56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4T26 y guion de la conferencia: no citan el consenso previo; 2) fact sheet del 4T26 y 10-K FY2026: no lo recogen; 3) series XBRL de EDGAR: no contienen estimaciones de analistas (el consenso previo trimestral no tiene fuente gratuita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miembros de Credit Karma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menciona el crecimiento de los miembros que declaran con TurboTax, +50 %); 2) nota de resultados y fact sheet del 4T26: no publican miembros; 3) guion de la conferencia del 4T26: tampoco da la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clientes de pago del ecosistema online en FY2025 (cifra absoluta)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el +3 %; 2) 10-K FY2025: solo el +5 %; 3) guion del 4T26: solo 8,9 millones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guion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Listado de PDF de investors.intuit.com/financial-information (solo el 4T26); 2) listado de investors.intuit.com/financial-information/quarterly-results (sin enlaces a PDF); 3) 8-K de mayo de 2026 en EDGAR: solo la nota de resultados, sin guion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 FY2018-FY2023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reexpresa solo FY2024-FY2025; 2) 10-K FY2025 y FY2023: segmentos antiguos (cuatro) con otra asignación de gastos; 3) fact sheet del 4T26: reexpresado solo desde FY2024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Intuit y H&amp;R Block: solo dan sus unidades, no las de TaxAct, FreeTaxUSA ni Cash App Taxes; 2) estadística del IRS: no desglosa por proveedor de software; 3) IBISWorld y Research and Markets: la cuota por empresa está tras el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calificación MSCI de Intuit: solo descripciones genéricas; 2) ficha de Sustainalytics en su web: sin datos de la empresa sin acceso; 3) ficha de Saxo: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 campaña del IRS: la serie publicada en la web empieza en 2010; 2) 10-K de Intuit del FY2026 y del FY2022: no tratan esa crisis; 3) informes sectoriales: sin serie anterior a 2020 a la vista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de Ashley Still y Anton Hanebrink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propiedad del proxy 2026 (solo NEO y consejeros); 2) Form 4 de 12 meses (Hanebrink solo con entregas de acciones, sin saldo agregado); 3) 10-K FY2026 (sin participaciones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Friedman y McDermott y composición de 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(composición anterior a la junta); 2) 8-K de 20-nov-2025 (sin asignación a comisiones); 3) 10-K FY2026 (remite al proxy de 2027,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Intuit (solo da múltiplos de los ejercicios estimados); 2) Stock Analysis, estadísticas (solo el múltiplo actual; el histórico es de pago); 3) Yahoo Finance (sin series históricas de múltiplos adelantados)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un gráfico sin cifras); 2) Stock Analysis, previsiones (solo el año en curso; el resto es de pago); 3) MarketScreener, página de finanzas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de Mailchimp (2021) y de Divvy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la compra en EDGAR (Intuit, 13-sep-2021; Bill.com, 6-may-2021: no dan ingresos); 2) búsqueda de texto completo de EDGAR en los documentos de Intuit de sep-dic 2021 (10-Q, folletos 424B7 y nota de resultados del 1T FY2022); 3) datos XBRL de Intuit (sin ingresos pro forma de Mailchimp)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https://www.sec.gov/Archives/edgar/data/896878/000089687825000035/intu-20250731.htm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https://www.sec.gov/Archives/edgar/data/896878/000089687823000034/intu-20230731.htm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https://www.sec.gov/Archives/edgar/data/896878/000089687820000148/fy20q410-kdocument.htm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company facts (XBRL de 10-K y 10-Q, FY2016-FY2026)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Fourth Quarter and Full Year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https://www.sec.gov/Archives/edgar/data/896878/000089687826000029/fy26q4earningspressrelease.htm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Earnings Script (conferencia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https://investors.intuit.com/_assets/_1dd06c04c67bf383f19eaab5661c4ac7/intuit/db/946/10378/webcast_transcript/Q4+FY26+Earnings+Script.pdf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https://investors.intuit.com/_assets/_1dd06c04c67bf383f19eaab5661c4ac7/intuit/db/946/10378/fact_sheet/Q4+FY26+Fact+Sheet+External+vf.pdf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4.950% Notes due 2031 y 5.500% Notes due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https://www.sec.gov/Archives/edgar/data/896878/000119312526262087/d35506dfwp.htm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ejercicio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https://www.sec.gov/Archives/edgar/data/896878/000089687822000028/intu-20220731.htm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8-K, anexo 99.02: carta del consejero delegado a la plantilla (20-may-2026)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Third Quarter Fiscal 2026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May 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https://www.irs.gov/newsroom/filing-season-statistics-for-week-ending-may-8-2026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26,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https://www.irs.gov/newsroom/filing-season-statistics-for-week-ending-dec-26-2025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27,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https://www.irs.gov/newsroom/filing-season-statistics-for-week-ending-dec-27-2024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29,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https://www.irs.gov/newsroom/filing-season-statistics-for-week-ending-dec-29-2023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30,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https://www.irs.gov/newsroom/filing-season-statistics-for-week-ending-december-30-2022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https://www.sec.gov/Archives/edgar/data/12659/000001265926000026/hrb-20260630.htm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https://www.sec.gov/Archives/edgar/data/1786352/000162828026058238/bill-20260630.htm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delivers strong FY26 results (comunicado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https://announcements.asx.com.au/asxpdf/20260514/pdf/06zkqzlkq0xnph.pdf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New Zealand Dollar Spot Exchange Rate (DEXUSNZ), abr-2025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 oct-2024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IRS Says Direct File Won't Be Around for 2026 Tax Filing Season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CPA Practice Advisor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https://www.cpapracticeadvisor.com/2025/11/05/irs-says-direct-file-wont-be-around-for-2026-filing-season/172448/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Tax Preparation Services in the US - Market Size (2004-2031)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https://www.ibisworld.com/united-states/market-size/tax-preparation-services/1399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 Global Strategic Business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 (Global Industry Analysts)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https://www.researchandmarkets.com/reports/5030539/accounting-software-global-strategic-business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Market Size, Share &amp; Trends Analysis Report, 2025-2030 (ficha del distribuidor)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https://www.giikorea.co.kr/report/grvi1771624-accounting-software-market-size-share-trends.html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slumps to more than five-year low on slashed TurboTax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https://www.investing.com/news/earnings/intuit-raises-guidance-sees-ai-as-a-clear-net-tailwind-4702183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(INTU), ficha de la acción: ESG Risk Rating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https://www.home.saxo/markets/stocks/intu-xnas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22-ene-2026)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https://www.sec.gov/Archives/edgar/data/896878/000089687825000057/intu-20251126.htm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22-ene-2026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https://www.sec.gov/Archives/edgar/data/896878/000089687826000006/intu-20260122.htm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23-ene-2025 (Items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https://www.sec.gov/Archives/edgar/data/896878/000089687825000003/intu-20250123.htm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18-ene-2024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https://www.sec.gov/Archives/edgar/data/896878/000089687824000003/intu-20240118.htm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nombramiento de A. Friedman y B. McDermott como consejeros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https://www.sec.gov/Archives/edgar/data/896878/000089687825000046/intu-20251120.htm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 Marianna Tessel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https://www.sec.gov/Archives/edgar/data/896878/000089687826000020/intu-20260428.htm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transición de Laura Fennell y nombramiento de Caryl Hilliard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https://www.sec.gov/Archives/edgar/data/896878/000089687825000027/intu-20250612.htm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cancelación de los planes 10b5-1 del fundador y la cúpula y recompras (Item 7.01)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https://www.sec.gov/Archives/edgar/data/896878/000089687826000017/intu-20260316.htm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reestructuración, recorte del 17 % de la plantilla (Item 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https://www.sec.gov/Archives/edgar/data/896878/000089687826000024/intu-20260520.htm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1.750 M USD en bonos senior 2031 y 2036 (Item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https://www.sec.gov/Archives/edgar/data/896878/000119312526267866/d159651d8k.htm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Intuit, 10-oct-2025 a 10-oct-2026 (102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https://www.sec.gov/cgi-bin/browse-edgar?action=getcompany&amp;CIK=0000896878&amp;type=4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FY2020 (25-ago-2020)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https://www.sec.gov/Archives/edgar/data/896878/000089687820000143/fy20q4earningspressrel.htm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 FY2021 (19-nov-2020), con la guía de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https://www.sec.gov/Archives/edgar/data/896878/000089687820000221/fy21q1earningspressrel.htm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FY2021, con la guía de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https://www.sec.gov/Archives/edgar/data/896878/000089687821000205/fy21q4earningspressrelease.htm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FY2022, con la guía de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https://www.sec.gov/Archives/edgar/data/896878/000089687822000025/fy22q4earningspressrelease.htm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FY2023, con la guía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https://www.sec.gov/Archives/edgar/data/896878/000089687823000031/fy23q4earningspressrelease.htm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FY2024, con la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https://www.sec.gov/Archives/edgar/data/896878/000089687824000035/fy24q4earningspressrelease.htm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FY2025, con la guía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https://www.sec.gov/Archives/edgar/data/896878/000089687825000031/fy25q4earningspressrelease.htm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n.º 11) de The Vanguard Group sobre Intuit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https://www.sec.gov/Archives/edgar/data/896878/000010290926001526/primary_doc.xml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INTU, S&amp;P 500 (^GSPC) e iShares Expanded Tech-Software (IGV)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https://finance.yahoo.com/quote/INTU/history/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Yr) y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H&amp;R Block, Paychex, Paycom, BILL, Block, Toast, Shopify, Freshworks y Adobe (cotización, capitalización y cuentas anuales) (precios llevados al cierre del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https://www.marketscreener.com/quote/stock/H-R-BLOCK-INC-12975/finances/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https://www.marketscreener.com/quote/stock/BILL-HOLDINGS-INC-82519082/finances/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Toast,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https://www.marketscreener.com/quote/stock/TOAST-INC-127218834/finances/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Freshworks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https://www.marketscreener.com/quote/stock/FRESHWORKS-INC-127173267/finances/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Credit Karma (Exhibit 99.01,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https://www.sec.gov/Archives/edgar/data/896878/000119312520046491/d802959dex9901.htm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Mailchimp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https://www.sec.gov/Archives/edgar/data/896878/000119312521271682/d226456dex991.htm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to be acquired by Vista Equity Partners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https://www.sec.gov/Archives/edgar/data/1348036/000119312522214160/d295697dex991.htm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Announces Second Quarter 2022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https://www.sec.gov/Archives/edgar/data/1348036/000156459022028315/avlr-ex991_6.htm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ingresos anuales de 2021 (datos XBRL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https://data.sec.gov/api/xbrl/companyconcept/CIK0001348036/us-gaap/RevenueFromContractWithCustomerExcludingAssessedTax.json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Enters into Definitive Agreement to Be Acquired by Thoma Bravo for $8 Billion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https://data.sec.gov/api/xbrl/companyconcept/CIK0001385867/us-gaap/RevenueFromContractWithCustomerExcludingAssessedTax.json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https://data.sec.gov/api/xbrl/companyconcept/CIK0001839439/us-gaap/RevenueFromContractWithCustomerExcludingAssessedTax.json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Definitive Agreement to be Acquired by Thoma Bravo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https://data.sec.gov/api/xbrl/companyconcept/CIK0001725057/us-gaap/RevenueFromContractWithCustomerExcludingAssessedTax.json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to Acquire Divvy, a Leader in Spend Management for SMBs (Exhibit 99.2,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https://www.sec.gov/Archives/edgar/data/1786352/000156459021024959/bill-ex992_84.htm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Stock Price &amp; Overview (noticias y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(NASDAQ:INTU) Shares Climb 6.4% - Here's Why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https://www.marketbeat.com/instant-alerts/price-intuit-nasdaq-intu-shares-climb-64-heres-why-2026-10-15/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AI-Native Revenue Management Platform Sequence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https://www.intuit.com/blog/global-stories/intuit-to-acquire-ai-native-revenue-management-platform-sequence/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revives Credit Karma Tax as free DIY option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https://www.accountingtoday.com/news/intuit-revives-credit-karma-tax-as-free-diy-option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Investor Day 2026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https://stockanalysis.com/stocks/intu/transcripts/612260-investor-day-2026/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H&amp;R Block (HRB) e IGV,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https://finance.yahoo.com/quote/HRB/history/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$INTU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https://api.stocktwits.com/api/2/streams/symbol/INTU.json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y análisis de Intuit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https://seekingalpha.com/api/sa/combined/INTU.xml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https://stockchase.com/INTU-Q</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92,2 %</w:t>
      </w:r>
      <w:r>
        <w:t xml:space="preserve"> · Secciones con menos del 60 % de campos cubiertos: </w:t>
      </w:r>
      <w:r>
        <w:rPr>
          <w:b/>
          <w:bCs/>
        </w:rPr>
        <w:t xml:space="preserve">ninguna</w:t>
      </w:r>
      <w:r>
        <w:t xml:space="preserve"> · Generado el 28 oct 2026.</w:t>
      </w:r>
    </w:p>
    <w:p>
      <w:pPr>
        <w:pStyle w:val="Nota"/>
        <w:spacing w:after="100"/>
      </w:pPr>
      <w:r>
        <w:t xml:space="preserve">Se valora la acción ordinaria del NASDAQ (INTU), en dólares; precio de cierre del martes 27-oct-2026 (328,45 USD): la sesión del 28-oct, fecha de corte, no había abierto al hacer el análisis [54]. Ejercicio a 31 de julio, nombrado por el año en que termina (FY2026 = ago-25 a jul-26). Acciones: 269,4 M diluidas, las del 31-jul-2026 más los derechos potenciales, para casar con la caja del mismo balance [1]. EBITDA en US GAAP, con los pagos en acciones como gasto (9,6 % de las ventas en FY2026); el consenso de MarketScreener los sigue excluyendo y el motor resta un 8,6 % de las ventas (la previsión de la empresa para FY2027) [6, 51]. Desde el 1-ago-2026 el no GAAP de Intuit sí los incluye: la guía de FY2027 no es comparable con las anteriores [6]. Caja = efectivo e inversiones a corto plazo, sin los fondos de clientes; la deuda incluye 970 M de líneas sin recurso que financian préstamos a pymes de QuickBooks Capital [1]. Segmentos: solo los dos actuales (GBS y Consumer) con resultado reexpresado para FY2024-FY2026; los ingresos de FY2018-FY2023 se reconstruyen con las líneas de ingresos de cada 10-K. FY2017 está reexpresado por la ASC 606 en la cuenta, no en el balance. El flujo de caja de FY2026 está inflado por unos impuestos pagados excepcionalmente bajos (281 M frente a 1.408 M en FY2025): el DCF usa un tipo normalizado [1]. Los comparables se llevan del cierre del 9-oct al del 27-oct con la variación de su precio; su consenso de beneficio es el del 10-oct [58, 59, 60, 61, 62, 63, 64, 65, 66, 67]. El análisis parte del informe del 10-oct-2026 (mismo 10-K): se han vuelto a comprobar las cuentas con el XBRL de la SEC, el precio, el consenso, la bolsa, las noticias y los directivos.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 Inc. (INTU)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328,45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682,27)</c:v>
                </c:pt>
                <c:pt idx="1">
                  <c:v>Precio objetivo de los analistas (290,00 – 732,00)</c:v>
                </c:pt>
                <c:pt idx="2">
                  <c:v>Comparables: EV/EBITDA NTM (276,64 – 885,44)</c:v>
                </c:pt>
                <c:pt idx="3">
                  <c:v>Comparables: PER NTM (393,19 – 583,44)</c:v>
                </c:pt>
                <c:pt idx="4">
                  <c:v>Transacciones precedentes (EV/ventas) (523,60 – 778,36)</c:v>
                </c:pt>
                <c:pt idx="5">
                  <c:v>DCF (WACC y g ± 0,5) (406,86 – 521,85)</c:v>
                </c:pt>
                <c:pt idx="6">
                  <c:v>Escenarios (bajista – alcista) (217,11 – 538,41)</c:v>
                </c:pt>
                <c:pt idx="7">
                  <c:v>DCF con la prima implícita del mercado (4,2 %)</c:v>
                </c:pt>
                <c:pt idx="8">
                  <c:v>Precio actual (328,45)</c:v>
                </c:pt>
              </c:strCache>
            </c:strRef>
          </c:cat>
          <c:val>
            <c:numRef>
              <c:f>Hoja1!$B$2:$B$10</c:f>
              <c:numCache>
                <c:formatCode>#,##0</c:formatCode>
                <c:ptCount val="9"/>
                <c:pt idx="0">
                  <c:v>252.84</c:v>
                </c:pt>
                <c:pt idx="1">
                  <c:v>290</c:v>
                </c:pt>
                <c:pt idx="2">
                  <c:v>276.64</c:v>
                </c:pt>
                <c:pt idx="3">
                  <c:v>393.19</c:v>
                </c:pt>
                <c:pt idx="4">
                  <c:v>523.6</c:v>
                </c:pt>
                <c:pt idx="5">
                  <c:v>406.86</c:v>
                </c:pt>
                <c:pt idx="6">
                  <c:v>217.11</c:v>
                </c:pt>
                <c:pt idx="7">
                  <c:v>504.74</c:v>
                </c:pt>
                <c:pt idx="8">
                  <c:v>326.81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682,27)</c:v>
                </c:pt>
                <c:pt idx="1">
                  <c:v>Precio objetivo de los analistas (290,00 – 732,00)</c:v>
                </c:pt>
                <c:pt idx="2">
                  <c:v>Comparables: EV/EBITDA NTM (276,64 – 885,44)</c:v>
                </c:pt>
                <c:pt idx="3">
                  <c:v>Comparables: PER NTM (393,19 – 583,44)</c:v>
                </c:pt>
                <c:pt idx="4">
                  <c:v>Transacciones precedentes (EV/ventas) (523,60 – 778,36)</c:v>
                </c:pt>
                <c:pt idx="5">
                  <c:v>DCF (WACC y g ± 0,5) (406,86 – 521,85)</c:v>
                </c:pt>
                <c:pt idx="6">
                  <c:v>Escenarios (bajista – alcista) (217,11 – 538,41)</c:v>
                </c:pt>
                <c:pt idx="7">
                  <c:v>DCF con la prima implícita del mercado (4,2 %)</c:v>
                </c:pt>
                <c:pt idx="8">
                  <c:v>Precio actual (328,45)</c:v>
                </c:pt>
              </c:strCache>
            </c:strRef>
          </c:cat>
          <c:val>
            <c:numRef>
              <c:f>Hoja1!$C$2:$C$10</c:f>
              <c:numCache>
                <c:formatCode>#,##0</c:formatCode>
                <c:ptCount val="9"/>
                <c:pt idx="0">
                  <c:v>429.42999999999995</c:v>
                </c:pt>
                <c:pt idx="1">
                  <c:v>442</c:v>
                </c:pt>
                <c:pt idx="2">
                  <c:v>608.8000000000001</c:v>
                </c:pt>
                <c:pt idx="3">
                  <c:v>190.25000000000006</c:v>
                </c:pt>
                <c:pt idx="4">
                  <c:v>254.76</c:v>
                </c:pt>
                <c:pt idx="5">
                  <c:v>114.99000000000001</c:v>
                </c:pt>
                <c:pt idx="6">
                  <c:v>321.29999999999995</c:v>
                </c:pt>
                <c:pt idx="7">
                  <c:v>99.39999999999998</c:v>
                </c:pt>
                <c:pt idx="8">
                  <c:v>3.2799999999999727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Global Business Solutions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3061</c:v>
                </c:pt>
                <c:pt idx="1">
                  <c:v>3533</c:v>
                </c:pt>
                <c:pt idx="2">
                  <c:v>4050</c:v>
                </c:pt>
                <c:pt idx="3">
                  <c:v>4688</c:v>
                </c:pt>
                <c:pt idx="4">
                  <c:v>6460</c:v>
                </c:pt>
                <c:pt idx="5">
                  <c:v>8038</c:v>
                </c:pt>
                <c:pt idx="6">
                  <c:v>9533</c:v>
                </c:pt>
                <c:pt idx="7">
                  <c:v>11077</c:v>
                </c:pt>
                <c:pt idx="8">
                  <c:v>12864</c:v>
                </c:pt>
              </c:numCache>
            </c:numRef>
          </c:val>
        </c:ser>
        <c:ser>
          <c:idx val="1"/>
          <c:order val="1"/>
          <c:tx>
            <c:strRef>
              <c:f>Hoja1!$C$1</c:f>
              <c:strCache>
                <c:ptCount val="1"/>
                <c:pt idx="0">
                  <c:v>Consumer</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2964</c:v>
                </c:pt>
                <c:pt idx="1">
                  <c:v>3251</c:v>
                </c:pt>
                <c:pt idx="2">
                  <c:v>3629</c:v>
                </c:pt>
                <c:pt idx="3">
                  <c:v>4945</c:v>
                </c:pt>
                <c:pt idx="4">
                  <c:v>6266</c:v>
                </c:pt>
                <c:pt idx="5">
                  <c:v>6330</c:v>
                </c:pt>
                <c:pt idx="6">
                  <c:v>6752</c:v>
                </c:pt>
                <c:pt idx="7">
                  <c:v>7754</c:v>
                </c:pt>
                <c:pt idx="8">
                  <c:v>8584</c:v>
                </c:pt>
              </c:numCache>
            </c:numRef>
          </c:val>
        </c:ser>
        <c:ser>
          <c:idx val="2"/>
          <c:order val="2"/>
          <c:tx>
            <c:strRef>
              <c:f>Hoja1!$D$1</c:f>
              <c:strCache>
                <c:ptCount val="1"/>
                <c:pt idx="0">
                  <c:v>Costes no asignados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Global Business Solutions</c:v>
                </c:pt>
                <c:pt idx="1">
                  <c:v>Consumer</c:v>
                </c:pt>
                <c:pt idx="2">
                  <c:v>Costes no asignados</c:v>
                </c:pt>
              </c:strCache>
            </c:strRef>
          </c:cat>
          <c:val>
            <c:numRef>
              <c:f>Hoja1!$B$2:$B$4</c:f>
              <c:numCache>
                <c:formatCode>General</c:formatCode>
                <c:ptCount val="3"/>
                <c:pt idx="0">
                  <c:v>60</c:v>
                </c:pt>
                <c:pt idx="1">
                  <c:v>40</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92</c:v>
                </c:pt>
                <c:pt idx="1">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declaraciones individuales autopreparadas presentadas por internet en EE. UU. (año natural, IRS))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72.2</c:v>
                </c:pt>
                <c:pt idx="1">
                  <c:v>67.4</c:v>
                </c:pt>
                <c:pt idx="2">
                  <c:v>66.9</c:v>
                </c:pt>
                <c:pt idx="3">
                  <c:v>65.1</c:v>
                </c:pt>
                <c:pt idx="4">
                  <c:v>66.1</c:v>
                </c:pt>
                <c:pt idx="5">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Intuit</c:v>
                </c:pt>
                <c:pt idx="1">
                  <c:v>H&amp;R Block</c:v>
                </c:pt>
                <c:pt idx="2">
                  <c:v>Xero</c:v>
                </c:pt>
                <c:pt idx="3">
                  <c:v>Sage Group</c:v>
                </c:pt>
                <c:pt idx="4">
                  <c:v>Block</c:v>
                </c:pt>
                <c:pt idx="5">
                  <c:v>Bill Holdings (Bill.com)</c:v>
                </c:pt>
              </c:strCache>
            </c:strRef>
          </c:cat>
          <c:val>
            <c:numRef>
              <c:f>Hoja1!$B$2:$B$7</c:f>
              <c:numCache>
                <c:formatCode>0.0"%"</c:formatCode>
                <c:ptCount val="6"/>
                <c:pt idx="0">
                  <c:v>28.8</c:v>
                </c:pt>
                <c:pt idx="1">
                  <c:v>23</c:v>
                </c:pt>
                <c:pt idx="2">
                  <c:v>11.5</c:v>
                </c:pt>
                <c:pt idx="3">
                  <c:v>21.1</c:v>
                </c:pt>
                <c:pt idx="4">
                  <c:v>7.1</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5196</c:v>
                </c:pt>
                <c:pt idx="1">
                  <c:v>6025</c:v>
                </c:pt>
                <c:pt idx="2">
                  <c:v>6784</c:v>
                </c:pt>
                <c:pt idx="3">
                  <c:v>7679</c:v>
                </c:pt>
                <c:pt idx="4">
                  <c:v>9633</c:v>
                </c:pt>
                <c:pt idx="5">
                  <c:v>12726</c:v>
                </c:pt>
                <c:pt idx="6">
                  <c:v>14368</c:v>
                </c:pt>
                <c:pt idx="7">
                  <c:v>16285</c:v>
                </c:pt>
                <c:pt idx="8">
                  <c:v>18831</c:v>
                </c:pt>
                <c:pt idx="9">
                  <c:v>21448</c:v>
                </c:pt>
                <c:pt idx="10">
                  <c:v>23486</c:v>
                </c:pt>
                <c:pt idx="11">
                  <c:v>25599</c:v>
                </c:pt>
                <c:pt idx="12">
                  <c:v>27775</c:v>
                </c:pt>
                <c:pt idx="13">
                  <c:v>29997</c:v>
                </c:pt>
                <c:pt idx="14">
                  <c:v>32097</c:v>
                </c:pt>
                <c:pt idx="15">
                  <c:v>34023</c:v>
                </c:pt>
                <c:pt idx="16">
                  <c:v>35724</c:v>
                </c:pt>
                <c:pt idx="17">
                  <c:v>37153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1654</c:v>
                </c:pt>
                <c:pt idx="1">
                  <c:v>1813</c:v>
                </c:pt>
                <c:pt idx="2">
                  <c:v>2079</c:v>
                </c:pt>
                <c:pt idx="3">
                  <c:v>2394</c:v>
                </c:pt>
                <c:pt idx="4">
                  <c:v>2863</c:v>
                </c:pt>
                <c:pt idx="5">
                  <c:v>3458</c:v>
                </c:pt>
                <c:pt idx="6">
                  <c:v>3947</c:v>
                </c:pt>
                <c:pt idx="7">
                  <c:v>4642</c:v>
                </c:pt>
                <c:pt idx="8">
                  <c:v>5747</c:v>
                </c:pt>
                <c:pt idx="9">
                  <c:v>7023</c:v>
                </c:pt>
                <c:pt idx="10">
                  <c:v>8337</c:v>
                </c:pt>
                <c:pt idx="11">
                  <c:v>9472</c:v>
                </c:pt>
                <c:pt idx="12">
                  <c:v>10555</c:v>
                </c:pt>
                <c:pt idx="13">
                  <c:v>11549</c:v>
                </c:pt>
                <c:pt idx="14">
                  <c:v>12357</c:v>
                </c:pt>
                <c:pt idx="15">
                  <c:v>13099</c:v>
                </c:pt>
                <c:pt idx="16">
                  <c:v>13754</c:v>
                </c:pt>
                <c:pt idx="17">
                  <c:v>14304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84.4</c:v>
                </c:pt>
                <c:pt idx="1">
                  <c:v>83.8</c:v>
                </c:pt>
                <c:pt idx="2">
                  <c:v>82.8</c:v>
                </c:pt>
                <c:pt idx="3">
                  <c:v>82.1</c:v>
                </c:pt>
                <c:pt idx="4">
                  <c:v>82.5</c:v>
                </c:pt>
                <c:pt idx="5">
                  <c:v>81.1</c:v>
                </c:pt>
                <c:pt idx="6">
                  <c:v>78.1</c:v>
                </c:pt>
                <c:pt idx="7">
                  <c:v>78.7</c:v>
                </c:pt>
                <c:pt idx="8">
                  <c:v>79.6</c:v>
                </c:pt>
                <c:pt idx="9">
                  <c:v>80.2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31.8</c:v>
                </c:pt>
                <c:pt idx="1">
                  <c:v>30.1</c:v>
                </c:pt>
                <c:pt idx="2">
                  <c:v>30.6</c:v>
                </c:pt>
                <c:pt idx="3">
                  <c:v>31.2</c:v>
                </c:pt>
                <c:pt idx="4">
                  <c:v>29.7</c:v>
                </c:pt>
                <c:pt idx="5">
                  <c:v>27.2</c:v>
                </c:pt>
                <c:pt idx="6">
                  <c:v>27.5</c:v>
                </c:pt>
                <c:pt idx="7">
                  <c:v>28.5</c:v>
                </c:pt>
                <c:pt idx="8">
                  <c:v>30.5</c:v>
                </c:pt>
                <c:pt idx="9">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27.3</c:v>
                </c:pt>
                <c:pt idx="1">
                  <c:v>25.9</c:v>
                </c:pt>
                <c:pt idx="2">
                  <c:v>27.3</c:v>
                </c:pt>
                <c:pt idx="3">
                  <c:v>28.3</c:v>
                </c:pt>
                <c:pt idx="4">
                  <c:v>26</c:v>
                </c:pt>
                <c:pt idx="5">
                  <c:v>21.3</c:v>
                </c:pt>
                <c:pt idx="6">
                  <c:v>21.9</c:v>
                </c:pt>
                <c:pt idx="7">
                  <c:v>23.7</c:v>
                </c:pt>
                <c:pt idx="8">
                  <c:v>26.2</c:v>
                </c:pt>
                <c:pt idx="9">
                  <c:v>28.8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c:v>
                </c:pt>
                <c:pt idx="1">
                  <c:v>22.1</c:v>
                </c:pt>
                <c:pt idx="2">
                  <c:v>23</c:v>
                </c:pt>
                <c:pt idx="3">
                  <c:v>23.8</c:v>
                </c:pt>
                <c:pt idx="4">
                  <c:v>21.4</c:v>
                </c:pt>
                <c:pt idx="5">
                  <c:v>16.2</c:v>
                </c:pt>
                <c:pt idx="6">
                  <c:v>16.6</c:v>
                </c:pt>
                <c:pt idx="7">
                  <c:v>18.2</c:v>
                </c:pt>
                <c:pt idx="8">
                  <c:v>20.5</c:v>
                </c:pt>
                <c:pt idx="9">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10.2</c:v>
                </c:pt>
                <c:pt idx="1">
                  <c:v>17</c:v>
                </c:pt>
                <c:pt idx="2">
                  <c:v>15.1</c:v>
                </c:pt>
                <c:pt idx="3">
                  <c:v>20.3</c:v>
                </c:pt>
                <c:pt idx="4">
                  <c:v>18.3</c:v>
                </c:pt>
                <c:pt idx="5">
                  <c:v>17.4</c:v>
                </c:pt>
                <c:pt idx="6">
                  <c:v>10.4</c:v>
                </c:pt>
                <c:pt idx="7">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c:v>
                </c:pt>
                <c:pt idx="1">
                  <c:v>6</c:v>
                </c:pt>
                <c:pt idx="2">
                  <c:v>5</c:v>
                </c:pt>
                <c:pt idx="3">
                  <c:v>7</c:v>
                </c:pt>
                <c:pt idx="4">
                  <c:v>15</c:v>
                </c:pt>
                <c:pt idx="5">
                  <c:v>13</c:v>
                </c:pt>
                <c:pt idx="6">
                  <c:v>10</c:v>
                </c:pt>
                <c:pt idx="7">
                  <c:v>10</c:v>
                </c:pt>
                <c:pt idx="8">
                  <c:v>10</c:v>
                </c:pt>
                <c:pt idx="9">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71</c:v>
                </c:pt>
                <c:pt idx="1">
                  <c:v>66</c:v>
                </c:pt>
                <c:pt idx="2">
                  <c:v>86</c:v>
                </c:pt>
                <c:pt idx="3">
                  <c:v>81</c:v>
                </c:pt>
                <c:pt idx="4">
                  <c:v>135</c:v>
                </c:pt>
                <c:pt idx="5">
                  <c:v>112</c:v>
                </c:pt>
                <c:pt idx="6">
                  <c:v>74</c:v>
                </c:pt>
                <c:pt idx="7">
                  <c:v>76</c:v>
                </c:pt>
                <c:pt idx="8">
                  <c:v>75</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1369</c:v>
                </c:pt>
                <c:pt idx="1">
                  <c:v>1988</c:v>
                </c:pt>
                <c:pt idx="2">
                  <c:v>2169</c:v>
                </c:pt>
                <c:pt idx="3">
                  <c:v>2277</c:v>
                </c:pt>
                <c:pt idx="4">
                  <c:v>3125</c:v>
                </c:pt>
                <c:pt idx="5">
                  <c:v>3660</c:v>
                </c:pt>
                <c:pt idx="6">
                  <c:v>4786</c:v>
                </c:pt>
                <c:pt idx="7">
                  <c:v>4634</c:v>
                </c:pt>
                <c:pt idx="8">
                  <c:v>6083</c:v>
                </c:pt>
                <c:pt idx="9">
                  <c:v>8617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985</c:v>
                </c:pt>
                <c:pt idx="1">
                  <c:v>1329</c:v>
                </c:pt>
                <c:pt idx="2">
                  <c:v>1557</c:v>
                </c:pt>
                <c:pt idx="3">
                  <c:v>1826</c:v>
                </c:pt>
                <c:pt idx="4">
                  <c:v>2062</c:v>
                </c:pt>
                <c:pt idx="5">
                  <c:v>2066</c:v>
                </c:pt>
                <c:pt idx="6">
                  <c:v>2384</c:v>
                </c:pt>
                <c:pt idx="7">
                  <c:v>2963</c:v>
                </c:pt>
                <c:pt idx="8">
                  <c:v>3869</c:v>
                </c:pt>
                <c:pt idx="9">
                  <c:v>4566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94.4</c:v>
                </c:pt>
                <c:pt idx="1">
                  <c:v>101.7</c:v>
                </c:pt>
                <c:pt idx="2">
                  <c:v>102.9</c:v>
                </c:pt>
                <c:pt idx="3">
                  <c:v>126</c:v>
                </c:pt>
                <c:pt idx="4">
                  <c:v>42.6</c:v>
                </c:pt>
                <c:pt idx="5">
                  <c:v>15.7</c:v>
                </c:pt>
                <c:pt idx="6">
                  <c:v>12.6</c:v>
                </c:pt>
                <c:pt idx="7">
                  <c:v>16</c:v>
                </c:pt>
                <c:pt idx="8">
                  <c:v>19</c:v>
                </c:pt>
                <c:pt idx="9">
                  <c:v>23.1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9.8</c:v>
                </c:pt>
                <c:pt idx="1">
                  <c:v>9.8</c:v>
                </c:pt>
                <c:pt idx="2">
                  <c:v>9.8</c:v>
                </c:pt>
                <c:pt idx="3">
                  <c:v>9.8</c:v>
                </c:pt>
                <c:pt idx="4">
                  <c:v>9.8</c:v>
                </c:pt>
                <c:pt idx="5">
                  <c:v>9.8</c:v>
                </c:pt>
                <c:pt idx="6">
                  <c:v>9.8</c:v>
                </c:pt>
                <c:pt idx="7">
                  <c:v>9.8</c:v>
                </c:pt>
                <c:pt idx="8">
                  <c:v>9.8</c:v>
                </c:pt>
                <c:pt idx="9">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72.7</c:v>
                </c:pt>
                <c:pt idx="1">
                  <c:v>63.7</c:v>
                </c:pt>
                <c:pt idx="2">
                  <c:v>47.4</c:v>
                </c:pt>
                <c:pt idx="3">
                  <c:v>41.2</c:v>
                </c:pt>
                <c:pt idx="4">
                  <c:v>27.5</c:v>
                </c:pt>
                <c:pt idx="5">
                  <c:v>15.7</c:v>
                </c:pt>
                <c:pt idx="6">
                  <c:v>14.1</c:v>
                </c:pt>
                <c:pt idx="7">
                  <c:v>16.6</c:v>
                </c:pt>
                <c:pt idx="8">
                  <c:v>20.3</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-0.17</c:v>
                </c:pt>
                <c:pt idx="1">
                  <c:v>-0.7</c:v>
                </c:pt>
                <c:pt idx="2">
                  <c:v>-1.11</c:v>
                </c:pt>
                <c:pt idx="3">
                  <c:v>-1.54</c:v>
                </c:pt>
                <c:pt idx="4">
                  <c:v>-0.64</c:v>
                </c:pt>
                <c:pt idx="5">
                  <c:v>1.05</c:v>
                </c:pt>
                <c:pt idx="6">
                  <c:v>0.62</c:v>
                </c:pt>
                <c:pt idx="7">
                  <c:v>0.42</c:v>
                </c:pt>
                <c:pt idx="8">
                  <c:v>0.25</c:v>
                </c:pt>
                <c:pt idx="9">
                  <c:v>0.07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1250</c:v>
                </c:pt>
                <c:pt idx="1">
                  <c:v>400</c:v>
                </c:pt>
                <c:pt idx="2">
                  <c:v>1100</c:v>
                </c:pt>
                <c:pt idx="3">
                  <c:v>720</c:v>
                </c:pt>
                <c:pt idx="4">
                  <c:v>750</c:v>
                </c:pt>
                <c:pt idx="5">
                  <c:v>3500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363</c:v>
                </c:pt>
                <c:pt idx="2">
                  <c:v>64</c:v>
                </c:pt>
                <c:pt idx="3">
                  <c:v>0</c:v>
                </c:pt>
                <c:pt idx="4">
                  <c:v>3064</c:v>
                </c:pt>
                <c:pt idx="5">
                  <c:v>5682</c:v>
                </c:pt>
                <c:pt idx="6">
                  <c:v>33</c:v>
                </c:pt>
                <c:pt idx="7">
                  <c:v>83</c:v>
                </c:pt>
                <c:pt idx="8">
                  <c:v>184</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353</c:v>
                </c:pt>
                <c:pt idx="1">
                  <c:v>407</c:v>
                </c:pt>
                <c:pt idx="2">
                  <c:v>501</c:v>
                </c:pt>
                <c:pt idx="3">
                  <c:v>561</c:v>
                </c:pt>
                <c:pt idx="4">
                  <c:v>646</c:v>
                </c:pt>
                <c:pt idx="5">
                  <c:v>774</c:v>
                </c:pt>
                <c:pt idx="6">
                  <c:v>889</c:v>
                </c:pt>
                <c:pt idx="7">
                  <c:v>1034</c:v>
                </c:pt>
                <c:pt idx="8">
                  <c:v>1189</c:v>
                </c:pt>
                <c:pt idx="9">
                  <c:v>1347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839</c:v>
                </c:pt>
                <c:pt idx="1">
                  <c:v>272</c:v>
                </c:pt>
                <c:pt idx="2">
                  <c:v>556</c:v>
                </c:pt>
                <c:pt idx="3">
                  <c:v>323</c:v>
                </c:pt>
                <c:pt idx="4">
                  <c:v>1005</c:v>
                </c:pt>
                <c:pt idx="5">
                  <c:v>1861</c:v>
                </c:pt>
                <c:pt idx="6">
                  <c:v>1967</c:v>
                </c:pt>
                <c:pt idx="7">
                  <c:v>1988</c:v>
                </c:pt>
                <c:pt idx="8">
                  <c:v>2772</c:v>
                </c:pt>
                <c:pt idx="9">
                  <c:v>5412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 Inc.</c:v>
                </c:pt>
                <c:pt idx="2">
                  <c:v>Scott D. Cook (fideicomisos)</c:v>
                </c:pt>
                <c:pt idx="3">
                  <c:v>Consejeros y directivos (21 personas)</c:v>
                </c:pt>
                <c:pt idx="4">
                  <c:v>Autocartera</c:v>
                </c:pt>
              </c:strCache>
            </c:strRef>
          </c:cat>
          <c:val>
            <c:numRef>
              <c:f>Hoja1!$B$2:$B$6</c:f>
              <c:numCache>
                <c:formatCode>0.0"%"</c:formatCode>
                <c:ptCount val="5"/>
                <c:pt idx="0">
                  <c:v>10.28</c:v>
                </c:pt>
                <c:pt idx="1">
                  <c:v>8.39</c:v>
                </c:pt>
                <c:pt idx="2">
                  <c:v>2.21</c:v>
                </c:pt>
                <c:pt idx="3">
                  <c:v>2.49</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18.8</c:v>
                </c:pt>
                <c:pt idx="1">
                  <c:v>37.7</c:v>
                </c:pt>
                <c:pt idx="2">
                  <c:v>24.8</c:v>
                </c:pt>
                <c:pt idx="3">
                  <c:v>33.1</c:v>
                </c:pt>
                <c:pt idx="4">
                  <c:v>45</c:v>
                </c:pt>
                <c:pt idx="5">
                  <c:v>69.3</c:v>
                </c:pt>
                <c:pt idx="6">
                  <c:v>-39.5</c:v>
                </c:pt>
                <c:pt idx="7">
                  <c:v>60.6</c:v>
                </c:pt>
                <c:pt idx="8">
                  <c:v>0.6</c:v>
                </c:pt>
                <c:pt idx="9">
                  <c:v>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21.5</c:v>
                </c:pt>
                <c:pt idx="1">
                  <c:v>28.7</c:v>
                </c:pt>
                <c:pt idx="2">
                  <c:v>34.1</c:v>
                </c:pt>
                <c:pt idx="3">
                  <c:v>32.2</c:v>
                </c:pt>
                <c:pt idx="4">
                  <c:v>49.9</c:v>
                </c:pt>
                <c:pt idx="5">
                  <c:v>38.5</c:v>
                </c:pt>
                <c:pt idx="6">
                  <c:v>37.3</c:v>
                </c:pt>
                <c:pt idx="7">
                  <c:v>40</c:v>
                </c:pt>
                <c:pt idx="8">
                  <c:v>38.9</c:v>
                </c:pt>
                <c:pt idx="9">
                  <c:v>12.5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35.7</c:v>
                </c:pt>
                <c:pt idx="1">
                  <c:v>35.7</c:v>
                </c:pt>
                <c:pt idx="2">
                  <c:v>35.7</c:v>
                </c:pt>
                <c:pt idx="3">
                  <c:v>35.7</c:v>
                </c:pt>
                <c:pt idx="4">
                  <c:v>35.7</c:v>
                </c:pt>
                <c:pt idx="5">
                  <c:v>35.7</c:v>
                </c:pt>
                <c:pt idx="6">
                  <c:v>35.7</c:v>
                </c:pt>
                <c:pt idx="7">
                  <c:v>35.7</c:v>
                </c:pt>
                <c:pt idx="8">
                  <c:v>35.7</c:v>
                </c:pt>
                <c:pt idx="9">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Intuit</c:v>
                </c:pt>
                <c:pt idx="1">
                  <c:v>H&amp;R Block</c:v>
                </c:pt>
                <c:pt idx="2">
                  <c:v>Paychex</c:v>
                </c:pt>
                <c:pt idx="3">
                  <c:v>Paycom Software</c:v>
                </c:pt>
                <c:pt idx="4">
                  <c:v>BILL Holdings</c:v>
                </c:pt>
                <c:pt idx="5">
                  <c:v>Block</c:v>
                </c:pt>
                <c:pt idx="6">
                  <c:v>Toast</c:v>
                </c:pt>
                <c:pt idx="7">
                  <c:v>Shopify</c:v>
                </c:pt>
                <c:pt idx="8">
                  <c:v>Freshworks</c:v>
                </c:pt>
                <c:pt idx="9">
                  <c:v>Adobe</c:v>
                </c:pt>
              </c:strCache>
            </c:strRef>
          </c:cat>
          <c:val>
            <c:numRef>
              <c:f>Hoja1!$B$2:$B$11</c:f>
              <c:numCache>
                <c:formatCode>0.0"x"</c:formatCode>
                <c:ptCount val="10"/>
                <c:pt idx="0">
                  <c:v>10.2</c:v>
                </c:pt>
                <c:pt idx="1">
                  <c:v>5.6</c:v>
                </c:pt>
                <c:pt idx="2">
                  <c:v>12.8</c:v>
                </c:pt>
                <c:pt idx="3">
                  <c:v>11.6</c:v>
                </c:pt>
                <c:pt idx="4">
                  <c:v>27.4</c:v>
                </c:pt>
                <c:pt idx="5">
                  <c:v>8.6</c:v>
                </c:pt>
                <c:pt idx="6">
                  <c:v>26.2</c:v>
                </c:pt>
                <c:pt idx="7">
                  <c:v>62</c:v>
                </c:pt>
                <c:pt idx="8">
                  <c:v>41.8</c:v>
                </c:pt>
                <c:pt idx="9">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9.2</c:v>
                </c:pt>
              </c:numCache>
            </c:numRef>
          </c:xVal>
          <c:yVal>
            <c:numRef>
              <c:f>Hoja1!$C$2</c:f>
              <c:numCache>
                <c:formatCode>0.0"x"</c:formatCode>
                <c:ptCount val="1"/>
                <c:pt idx="0">
                  <c:v>10.2</c:v>
                </c:pt>
              </c:numCache>
            </c:numRef>
          </c:yVal>
          <c:smooth val="0"/>
        </c:ser>
        <c:ser>
          <c:idx val="1"/>
          <c:order val="1"/>
          <c:tx>
            <c:strRef>
              <c:f>Hoja1!$A$3</c:f>
              <c:strCache>
                <c:ptCount val="1"/>
                <c:pt idx="0">
                  <c:v>H&amp;R 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5.6</c:v>
                </c:pt>
              </c:numCache>
            </c:numRef>
          </c:yVal>
          <c:smooth val="0"/>
        </c:ser>
        <c:ser>
          <c:idx val="2"/>
          <c:order val="2"/>
          <c:tx>
            <c:strRef>
              <c:f>Hoja1!$A$4</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12.8</c:v>
                </c:pt>
              </c:numCache>
            </c:numRef>
          </c:yVal>
          <c:smooth val="0"/>
        </c:ser>
        <c:ser>
          <c:idx val="3"/>
          <c:order val="3"/>
          <c:tx>
            <c:strRef>
              <c:f>Hoja1!$A$5</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11.6</c:v>
                </c:pt>
              </c:numCache>
            </c:numRef>
          </c:yVal>
          <c:smooth val="0"/>
        </c:ser>
        <c:ser>
          <c:idx val="4"/>
          <c:order val="4"/>
          <c:tx>
            <c:strRef>
              <c:f>Hoja1!$A$6</c:f>
              <c:strCache>
                <c:ptCount val="1"/>
                <c:pt idx="0">
                  <c:v>BILL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13.4</c:v>
                </c:pt>
              </c:numCache>
            </c:numRef>
          </c:xVal>
          <c:yVal>
            <c:numRef>
              <c:f>Hoja1!$C$6</c:f>
              <c:numCache>
                <c:formatCode>0.0"x"</c:formatCode>
                <c:ptCount val="1"/>
                <c:pt idx="0">
                  <c:v>27.4</c:v>
                </c:pt>
              </c:numCache>
            </c:numRef>
          </c:yVal>
          <c:smooth val="0"/>
        </c:ser>
        <c:ser>
          <c:idx val="5"/>
          <c:order val="5"/>
          <c:tx>
            <c:strRef>
              <c:f>Hoja1!$A$7</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8.6</c:v>
                </c:pt>
              </c:numCache>
            </c:numRef>
          </c:yVal>
          <c:smooth val="0"/>
        </c:ser>
        <c:ser>
          <c:idx val="6"/>
          <c:order val="6"/>
          <c:tx>
            <c:strRef>
              <c:f>Hoja1!$A$8</c:f>
              <c:strCache>
                <c:ptCount val="1"/>
                <c:pt idx="0">
                  <c:v>Toast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24.9</c:v>
                </c:pt>
              </c:numCache>
            </c:numRef>
          </c:xVal>
          <c:yVal>
            <c:numRef>
              <c:f>Hoja1!$C$8</c:f>
              <c:numCache>
                <c:formatCode>0.0"x"</c:formatCode>
                <c:ptCount val="1"/>
                <c:pt idx="0">
                  <c:v>26.2</c:v>
                </c:pt>
              </c:numCache>
            </c:numRef>
          </c:yVal>
          <c:smooth val="0"/>
        </c:ser>
        <c:ser>
          <c:idx val="7"/>
          <c:order val="7"/>
          <c:tx>
            <c:strRef>
              <c:f>Hoja1!$A$9</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37.2</c:v>
                </c:pt>
              </c:numCache>
            </c:numRef>
          </c:xVal>
          <c:yVal>
            <c:numRef>
              <c:f>Hoja1!$C$9</c:f>
              <c:numCache>
                <c:formatCode>0.0"x"</c:formatCode>
                <c:ptCount val="1"/>
                <c:pt idx="0">
                  <c:v>62</c:v>
                </c:pt>
              </c:numCache>
            </c:numRef>
          </c:yVal>
          <c:smooth val="0"/>
        </c:ser>
        <c:ser>
          <c:idx val="8"/>
          <c:order val="8"/>
          <c:tx>
            <c:strRef>
              <c:f>Hoja1!$A$10</c:f>
              <c:strCache>
                <c:ptCount val="1"/>
                <c:pt idx="0">
                  <c:v>Freshworks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18.1</c:v>
                </c:pt>
              </c:numCache>
            </c:numRef>
          </c:xVal>
          <c:yVal>
            <c:numRef>
              <c:f>Hoja1!$C$10</c:f>
              <c:numCache>
                <c:formatCode>0.0"x"</c:formatCode>
                <c:ptCount val="1"/>
                <c:pt idx="0">
                  <c:v>41.8</c:v>
                </c:pt>
              </c:numCache>
            </c:numRef>
          </c:yVal>
          <c:smooth val="0"/>
        </c:ser>
        <c:ser>
          <c:idx val="9"/>
          <c:order val="9"/>
          <c:tx>
            <c:strRef>
              <c:f>Hoja1!$A$11</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10.3</c:v>
                </c:pt>
              </c:numCache>
            </c:numRef>
          </c:xVal>
          <c:yVal>
            <c:numRef>
              <c:f>Hoja1!$C$11</c:f>
              <c:numCache>
                <c:formatCode>0.0"x"</c:formatCode>
                <c:ptCount val="1"/>
                <c:pt idx="0">
                  <c:v>8.6</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6381</c:v>
                </c:pt>
                <c:pt idx="1">
                  <c:v>7175</c:v>
                </c:pt>
                <c:pt idx="2">
                  <c:v>7926</c:v>
                </c:pt>
                <c:pt idx="3">
                  <c:v>8603</c:v>
                </c:pt>
                <c:pt idx="4">
                  <c:v>9123</c:v>
                </c:pt>
                <c:pt idx="5">
                  <c:v>9584</c:v>
                </c:pt>
                <c:pt idx="6">
                  <c:v>10052</c:v>
                </c:pt>
                <c:pt idx="7">
                  <c:v>10450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46673</c:v>
                </c:pt>
                <c:pt idx="1">
                  <c:v>76685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328,45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217.11</c:v>
                </c:pt>
                <c:pt idx="1">
                  <c:v>456.04</c:v>
                </c:pt>
                <c:pt idx="2">
                  <c:v>538.41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328,45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682,27)</c:v>
                </c:pt>
                <c:pt idx="1">
                  <c:v>Precio objetivo de los analistas (290,00 – 732,00)</c:v>
                </c:pt>
                <c:pt idx="2">
                  <c:v>Comparables: EV/EBITDA NTM (276,64 – 885,44)</c:v>
                </c:pt>
                <c:pt idx="3">
                  <c:v>Comparables: PER NTM (393,19 – 583,44)</c:v>
                </c:pt>
                <c:pt idx="4">
                  <c:v>Transacciones precedentes (EV/ventas) (523,60 – 778,36)</c:v>
                </c:pt>
                <c:pt idx="5">
                  <c:v>DCF (WACC y g ± 0,5) (406,86 – 521,85)</c:v>
                </c:pt>
                <c:pt idx="6">
                  <c:v>Escenarios (bajista – alcista) (217,11 – 538,41)</c:v>
                </c:pt>
                <c:pt idx="7">
                  <c:v>DCF con la prima implícita del mercado (4,2 %)</c:v>
                </c:pt>
                <c:pt idx="8">
                  <c:v>Precio actual (328,45)</c:v>
                </c:pt>
              </c:strCache>
            </c:strRef>
          </c:cat>
          <c:val>
            <c:numRef>
              <c:f>Hoja1!$B$2:$B$10</c:f>
              <c:numCache>
                <c:formatCode>#,##0</c:formatCode>
                <c:ptCount val="9"/>
                <c:pt idx="0">
                  <c:v>252.84</c:v>
                </c:pt>
                <c:pt idx="1">
                  <c:v>290</c:v>
                </c:pt>
                <c:pt idx="2">
                  <c:v>276.64</c:v>
                </c:pt>
                <c:pt idx="3">
                  <c:v>393.19</c:v>
                </c:pt>
                <c:pt idx="4">
                  <c:v>523.6</c:v>
                </c:pt>
                <c:pt idx="5">
                  <c:v>406.86</c:v>
                </c:pt>
                <c:pt idx="6">
                  <c:v>217.11</c:v>
                </c:pt>
                <c:pt idx="7">
                  <c:v>504.74</c:v>
                </c:pt>
                <c:pt idx="8">
                  <c:v>326.81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682,27)</c:v>
                </c:pt>
                <c:pt idx="1">
                  <c:v>Precio objetivo de los analistas (290,00 – 732,00)</c:v>
                </c:pt>
                <c:pt idx="2">
                  <c:v>Comparables: EV/EBITDA NTM (276,64 – 885,44)</c:v>
                </c:pt>
                <c:pt idx="3">
                  <c:v>Comparables: PER NTM (393,19 – 583,44)</c:v>
                </c:pt>
                <c:pt idx="4">
                  <c:v>Transacciones precedentes (EV/ventas) (523,60 – 778,36)</c:v>
                </c:pt>
                <c:pt idx="5">
                  <c:v>DCF (WACC y g ± 0,5) (406,86 – 521,85)</c:v>
                </c:pt>
                <c:pt idx="6">
                  <c:v>Escenarios (bajista – alcista) (217,11 – 538,41)</c:v>
                </c:pt>
                <c:pt idx="7">
                  <c:v>DCF con la prima implícita del mercado (4,2 %)</c:v>
                </c:pt>
                <c:pt idx="8">
                  <c:v>Precio actual (328,45)</c:v>
                </c:pt>
              </c:strCache>
            </c:strRef>
          </c:cat>
          <c:val>
            <c:numRef>
              <c:f>Hoja1!$C$2:$C$10</c:f>
              <c:numCache>
                <c:formatCode>#,##0</c:formatCode>
                <c:ptCount val="9"/>
                <c:pt idx="0">
                  <c:v>429.42999999999995</c:v>
                </c:pt>
                <c:pt idx="1">
                  <c:v>442</c:v>
                </c:pt>
                <c:pt idx="2">
                  <c:v>608.8000000000001</c:v>
                </c:pt>
                <c:pt idx="3">
                  <c:v>190.25000000000006</c:v>
                </c:pt>
                <c:pt idx="4">
                  <c:v>254.76</c:v>
                </c:pt>
                <c:pt idx="5">
                  <c:v>114.99000000000001</c:v>
                </c:pt>
                <c:pt idx="6">
                  <c:v>321.29999999999995</c:v>
                </c:pt>
                <c:pt idx="7">
                  <c:v>99.39999999999998</c:v>
                </c:pt>
                <c:pt idx="8">
                  <c:v>3.2799999999999727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