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Zoetis Inc.</w:t>
      </w:r>
    </w:p>
    <w:p>
      <w:pPr>
        <w:spacing w:after="60"/>
        <w:rPr>
          <w:color w:val="52514E"/>
          <w:sz w:val="22"/>
          <w:szCs w:val="22"/>
        </w:rPr>
      </w:pPr>
      <w:r>
        <w:rPr>
          <w:color w:val="52514E"/>
          <w:sz w:val="22"/>
          <w:szCs w:val="22"/>
        </w:rPr>
        <w:t xml:space="preserve">ZTS · New York Stock Exchange (NYSE) · ISIN US98978V1035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78,23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80,02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+5,0 % (base +6,6 %)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95,87 USD · mercado 106,74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32.411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Zoetis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ZTS / US98978V1035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Parsippany, Nueva Jersey (EE. UU.) · 1952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www.zoetis.com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78,23 (27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68,77 – 146,11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32.411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40.184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379 M USD/día (5,07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80,02 USD</w:t>
      </w:r>
      <w:r>
        <w:t xml:space="preserve"> frente a 78,23 · Rentabilidad a 12 meses </w:t>
      </w:r>
      <w:r>
        <w:rPr>
          <w:b/>
          <w:bCs/>
        </w:rPr>
        <w:t xml:space="preserve">+5,0 % (base +6,6 %)</w:t>
      </w:r>
      <w:r>
        <w:t xml:space="preserve"> · Valor intrínseco 95,87 USD · con la prima implícita del mercado: 106,74 (+36,4 %) · Alcista / bajista +53,3 % / -22,4 %</w:t>
      </w:r>
    </w:p>
    <w:p>
      <w:pPr>
        <w:spacing w:after="100"/>
      </w:pPr>
      <w:r>
        <w:rPr>
          <w:b/>
        </w:rPr>
        <w:t xml:space="preserve">La recomendación y por qué.</w:t>
      </w:r>
      <w:r>
        <w:t xml:space="preserve"> Mantener, con convicción media. Al precio de 78,23 USD (cierre del 27-oct), el objetivo a 12 meses es de 80,02 USD: rentabilidad ponderada del 5,0 % con dividendo y del 6,6 % en el caso base, muy lejos del 15 % que pide una compra. El valor intrínseco es de 95,87 USD (+22,5 %) y el objetivo medio de los analistas, 88,62 [90]. La distancia es la tesis: Zoetis está barata frente a su caja, pero sin crecimiento el mercado no tiene por qué devolverle el múltiplo en un año. Para quien la tiene, la regla no la sostiene: el filtro de mantener (ponderada ≥ 10 %) solo se cumple por debajo de 74,67 USD. La convicción es media y no alta, como sugieren los criterios del DCF, porque decide el objetivo a 12 meses; la subiría una guía de 2027 con crecimiento orgánico y la bajaría una tercera rebaja de la guía el 5-nov.</w:t>
      </w:r>
    </w:p>
    <w:p>
      <w:pPr>
        <w:spacing w:after="100"/>
      </w:pPr>
      <w:r>
        <w:rPr>
          <w:b/>
        </w:rPr>
        <w:t xml:space="preserve">El negocio.</w:t>
      </w:r>
      <w:r>
        <w:t xml:space="preserve"> Zoetis lidera la salud animal mundial, con un 23,6 % del mercado [1, 35], un margen EBITDA del 42,6 % en 2025 frente al 19,1 % de Elanco [74] y un ROIC del 29,0 % frente a un WACC del 8,32 %. Lo vulnerable son las mascotas de EE. UU.: dermatología −18 %, Simparica −6 % y anticuerpos para la artrosis −18 % en el 2T26, frente a rivales nuevos [19]. Es cuota, no ciclo, y el foso se estrecha; aun así, la calidad sostiene el crecimiento proyectado (sostenibilidad: Sí) porque es modesto: 2,7 % anual, cuota plana y 1-2 % de precio.</w:t>
      </w:r>
    </w:p>
    <w:p>
      <w:pPr>
        <w:spacing w:after="100"/>
      </w:pPr>
      <w:r>
        <w:rPr>
          <w:b/>
        </w:rPr>
        <w:t xml:space="preserve">Finanzas.</w:t>
      </w:r>
      <w:r>
        <w:t xml:space="preserve"> Las ventas crecieron un 7,6 % anual de 2016 a 2025 y caerán un 2,6 % en 2026 según la guía, rebajada dos veces (BPA ajustado de 7,00-7,10 a 6,15-6,25 USD) [9, 10, 11]. La caja sigue intacta: 2.281 M de flujo libre en 2025. La deuda neta ajustada es de 7.773 M (2,0 veces el EBITDA), engordada por recompras con convertibles a unos 125 USD por acción [2, 20].</w:t>
      </w:r>
    </w:p>
    <w:p>
      <w:pPr>
        <w:spacing w:after="100"/>
      </w:pPr>
      <w:r>
        <w:rPr>
          <w:b/>
        </w:rPr>
        <w:t xml:space="preserve">Valoración.</w:t>
      </w:r>
      <w:r>
        <w:t xml:space="preserve"> El DCF da 100,56 USD; sube frente al 7-oct (96,44) por la bajada de la tasa libre al 4,99 %, pese a rebajar el crecimiento de 2027e del 2,5 % al 2,0 % tras otro recorte del consenso [58, 90]. El precio descuenta ventas a la baja un 0,2 % anual hasta 2035, o un margen EBITDA del 34,6 %. A 12 meses, nuestro BPA contable de 2028e es de 5,98 USD (un 8,7 % bajo el consenso, por intereses y partidas que el consenso excluye) y la regla común aplica la v2: Zoetis cotiza a 13,6x frente a una mediana adelantada de 28,9x, y el método la trata como desrateada, sin suponer que el múltiplo vuelve. Con la v3 sin ese filtro saldría un 15,1 %: es la variante que haría frágil la lectura.</w:t>
      </w:r>
    </w:p>
    <w:p>
      <w:pPr>
        <w:spacing w:after="100"/>
      </w:pPr>
      <w:r>
        <w:rPr>
          <w:b/>
        </w:rPr>
        <w:t xml:space="preserve">Riesgos y catalizadores.</w:t>
      </w:r>
      <w:r>
        <w:t xml:space="preserve"> Un punto menos de crecimiento anual resta un 6,8 % del valor; el bajista deja el objetivo a 12 meses en 56,03 USD (−25,7 %). Con un BPA un 10 % peor, la ponderada pasa a −5,2 %. El catalizador es el 3T26 del 5-nov y la guía de 2027 en febrero. El rebote del 13,2 % desde el mínimo de octubre no tiene causa en la empresa [91, 92]; los foros están divididos y apoyados en Michael Burry, sin dato nuevo.</w:t>
      </w:r>
    </w:p>
    <w:p>
      <w:pPr>
        <w:spacing w:after="100"/>
      </w:pPr>
      <w:r>
        <w:rPr>
          <w:b/>
        </w:rPr>
        <w:t xml:space="preserve">Qué cambiaría la decisión.</w:t>
      </w:r>
      <w:r>
        <w:t xml:space="preserve"> Precio de venta para quien la tiene: por encima de 74,67 USD no pasa el filtro de mantener (hoy, 78,23); la banda Vender de la regla (ponderada ≤ −10 %) empieza en 91,24. Compraríamos por debajo de 71,40 según la regla, y como compra robusta (nivel A), por debajo de 64,49. Revisaríamos al alza si el 3T26 muestra la dermatología de EE. UU. estabilizada y la guía de 2027 crece más del 3 %; a la baja, con una tercera rebaja de la guía.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la tesis del valor intrínseco es a varios años · Objetivo a 12 meses: </w:t>
      </w:r>
      <w:r>
        <w:rPr>
          <w:b/>
          <w:bCs/>
        </w:rPr>
        <w:t xml:space="preserve">80,02 USD</w:t>
      </w:r>
      <w:r>
        <w:t xml:space="preserve"> (rentabilidad +5,0 % (base +6,6 %)) · Valor intrínseco: 95,87 USD (+22,5 % sobre 78,23) · con la prima implícita del mercado: 106,74 (+36,4 %)</w:t>
      </w:r>
    </w:p>
    <w:p>
      <w:pPr>
        <w:spacing w:after="100"/>
      </w:pPr>
      <w:r>
        <w:t xml:space="preserve">Zoetis es el líder mundial de la salud animal: 9.467 M USD de ventas en 2025, el 70 % en mascotas, un margen EBITDA del 42,6 % y un ROIC del 29,0 % [1]. Su valor viene de categorías que creó y domina: dermatología (Apoquel y Cytopoint), antiparasitarios (Simparica Trio) y anticuerpos para el dolor (Librela y Solensia), con poca inversión fija y una conversión del 86 % del beneficio en flujo libre en 2016-2025.</w:t>
      </w:r>
    </w:p>
    <w:p>
      <w:pPr>
        <w:spacing w:after="100"/>
      </w:pPr>
      <w:r>
        <w:t xml:space="preserve">El precio, 78,23 USD, es un 47 % inferior al máximo de 52 semanas y descuenta estancamiento: ventas a la baja un 0,2 % al año hasta 2035, o un margen EBITDA del 34,6 %. La acción cotiza a 10,8x el EBITDA y a 13,1x el beneficio contable de los próximos 12 meses, por debajo de la mediana de sus comparables (11,4x y 15,5x) con el doble de margen.</w:t>
      </w:r>
    </w:p>
    <w:p>
      <w:pPr>
        <w:spacing w:after="100"/>
      </w:pPr>
      <w:r>
        <w:t xml:space="preserve">El mercado acierta en que 2026 rompe la tesis de crecimiento: tres franquicias pierden cuota a la vez, la guía de BPA cae un 12 % y el consenso de 2027 sigue bajando [9, 19, 90]. Se equivoca, a nuestro juicio, al extrapolarlo a diez años: internacional y la ganadería crecen y el caso base vuelve al 3-4 % desde 2028. Pero para invertir hay que creer además que el mercado volverá a pagar un múltiplo mayor en 12 meses, y sin una guía de 2027 con crecimiento no hay catalizador: por eso el valor intrínseco (+22,5 %) no se convierte en un objetivo a 12 meses atractivo (+5,0 %).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 × 4,83 = 56,03 · 13,6x × 5,98 = 81,33 · 17,7x × 6,37 = 112,75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(28,9x) es 2,1 veces el PER de hoy (13,6x);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88,62 (nuestro base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 / -22,4 %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8,3 %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frente a 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71,40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71,40 y 91,24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91,24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Para quien la tiene, precio de venta: por encima de 74,67 USD no pasa el filtro de mantener (hoy cotiza a 78,23); la banda Vender de la regla a 12 meses (ponderada ≤ −10 %) empieza en 91,24.</w:t>
      </w:r>
    </w:p>
    <w:p>
      <w:pPr>
        <w:pStyle w:val="ListParagraph"/>
        <w:numPr>
          <w:ilvl w:val="0"/>
          <w:numId w:val="2"/>
        </w:numPr>
        <w:spacing w:after="60"/>
      </w:pPr>
      <w:r>
        <w:t xml:space="preserve">Compra: por debajo de 71,40 USD según la regla; compra robusta (nivel A) por debajo de 64,49 y nivel B1 por debajo de 67,42.</w:t>
      </w:r>
    </w:p>
    <w:p>
      <w:pPr>
        <w:pStyle w:val="ListParagraph"/>
        <w:numPr>
          <w:ilvl w:val="0"/>
          <w:numId w:val="2"/>
        </w:numPr>
        <w:spacing w:after="60"/>
      </w:pPr>
      <w:r>
        <w:t xml:space="preserve">Una tercera rebaja de la guía de 2026 el 5-nov-2026: el BPA bajaría hacia el bajista (con un BPA un 10 % peor, ponderada de −5,2 %).</w:t>
      </w:r>
    </w:p>
    <w:p>
      <w:pPr>
        <w:pStyle w:val="ListParagraph"/>
        <w:numPr>
          <w:ilvl w:val="0"/>
          <w:numId w:val="2"/>
        </w:numPr>
        <w:spacing w:after="60"/>
      </w:pPr>
      <w:r>
        <w:t xml:space="preserve">Guía de 2027 con crecimiento orgánico de más del 3 % y dermatología de EE. UU. estabilizada: dejaríamos de tratarla como desrateada (la v3 daría un 15,1 %).</w:t>
      </w:r>
    </w:p>
    <w:p>
      <w:pPr>
        <w:pStyle w:val="ListParagraph"/>
        <w:numPr>
          <w:ilvl w:val="0"/>
          <w:numId w:val="2"/>
        </w:numPr>
        <w:spacing w:after="60"/>
      </w:pPr>
      <w:r>
        <w:t xml:space="preserve">Margen bruto ajustado por debajo del 70 % (guía de 2026: 71 %): un punto de margen EBITDA vale un 3,5 % del valor.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pérdida de cuota de 2026 en dermatología, antiparasitarios y dolor es el principio de una erosión larga, y que los vencimientos de Apoquel (2030) y Simparica Trio (2032) la rematan: ventas a la baja un 0,2 % al año hasta 2035 con nuestro margen.</w:t>
      </w:r>
    </w:p>
    <w:p>
      <w:pPr>
        <w:keepNext/>
        <w:spacing w:after="100"/>
      </w:pPr>
      <w:r>
        <w:rPr>
          <w:b/>
          <w:bCs/>
        </w:rPr>
        <w:t xml:space="preserve">Lo que creemos nosotros.</w:t>
      </w:r>
    </w:p>
    <w:p>
      <w:pPr>
        <w:spacing w:after="100"/>
      </w:pPr>
      <w:r>
        <w:t xml:space="preserve">Que 2026 es un escalón: la entrada de tres competidores en un año baja el precio neto y la cuota de una vez, pero el mercado crece, internacional y la ganadería compensan, y desde 2027 Zoetis vuelve a crecer al 2-4 % con un margen del 40-41 %, como espera el consenso [58]. En lo que no discrepamos es en el plazo: el múltiplo no volverá en 12 meses sin pruebas.</w:t>
      </w:r>
    </w:p>
    <w:p>
      <w:pPr>
        <w:keepNext/>
        <w:spacing w:after="100"/>
      </w:pPr>
      <w:r>
        <w:rPr>
          <w:b/>
          <w:bCs/>
        </w:rPr>
        <w:t xml:space="preserve">Por qué podemos tener razón.</w:t>
      </w:r>
    </w:p>
    <w:p>
      <w:pPr>
        <w:spacing w:after="100"/>
      </w:pPr>
      <w:r>
        <w:t xml:space="preserve">El hundimiento es de EE. UU. (−7 % en el 2T26) y no del grupo (−1 % orgánico) [9]; Zoetis ya pasó por pérdidas de exclusividad (Draxxin, Rimadyl) sin dejar de crecer. Pero el consenso sigue recortando (BPA ajustado de 2027 −12,9 % en 90 días) [90] y los analistas pasan a neutral: la prueba llegará con el 3T26 y la guía de 2027.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8,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estancamiento</w:t>
      </w:r>
      <w:r>
        <w:t xml:space="preserve">: el DCF inverso pide ventas a la baja un 0,2 % anual hasta 2035; las ventas no cayeron ningún año de 2016 a 2025.</w:t>
      </w:r>
    </w:p>
    <w:p>
      <w:pPr>
        <w:pStyle w:val="ListParagraph"/>
        <w:numPr>
          <w:ilvl w:val="0"/>
          <w:numId w:val="2"/>
        </w:numPr>
        <w:spacing w:after="60"/>
      </w:pPr>
      <w:r>
        <w:rPr>
          <w:b/>
        </w:rPr>
        <w:t xml:space="preserve">Rentabilidad intacta</w:t>
      </w:r>
      <w:r>
        <w:t xml:space="preserve">: ROIC del 29,0 % frente a un WACC del 8,32 % y margen EBITDA del 42,6 % en 2025, más del doble que Elanco (19,1 %) [74].</w:t>
      </w:r>
    </w:p>
    <w:p>
      <w:pPr>
        <w:pStyle w:val="ListParagraph"/>
        <w:numPr>
          <w:ilvl w:val="0"/>
          <w:numId w:val="2"/>
        </w:numPr>
        <w:spacing w:after="60"/>
      </w:pPr>
      <w:r>
        <w:rPr>
          <w:b/>
        </w:rPr>
        <w:t xml:space="preserve">Caja</w:t>
      </w:r>
      <w:r>
        <w:t xml:space="preserve">: 2.281 M de flujo libre en 2025, una rentabilidad por flujo libre del 7,1 % sobre la capitalización.</w:t>
      </w:r>
    </w:p>
    <w:p>
      <w:pPr>
        <w:pStyle w:val="ListParagraph"/>
        <w:numPr>
          <w:ilvl w:val="0"/>
          <w:numId w:val="2"/>
        </w:numPr>
        <w:spacing w:after="60"/>
      </w:pPr>
      <w:r>
        <w:rPr>
          <w:b/>
        </w:rPr>
        <w:t xml:space="preserve">Diversificación que compensa</w:t>
      </w:r>
      <w:r>
        <w:t xml:space="preserve">: internacional +8 % y ganadería +11 % orgánico en el 1S26 frente a −11 % de las mascotas de EE. UU. [9].</w:t>
      </w:r>
    </w:p>
    <w:p>
      <w:pPr>
        <w:pStyle w:val="ListParagraph"/>
        <w:numPr>
          <w:ilvl w:val="0"/>
          <w:numId w:val="2"/>
        </w:numPr>
        <w:spacing w:after="60"/>
      </w:pPr>
      <w:r>
        <w:rPr>
          <w:b/>
        </w:rPr>
        <w:t xml:space="preserve">Múltiplo</w:t>
      </w:r>
      <w:r>
        <w:t xml:space="preserve">: 12,8x el beneficio de los últimos 12 meses, un 64 % por debajo de su media de diez años.</w:t>
      </w:r>
    </w:p>
    <w:p>
      <w:pPr>
        <w:pStyle w:val="Heading2"/>
      </w:pPr>
      <w:r>
        <w:t xml:space="preserve">En contra</w:t>
      </w:r>
    </w:p>
    <w:p>
      <w:pPr>
        <w:pStyle w:val="ListParagraph"/>
        <w:numPr>
          <w:ilvl w:val="0"/>
          <w:numId w:val="2"/>
        </w:numPr>
        <w:spacing w:after="60"/>
      </w:pPr>
      <w:r>
        <w:rPr>
          <w:b/>
        </w:rPr>
        <w:t xml:space="preserve">Sin rentabilidad a 12 meses</w:t>
      </w:r>
      <w:r>
        <w:t xml:space="preserve">: objetivo de 80,02 USD, un 5,0 % con dividendo; no pasa ni el filtro de mantener (10 %).</w:t>
      </w:r>
    </w:p>
    <w:p>
      <w:pPr>
        <w:pStyle w:val="ListParagraph"/>
        <w:numPr>
          <w:ilvl w:val="0"/>
          <w:numId w:val="2"/>
        </w:numPr>
        <w:spacing w:after="60"/>
      </w:pPr>
      <w:r>
        <w:rPr>
          <w:b/>
        </w:rPr>
        <w:t xml:space="preserve">Cuota en caída</w:t>
      </w:r>
      <w:r>
        <w:t xml:space="preserve">: dermatología −18 %, Simparica −6 % y dolor −18 % en EE. UU. en el 2T26, frente a rivales que crecen [19, 23].</w:t>
      </w:r>
    </w:p>
    <w:p>
      <w:pPr>
        <w:pStyle w:val="ListParagraph"/>
        <w:numPr>
          <w:ilvl w:val="0"/>
          <w:numId w:val="2"/>
        </w:numPr>
        <w:spacing w:after="60"/>
      </w:pPr>
      <w:r>
        <w:rPr>
          <w:b/>
        </w:rPr>
        <w:t xml:space="preserve">Consenso a la baja</w:t>
      </w:r>
      <w:r>
        <w:t xml:space="preserve">: BPA ajustado de 2027 de 7,39 a 6,44 USD en 90 días; 5 compras y 11 mantener [90].</w:t>
      </w:r>
    </w:p>
    <w:p>
      <w:pPr>
        <w:pStyle w:val="ListParagraph"/>
        <w:numPr>
          <w:ilvl w:val="0"/>
          <w:numId w:val="2"/>
        </w:numPr>
        <w:spacing w:after="60"/>
      </w:pPr>
      <w:r>
        <w:rPr>
          <w:b/>
        </w:rPr>
        <w:t xml:space="preserve">Patentes</w:t>
      </w:r>
      <w:r>
        <w:t xml:space="preserve">: Apoquel vence en 2030 y Simparica Trio en 2032 en EE. UU., dentro de la proyección [36, 37].</w:t>
      </w:r>
    </w:p>
    <w:p>
      <w:pPr>
        <w:pStyle w:val="ListParagraph"/>
        <w:numPr>
          <w:ilvl w:val="0"/>
          <w:numId w:val="2"/>
        </w:numPr>
        <w:spacing w:after="60"/>
      </w:pPr>
      <w:r>
        <w:rPr>
          <w:b/>
        </w:rPr>
        <w:t xml:space="preserve">Recompras con deuda</w:t>
      </w:r>
      <w:r>
        <w:t xml:space="preserve">: 1.535 M a unos 125 USD por acción con convertibles; deuda neta ajustada de 7.773 M [2].</w:t>
      </w:r>
    </w:p>
    <w:p>
      <w:pPr>
        <w:pStyle w:val="Heading2"/>
      </w:pPr>
      <w:r>
        <w:t xml:space="preserve">Qué tiene que pasar para que la tesis funcione</w:t>
      </w:r>
    </w:p>
    <w:p>
      <w:pPr>
        <w:spacing w:after="100"/>
      </w:pPr>
      <w:r>
        <w:t xml:space="preserve">La tesis depende de que la cuota de Zoetis en las mascotas de EE. UU. toque suelo entre el 3T26 y el 1T27 y de que la guía de 2027 prevea crecimiento. La señal de que no se cumple sería que la dermatología de EE. UU. siga cayendo más de un 15 % interanual en el 3T26 y que la guía de 2027 no prevea crecimiento orgánico; con eso, el caso relevante sería el bajista (56,03 USD a 12 meses).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franquicia más atacada (Zenrelia, Befrena, Numelvi).</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en EE. UU.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 [19]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Credelio Quattro y NexGard convierten el antiparasitario en un producto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+2,0 %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71 % (guía de 2026)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los descuentos para defender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 de BPA ajustado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USD [90]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6,00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BPA contable de 2027e (5,76) ya va por debajo; más recortes acercarían el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 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12,8x / 13,1x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Zoetis nace de la división de salud animal de Pfizer, con una herencia de casi 75 años [1]. Se constituyó en Delaware en julio de 2012, cotiza en la NYSE desde el 1 de febrero de 2013 y quedó separada del todo de Pfizer con la oferta de canje cerrada el 24 de junio de 2013 [7]. El perímetro actual se formó por compras: Pharmacia, Fort Dodge (2009), KAH (2011), activos de Abbott Animal Health y Pharmaq (2015) y Abaxis (2018), que la llevó a los diagnósticos [7]. Kristin Peck es consejera delegada desde enero de 2020 [7]. En 2024 vendió los aditivos medicados para pienso a Phibro por 299 M USD [1] y giró aún más hacia mascotas, que ya son el 70 % de los ingresos de 2025 [1]. En 2026 la caída de las mascotas en EE. UU. trajo dos rebajas de la guía y un nuevo director financiero y de operaciones [9, 10,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 compra Fort Dodge Animal Health, que hoy forma parte de Zoetis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(1 de febrero) y separación total de Pfizer con la oferta de canje del 24 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Apoquel, el primer inhibidor de JAK veterinario; hoy es la segunda línea de producto, con el 12 % de los ingresos de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Pharmaq (noviembre), líder en vacunas para acuicultura, y de activos de Abbott Animal Health (febrero)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Simparica en EE. UU. y licencia de Cytopoint, el primer anticuerpo monoclonal canino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Abaxis (julio): entrada en los diagnósticos en la clínica con Vetscan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Peck, consejera delegada (enero) [7]. Simparica Trio llega a EE. UU. y Librela se aprueba en la UE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Librela se aprueba en EE. UU. (5 de mayo) [32]. Compras de PetMedix y adivo, dos biotecnológicas de anticuerpos para mascotas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publica una carta a veterinarios sobre eventos adversos neurológicos con Librela (diciembre) [32]. Venta de los aditivos medicados a Phibro por 299 M USD (octubre)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la UE y Canadá de Lenivia y Portela, los anticuerpos de dolor articular de tres meses [1]; Elanco gana cuota con Zenrelia y Credelio Quattro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mascotas en EE. UU. caen un 11 % en el 1T y el 2T; la guía orgánica de 2026 pasa de +3/+5 % a −3/−1 % [9, 10, 11]. Demanda colectiva de accionistas por Librela, Simparica Trio, Apoquel y Cytopoint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Zoetis es la mayor empresa de salud animal del mundo por ingresos [1]. Descubre, fabrica y vende medicamentos, vacunas y diagnósticos para ocho especies: perros, gatos y caballos, y vacuno, porcino, aves, peces y ovino [1]. Ingresó 9.467 M USD en 2025: el 70 % en animales de compañía y el 29 % en ganadería [1]. Por categorías, antiparasitarios (2.341 M), vacunas (1.959 M), dermatología (1.754 M), antiinfecciosos (1.036 M), dolor y sedación (840 M) y diagnósticos (434 M) [1]. Tiene unas 300 líneas de producto, pero las cinco primeras (Simparica, Apoquel, Cytopoint, Librela y la línea de ceftiofur) suman el 42 % de los ingresos y las diez primeras, el 57 % [1]. Vende directamente en unos 45 países y en más de 100 en total, con unos 3.900 comerciales [1]. Fabrica en 21 plantas propias y con más de 90 fabricantes externos [1]. EE. UU. es el 54 % de las ventas y allí el 83 % es de mascotas [1].</w:t>
      </w:r>
    </w:p>
    <w:p>
      <w:pPr>
        <w:pStyle w:val="Heading2"/>
      </w:pPr>
      <w:r>
        <w:t xml:space="preserve">Cómo gana dinero</w:t>
      </w:r>
    </w:p>
    <w:p>
      <w:pPr>
        <w:spacing w:after="100"/>
      </w:pPr>
      <w:r>
        <w:t xml:space="preserve">Vende sobre todo con receta veterinaria: a distribuidores o al veterinario, que revende al dueño de la mascota o al ganadero [1]. El dueño paga de su bolsillo, sin seguro ni reembolso público, y por eso la marca y la recomendación del veterinario pesan más que en la farmacia humana [1]. El margen bruto es alto, con un coste de ventas del 28,2 % de los ingresos en 2025, y el margen EBIT fue del 37,5 % (estimación propia: 3.546 M de 9.467 M) [1]. El margen depende del precio y de la mezcla: los productos nuevos de mascotas (anticuerpos monoclonales, combinaciones antiparasitarias) son los más rentables. Los antiparasitarios tienen estacionalidad de primavera y verano en el hemisferio norte. La parte recurrente es alta: Librela, Solensia y Cytopoint se inyectan cada mes o cada pocas semanas y los antiparasitarios se dan cada mes [1]. El riesgo es que 2026 demuestra que esa recurrencia cae con las visitas al veterinario [9,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Fabricación para terceros y salud humana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es un distribuidor veterinario de EE. UU.: el 16 % de los ingresos de 2025, frente al 14 % en 2024 y el 15 % en 2023 [1]. El resto se reparte entre miles de clínicas, distribuidores, cadenas, comercio electrónico y ganaderos [1]. El poder de precios se había demostrado hasta 2025: la empresa subía precios por encima de la inflación porque, según fuentes sectoriales, el dueño recorta antes en ocio y ropa que en la salud de su mascota [1]. En 2026 se agrieta. La dirección habla de dueños sensibles al precio, de menos visitas y de menos demanda de productos premium [10]. Las ventas de mascotas en EE. UU. cayeron un 11,2 % en el primer semestre (1.909 M frente a 2.149 M) [2], mientras Elanco crecía un 12 % en mascotas en el 2T26 con precio y volumen [23]. Los genéricos de Cerenia y Convenia ya restan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animales de compañía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69,6 % de las ventas de 2025; en el 1S26 cae un 3 % (EE. UU. −11 %)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ganadería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por la venta del MFA (2.890 M en 2023, plano en 2024); en el 1S26 sube un 14 % (vacuna aviar y vacuno en EE. UU.) [1, 4,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Dermatología clave (Apoquel y Cytopoint),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347 M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395 M (−16 %)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251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1.700 M (+6 % operativo; EE. UU. 1.100 M, +4 %). Nuevo competidor en EE. UU. desde el 2T26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Franquicia Simparica (Simparica y Simparica Trio),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385 M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442 M (plano)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308 M (−6 %); internacional 134 M (+19 %)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sumó 1.500 M (+12 % operativo); Simparica Trio superó 1.000 M en EE. UU.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Anticuerpos para el dolor por artrosis (Librela, Solensia, Lenivia, Portela),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140 M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147 M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2T26: 51 M (−18 %)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568 M (−3 % operativo); Librela EE. UU. 169 M (−16 %) e internacional 254 M (+2 %) [17,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de animales de compañía,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113 M (+10 %)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118 M (+12 %)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total de 2025: 434 M (386 M en 2024) [1, 18,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por categoría: antiparasitarios / dermatología / dolor y sedación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 / 1.655 / 851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2.341 / 1.754 / 840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 +6,0 %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cinco mayores líneas (Simparica, Apoquel, Cytopoint, Librela y ceftiofur) son el 42 % de las ventas; las diez mayores, el 57 %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salud animal mundial: medicamentos, vacunas y diagnósticos veterinarios para mascotas y ganado. Uso dos fuentes. IMARC lo cifra en 40.100 M USD en 2025, con aditivos medicados y diagnósticos dentro [35]. HealthforAnimals suma 38.600 M USD de ingresos de las 20 primeras empresas en 2024, con datos de S&amp;P Global [34]. Las dos cuadran en tamaño. Contraste propio por abajo: las cuatro grandes de medicamentos y vacunas (Zoetis 9.467 M, Merck 6.354 M, Boehringer unos 5.509 M y Elanco 4.715 M USD) suman 26.045 M, el 65 % de la cifra de IMARC [1, 21, 25, 28]. Ojo con el reparto: IMARC da solo el 37,7 % a mascotas [35], y no encaja con las cuentas de las grandes (Zoetis 70 %, Elanco 49 %, Merck 39 %) [1, 21, 25]; probablemente infravalora mascotas. La serie toma 2025 de IMARC y proyecta con su crecimiento previsto (estimación).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40.100 M USD en 2025 [35]; las 20 primeras empresas facturaron 38.600 M USD en 2024 [34]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salud de las mascotas (humanización y vida más larga)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mascotas de Zoetis pasaron de 5.576 M USD en 2023 a 6.587 M en 2025 (+18 %) [1]. En EE. UU., el gasto en diagnóstico por clínica subió un 6 % en 2025, frente al 2 % de los ingresos totales de la clínica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al veterinario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visitas clínicas en las mismas clínicas de EE. UU. cayeron un 2 % en 2025 y IDEXX prevé una caída parecida en 2026, por falta de capacidad de las clínicas y por la economía [27]. Zoetis atribuye a menos visitas y a la sensibilidad al precio la caída del 11 % de sus ventas de mascotas en EE. UU. en el 1T26 y el 2T26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Innovación biológica: anticuerpos monoclonales y combinaciones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dermatología de Zoetis pasó de 1.427 M USD en 2023 a 1.754 M en 2025 y dolor y sedación, de 602 M a 840 M [1]. Elanco ingresó 892 M USD por productos nuevos en 2025 y espera 1.250 M en 2026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proteína animal y brotes de enfermedades (gusano barrenador, gripe aviar)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de Zoetis creció un 12,3 % en el 2T26 (731 M frente a 651 M USD) y el vacuno un 20,7 %, por más suministro y por la demanda ante el brote de gusano barrenador [2]. La ganadería de Merck creció un 13 %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tras la pérdida de exclusividad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2021 las ventas de Draxxin en EE. UU. han caído un 66 % y las de Rimadyl masticable, un 39 % [1]. En 2026 los genéricos de Cerenia y Convenia restan a las ventas de EE. UU.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los antibióticos en ganadería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ingresó 713 M USD por antibacterianos para ganado en 2025, el 7,5 % de sus ventas. EE. UU., la UE, el Reino Unido, China y Vietnam han regulado su uso, y la receta electrónica de Italia ya redujo la demanda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con carteras parecidas y lanzamientos directos contra las franquicias de Zoetis. En el 2T26 las ventas de mascotas de Elanco subieron un 12 % y las de Merck un 7 %, mientras las de Zoetis en EE. UU. caían un 11 % [9, 23, 26]. Zenrelia ganó 9 puntos de cuota de inhibidores de JAK en EE. UU. en un año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distribuidor pesa el 16 % de las ventas de Zoetis [1]. Prescribe el veterinario, pero paga el dueño de su bolsillo, y en 2026 se ha vuelto sensible al precio de los productos premium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fabrica en 21 plantas propias y trabaja con más de 90 fabricantes externos [1]. Hay proveedores únicos de algunos componentes, pero sin un proveedor dominante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aprobaciones de la FDA, el USDA o la EMA y una red comercial con veterinarios. Zoetis gastó 698 M USD en I+D en 2025 [1]. Según Zoetis, no hay un gran fabricante mundial de genéricos veterinarios porque cada producto mueve un mercado pequeño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el dolor artrósico hay antiinflamatorios genéricos baratos: Rimadyl masticable ha caído un 39 % en EE. UU. [1]. La venta en línea y la telemedicina pueden restar visitas a la clínica [21]. Los fármacos compuestos y las falsificaciones de Apoquel y Simparica en Brasil también restan [1].</w:t>
            </w:r>
          </w:p>
        </w:tc>
      </w:tr>
    </w:tbl>
    <w:p>
      <w:pPr>
        <w:spacing w:after="160" w:before="0"/>
      </w:pPr>
    </w:p>
    <w:p>
      <w:pPr>
        <w:pStyle w:val="Heading2"/>
      </w:pPr>
      <w:r>
        <w:t xml:space="preserve">Ciclo</w:t>
      </w:r>
    </w:p>
    <w:p>
      <w:pPr>
        <w:spacing w:after="100"/>
      </w:pPr>
      <w:r>
        <w:t xml:space="preserve">Las mascotas de EE. UU. están en la parte baja del ciclo. Las visitas caen un 2 % al año desde 2025 [27] y el dueño mira más el precio [10]. Pero el mercado no se contrae: Elanco y Merck crecen en mascotas en 2026 [23, 26], así que buena parte de la caída de Zoetis es cuota, no ciclo. La ganadería está en expansión por el gusano barrenador [2]. Zoetis creció en 2020 (6.675 M USD frente a 6.260 M en 2019) y en 2022 (8.080 M frente a 7.776 M) [1, 6, 7]. De 2008-09 no hay cifras homogéneas: Zoetis era una división de Pfizer.</w:t>
      </w:r>
    </w:p>
    <w:p>
      <w:pPr>
        <w:pStyle w:val="Heading2"/>
      </w:pPr>
      <w:r>
        <w:t xml:space="preserve">Regulación</w:t>
      </w:r>
    </w:p>
    <w:p>
      <w:pPr>
        <w:spacing w:after="100"/>
      </w:pPr>
      <w:r>
        <w:t xml:space="preserve">En EE. UU., la FDA (Centro de Medicina Veterinaria) aprueba los medicamentos, el USDA las vacunas y algunos anticuerpos, y la EPA los antiparasitarios tópicos [1]. La FDA no puede imponer cambios de etiqueta por seguridad: solo pedirlos [32]. En diciembre de 2024 la FDA publicó una carta a los veterinarios sobre eventos adversos neurológicos de Librela, con muertes en algunos casos [32]. En noviembre de 2025 el comité veterinario de la EMA añadió precauciones y nuevos efectos raros a la ficha de Librela [33]. Los antibióticos para ganado (713 M USD de Zoetis) están cada vez más restringidos [1]. En 2025 la FDA dio una aprobación condicional a Dectomax-CA1 contra el gusano barrenador, que luego tuvo una autorización de uso de emergencia [1, 9].</w:t>
      </w:r>
    </w:p>
    <w:p>
      <w:pPr>
        <w:pStyle w:val="Heading2"/>
      </w:pPr>
      <w:r>
        <w:t xml:space="preserve">Tendencias y disrupción</w:t>
      </w:r>
    </w:p>
    <w:p>
      <w:pPr>
        <w:spacing w:after="100"/>
      </w:pPr>
      <w:r>
        <w:t xml:space="preserve">Hay tres cambios que hoy van contra Zoetis. Uno: los competidores igualan sus innovaciones. Zenrelia es un JAK de una toma diaria [21]. Befrena es un anticuerpo anti-IL31 que se pone cada 6-8 semanas, frente a cada 4-8 de Cytopoint [24]. Numelvi, un JAK de segunda generación de Merck, se aprobó en la FDA en febrero de 2026 [26]. Dos: suben las pautas largas. Bravecto Quantum, de Merck, es una inyección anual [25], y Zoetis responde con Lenivia y Portela, de tres meses, lanzadas en la UE y Canadá en 2026 [9]. Tres: crecen la venta en línea y la telemedicina [21]. A favor de Zoetis juegan los diagnósticos con inteligencia artificial de Vetscan Imagyst [1] y la ganadería. Librela pasó de crecer con fuerza en 2024 a caer desde mediados de 2025 [12, 13,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salud animal, con un 23,6 % de un mercado de unos 40.100 M USD (estimación propia: 9.467 M de ingresos de 2025 sobre la cifra de IMARC) [1, 35]. Le siguen Merck (15,8 %), Boehringer (13,7 %) y Elanco (11,8 %). En 2026 pierde cuota en las mascotas de EE. UU., en dermatología y en antiparasitarios [9,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Animal Health (MSD)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Merck: 61 % ganadería y 39 % mascotas. Bravecto factura unos 1.100 M USD. El margen es el beneficio del segmento, antes de parte de la I+D central y de los gastos generales del grupo [25]. Creció un 8 % en el 2T26 y ataca a Apoquel con Numelvi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Boehringer Ingelheim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Vendió 4.875 M EUR en 2025 (+6,5 % a tipo constante), convertidos a 1,13 USD por euro, el tipo medio del BCE de 2025 [28, 31]. NexGard, el antiparasitario más vendido del sector, factura 1.400 M EUR y es el rival de Simparica Trio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15 M USD después de 543 M de amortización de intangibles y 237 M de cargos especiales; sin ellos, el margen sería del 16,9 % (estimación propia) [21]. Mitad mascotas y mitad ganadería. Es el rival que más cuota gana: Zenrelia, Credelio Quattro y Befrena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diagnóstico veterinario, donde Zoetis solo factura 434 M USD [1, 27]. Compite con Vetscan, pero sobre todo es el termómetro de las visitas a la clínica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1.465 M EUR en 2025 (+7,9 % orgánico) con un resultado operativo de 226,1 M EUR [29]. Convertido a 1,13 USD por euro [31]. Crece con compras de productos de especialidad.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526 M EUR en 2025 (+0,2 % a tipo constante) con un EBIT de 78,8 M EUR [30]. Convertido a 1,13 USD por euro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Los diagnósticos Vetscan y la relación con el veterinario dan algo de venta cruzada [1], pero el líder del diagnóstico es IDEXX, con 4.304 M USD frente a 434 M de Zoetis [1,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sostiene que la lealtad a la marca sigue tras la patente [1]. 2026 lo desmiente en parte: Zenrelia ganó 9 puntos de cuota de JAK en EE. UU. en un año y Credelio Quattro ya está en más del 50 % de las clínicas [10]. La dermatología de Zoetis cayó un 16 % en el 2T26 (398 M frente a 473 M USD)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5.500 patentes concedidas y 1.600 solicitudes [1]. Según la base de patentes Pharsight, la patente principal de Apoquel en EE. UU. vence en abril de 2030 [23] y las de Simparica Trio, en marzo de 2032 [24]. Cuando expira la patente, cae la venta: Draxxin −66 % en EE. UU. [1]; ProHeart y Convenia ya no tienen patente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ventas es el 28,2 % de los ingresos, frente al 45,0 % de Elanco (estimación propia: 2.122 M de 4.715 M) [1, 8]. Zoetis gasta 698 M USD en I+D, casi el doble que Elanco (368 M), y aun así su margen EBIT es del 37,5 %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cuatro grandes suman unos dos tercios del mercado (estimación propia) [1, 8, 12, 15, 22]. Cada mercado de producto es pequeño, así que no hay un gran genérico mundial [1]. Zoetis vende directamente en unos 45 países con unos 3.900 comerciales [1].</w:t>
            </w:r>
          </w:p>
        </w:tc>
      </w:tr>
    </w:tbl>
    <w:p>
      <w:pPr>
        <w:spacing w:after="160" w:before="0"/>
      </w:pPr>
    </w:p>
    <w:p>
      <w:pPr>
        <w:pStyle w:val="Heading2"/>
      </w:pPr>
      <w:r>
        <w:t xml:space="preserve">Amenazas</w:t>
      </w:r>
    </w:p>
    <w:p>
      <w:pPr>
        <w:spacing w:after="100"/>
      </w:pPr>
      <w:r>
        <w:t xml:space="preserve">La amenaza principal ya está en marcha: los competidores igualan las innovaciones de Zoetis en sus tres grandes franquicias de mascotas. En dermatología, Zenrelia, Befrena y Numelvi [23, 26]. En antiparasitarios, Credelio Quattro y NexGard [23, 28]. En dolor, Librela arrastra la carta de la FDA y la nueva ficha de la EMA [32, 33]. La probabilidad de que la erosión siga en 2026-2027 es alta: la guía de 2026 ya prevé de −3 % a −1 % orgánico [9]. La segunda amenaza llega en 2030-2032 con el vencimiento de las patentes de Apoquel y Simparica Trio [36, 37]. Su peso es alto: Simparica es el 16 % de las ventas y Apoquel el 12 % [1]. La tercera es una caída prolongada de las visitas en EE. UU. [27].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10,6 %</w:t>
      </w:r>
      <w:r>
        <w:t xml:space="preserve">, BPA </w:t>
      </w:r>
      <w:r>
        <w:rPr>
          <w:b/>
          <w:bCs/>
        </w:rPr>
        <w:t xml:space="preserve">15,5 %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Zoetis duplicó sus ventas en nueve años, de 4.888 M en 2016 a 9.467 M en 2025, y el beneficio neto se multiplicó por 3,3 (de 821 M a 2.673 M) porque el margen bruto subió del 65,9 % al 71,8 % y los gastos comerciales y de administración bajaron del 27,9 % al 25,1 % de las ventas [1, 8]. El salto de 2021 (+16,5 %) vino de la pandemia de mascotas y de los anticuerpos monoclonales; desde 2023 el crecimiento se frena: +8,3 % en 2024 y +2,3 % en 2025, este último lastrado por unos 3 puntos de la venta de los aditivos medicados (MFA) y 1 punto de divisa; el orgánico operativo de 2025 fue del 6 % [1, 11]. En 2026 la empresa ya no crece: el orgánico operativo fue 0 % en el 1T26 y −1 % en el 2T26, y la guía anual es de −3 % a −1 % [9, 10]. </w:t>
      </w:r>
      <w:r>
        <w:rPr>
          <w:b/>
        </w:rPr>
        <w:t xml:space="preserve">Años no comparables</w:t>
      </w:r>
      <w:r>
        <w:t xml:space="preserve">: 2018 (Abaxis desde agosto), 2024-2025 (salida del MFA) y 2017, con un cargo fiscal de unos 229 M por la reforma fiscal de EE. UU. que llevó el tipo al 43 % [7].</w:t>
      </w:r>
    </w:p>
    <w:p>
      <w:pPr>
        <w:pStyle w:val="Heading2"/>
      </w:pPr>
      <w:r>
        <w:t xml:space="preserve">Ajustes y partidas no recurrentes</w:t>
      </w:r>
    </w:p>
    <w:p>
      <w:pPr>
        <w:spacing w:after="100"/>
      </w:pPr>
      <w:r>
        <w:t xml:space="preserve">Las cifras son las publicadas en US GAAP. El EBIT se calcula como beneficio antes de impuestos más gastos por intereses menos «otros (ingresos)/gastos netos», que recogen ingresos financieros (93 M en 2025), diferencias de cambio y plusvalías o minusvalías de ventas (101 M de plusvalía por la participación en el seguro de mascotas en 2023; 25 M de pérdida por el MFA en 2024) [1, 5]. Las reestructuraciones (51 M en 2025) y la amortización de intangibles adquiridos quedan dentro del EBIT. El BPA ajustado de la empresa excluye amortización de compras, costes de operaciones y «partidas significativas» (cierres de plantas, el programa de ERP, despidos): 6,41 USD frente a 6,02 GAAP en 2025 (0,39 de diferencia) y 5,92 frente a 5,47 en 2024 (0,45) [11, 15]. Para 2026 la guía es de 5,55-5,65 USD GAAP y 6,15-6,25 ajustado [9]. Desde el 1-ene-26 las filiales internacionales cierran a 31 de diciembre en lugar de a 30 de noviembre (cambio de criterio aplicado de forma retroactiva): 2025 se publicó con el desfase de un mes, y el 1S25 reexpresado es 4.672 M frente a 4.680 M publicados [2]. El LTM a junio de 2026 combina el ejercicio 2025 publicado con los semestres reexpresados.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crecimiento orgánico operativo se frenó trimestre a trimestre: 14 % en el 3T24 (operativo, antes de vender el MFA), 9 % en el 4T24 y el 1T25, 8 % en el 2T25, 4 % en el 3T25 y el 4T25, 0 % en el 1T26 y −1 % en el 2T26 [9, 10, 11, 12, 13, 14, 15, 16]. Los trimestres de 2026 se comparan con 2025 reexpresado por el cambio de cierre internacional (el 1T25 pasa de 2.220 M a 2.198 M) [3]. En mayo la dirección presentó el 1T26 como un trimestre peor de lo previsto: dueños de mascotas más sensibles al precio, menos visitas al veterinario (agravadas por las tormentas de invierno) y más competidores que compiten sobre todo en precio; la dermatología clave cayó un 11 % y la guía bajó a un orgánico del 2-5 % [10, 18]. En agosto el tono fue más duro: las visitas periódicas de perros en EE. UU. siguieron más de un 2 % por debajo, un nuevo competidor entró en dermatología en EE. UU. en el 2T26, la dermatología clave cayó un 16 % (EE. UU. −18 %) y la guía pasó a −3 % / −1 % orgánico [9, 19]. El cambio de discurso es el precio: la empresa descarta bajar el precio de lista, pero acelera inversiones temporales «del bruto al neto» (descuentos, rebajas en el punto de venta, paquetes de productos) para defender volumen y cuota. Los analistas (Morgan Stanley, William Blair, BofA, JPMorgan, Stifel, Citi, Piper Sandler) preguntaron sobre todo por el efecto de esos descuentos en el precio neto y los márgenes, la pérdida de cuota implícita en la guía, los recortes de costes (gastos comerciales y de administración −4 % en el 2T26) y si 2027 volverá a crecer. La dirección no cuantificó la pérdida de cuota ni el coste de los descuentos y se negó a hablar de 2027: no sabe si la presión competitiva durará «seis, 12 o 18 meses»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(2018: Abaxis (diagnóstico en clínica), consolidada desde el 31-jul-18 por 1.962 M de contraprestación: cinco meses en la cuenta y entera en el balance [7].; 2024: Venta a Phibro de los aditivos medicados (MFA), algunos hidrosolubles y activos asociados, cerrada el 31-oct-24 por 299 M netos: restó unos 3 puntos al crecimiento de 2025 [1].; 2025: Bonos convertibles de 2.000 M emitidos el 18-dic-25: la caja y la deuda suben al cierre y la recompra financiada con ellos se completó en el 1T26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ha crecido más que las ventas: las existencias pasaron de 1.410 M en 2019 a 2.430 M en 2025, y en 2025 los clientes subieron 274 M, con unas ventas del 4T25 internacional adelantadas por el cambio de cierre [1]. La deuda bruta se mantuvo cerca de 6.500-7.900 M entre 2018 y 2024 y saltó a 9.042 M en 2025 por los bonos de agosto (1.850 M, que refinanciaron 1.350 M de vencimientos) y los convertibles de diciembre (2.000 M), destinados íntegramente a recompras [1, 2]. La deuda neta pasó de 4.583 M a 6.730 M y el patrimonio cayó a 3.331 M porque la autocartera acumulada es de 10.685 M. A junio de 2026, tras otros 1.190 M de recompras, la deuda neta es de unos 7.370 M (9.048 M de deuda menos 1.676 M de caja y depósitos), cerca de 1,9 veces el EBITDA de los últimos doce meses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15.340</w:t>
      </w:r>
      <w:r>
        <w:t xml:space="preserve">, conversión </w:t>
      </w:r>
      <w:r>
        <w:rPr>
          <w:b/>
          <w:bCs/>
        </w:rPr>
        <w:t xml:space="preserve">86 %</w:t>
      </w:r>
      <w:r>
        <w:t xml:space="preserve"> del beneficio neto; adquisiciones 2.989, dividendos 4.783, recompras 10.988.</w:t>
      </w:r>
    </w:p>
    <w:p>
      <w:pPr>
        <w:spacing w:after="100"/>
      </w:pPr>
      <w:r>
        <w:t xml:space="preserve">El flujo operativo cubre bien el beneficio: 2.904 M en 2025 frente a 2.673 M de beneficio neto, y 2.953 M en 2024 [1]. La conversión fue débil en 2022 (1.912 M, con 2.114 M de beneficio) porque las existencias del balance subieron 422 M [6]. El capex se triplicó de 216 M en 2016 a un máximo de 732 M en 2023 (8,6 % de las ventas) por la ampliación de plantas de anticuerpos monoclonales y de Irlanda y China, y baja desde entonces: 621 M en 2025 y 227 M en el 1S26 [1, 2]. La empresa no separa mantenimiento y crecimiento; como estimación propia, la amortización del inmovilizado material (unos 330 M en 2025: 487 M de amortización total menos 157 M de intangibles) aproxima el capex de mantenimiento, lo que deja unos 290 M de capex de crecimiento. Las recompras (incluidas las retenciones fiscales de planes de acciones) suman 10.988 M en diez años y en 2025 (3.246 M) superaron el flujo libre porque se financiaron con deuda; además se pagaron 187 M por la opción con techo de los convertibles, que no figura como recompra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Zoetis desde 2011 y su informe de 2025 destaca dos asuntos clave: las posiciones fiscales inciertas y la estimación de los descuentos por volumen (rebates) en EE. UU., que crecen ahora que la empresa usa los descuentos para defender cuota [1, 19]. La I+D se gasta entera (698 M en 2025, 7,4 % de las ventas); sí se capitalizan los costes de implantación del nuevo ERP en la nube: 176 M netos en 2025 frente a 67 M en 2024 [1]. La remuneración en acciones es baja (83 M en 2025, 3,1 % del beneficio) [1]. Los deterioros son recurrentes pero pequeños: entre 31 y 53 M al año desde 2020, sobre todo en sanidad animal de precisión, diagnóstico y acuicultura [1, 5]. Dos asuntos afectan a la comparabilidad: el cambio de cierre de las filiales internacionales (aplicado de forma retroactiva en 2026) y el adelanto de ventas al 4T25 internacional, que la empresa cifra en un 2,5-3,5 % de las ventas del trimestre en ese segmento [1, 2]. La empresa usó en 2022 y 2024 un prepago intragrupo desde Bélgica para rebajar impuestos en EE. UU., con beneficio diferido hasta 2026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Adelanto de ventas al 4T25 por el cambio de cierre internacional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2,5-3,5 % de las ventas internacionales del 4T25 se adelantaron y no se repetirán; además se retrasaron pedidos de diciembre de 2025 a 2026 y se movieron las subidas de precio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contable: eliminación del mes de desfase de las filiales internacionales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Aplicado de forma retroactiva desde el 1-ene-26; el 1T25 reexpresado tiene 22 M menos de ventas y 29 M menos de beneficio, y el 1S25, 8 M y 21 M menos; el patrimonio a 31-dic-25 sube 84 M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 por información engañosa (mayo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a compradores entre el 14-ene-25 y el 6-may-26; hay además demandas derivadas en Nueva York y Nueva Jersey; sin provisión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y rebates crecientes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Asunto clave de auditoría; la empresa anuncia más inversiones «del bruto al neto» en el 2S26, que dependen de estimaciones de la propia empresa [1, 19].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de costes de software en la nube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M netos a cierre de 2025 (67 M en 2024), amortizados linealmente; 6 M de amortización en 2025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2.767 M en 2025 (el 28 % del capital invertido medio); ha subido más de un 5 % en 1 de 9 años: compra única grande. ROIC publicado 29,0 %; sin fondo de comercio, 40,5 %.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42,3 % · </w:t>
      </w:r>
      <w:r>
        <w:rPr>
          <w:b/>
          <w:bCs/>
        </w:rPr>
        <w:t xml:space="preserve">WACC</w:t>
      </w:r>
      <w:r>
        <w:t xml:space="preserve">: 8,3 %.</w:t>
      </w:r>
    </w:p>
    <w:p>
      <w:pPr>
        <w:spacing w:after="100"/>
      </w:pPr>
      <w:r>
        <w:t xml:space="preserve">Zoetis crea mucho valor y lo sigue haciendo en 2025: el ROIC fue del 29,0 % frente a un WACC del 8,32 % (20,7 puntos de diferencia), y ha sido del 23 % o más todos los años desde 2018 (17,7 % en 2016, tras la separación de Pfizer). Lo que lo sostiene es el margen, no la rotación: el margen EBIT pasó del 28,5 % de 2016 al 37,5 % de 2025, con un margen bruto del 71,8 %, mientras la rotación del capital se mantiene. El ROIC incremental de la última década es del 42,3 %: cada dólar de capital añadido desde 2016 rindió más que el capital antiguo, porque los superventas biológicos (Apoquel, Cytopoint, Librela) y Simparica Trio requieren poca inversión fija [1]. El ROE del 66 % está inflado por las recompras con deuda (patrimonio de 3.331 M en 2025 frente a 4.997 M en 2023) y no es comparable. Frente a los competidores, solo IDEXX rinde más (47,2 %); Elanco rinde un 3,3 % y Virbac un 11,7 % [73, 74, 77]. El riesgo para el ROIC no es el capital sino el margen: los descuentos para defender cuota en EE. UU. ya bajan la guía de margen bruto ajustado del 71,5 % al 71,0 % en 2026 [9].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1.476 M más 200 M en depósitos a plazo, una línea de crédito sindicada de 1.250 M sin disponer (vence en agosto de 2030, ampliable a 1.750 M), un programa de papel comercial de 1.000 M sin saldo vivo y 46 M en otras líneas bancarias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(estable, última acción enero de 2025); S&amp;P BBB+ (estable, abril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arrendamientos son casi todos operativos (US GAAP): pasivo de 249 M a cierre de 2025 (52 M a corto y 196 M a largo), tipo medio del 3,9 % y 6,9 años de plazo; no se suman a la deuda porque su gasto ya está en el EBITDA. Los financieros son 7 M [1]. La línea de crédito exige deuda neta/EBITDA de 3,5 veces como máximo (4,0 tras una compra relevante) y se cumple con holgura [2]. Pensiones: déficit de 42 M en los planes propios [1]. Impuestos inciertos a largo plazo: 276 M en «otros impuestos a pagar» [1]. El 27-may-26 se presentó una demanda colectiva de accionistas en Nueva York (compradores entre el 14-ene-25 y el 6-may-26), seguida de demandas derivadas en junio; no hay provisión ni estimación [2]. Pasivos contingentes por la compra de PetMedix (hasta 100 M por hitos) y el litigio ambiental de Ulianópolis (Brasil), sin cuantificar [2, 5]. Los convertibles de 2029 (2.000 M al 0,25 %, conversión a 148,20 USD) se liquidan en efectivo hasta el nominal, con una opción de compra con techo (capped call) que cubre 13,5 M de acciones hasta 211,72 USD [2].</w:t>
      </w:r>
    </w:p>
    <w:p>
      <w:pPr>
        <w:pStyle w:val="Heading1"/>
      </w:pPr>
      <w:r>
        <w:t xml:space="preserve">12. Asignación de capital</w:t>
      </w:r>
    </w:p>
    <w:p>
      <w:pPr>
        <w:pStyle w:val="Confianza"/>
        <w:spacing w:after="100"/>
      </w:pPr>
      <w:r>
        <w:t xml:space="preserve">Confianza: Media</w:t>
      </w:r>
    </w:p>
    <w:p>
      <w:pPr>
        <w:spacing w:after="100"/>
      </w:pPr>
      <w:r>
        <w:t xml:space="preserve">Zoetis prioriza la inversión interna (I+D y capacidad), las compras pequeñas y medianas, un dividendo creciente y las recompras [1]. El dividendo trimestral subió a 0,53 USD en 2026 (0,50 en 2025) y el repartido en 2025 fue de 2,03 USD por acción, un tercio del beneficio [1, 2]. En agosto de 2024 el consejo aprobó un programa de recompras de 6.000 M sin fecha de caducidad; a 30-jun-26 quedaban 1.300 M [2]. Desde 2025 la empresa recompra con deuda: los convertibles de 2.000 M de diciembre de 2025 financiaron 248 M de recompras simultáneas, 187 M de la opción con techo y 1.535 M de recompras que se completaron en marzo de 2026 (12,3 M de acciones) [2, 20]. Las acciones en circulación bajaron de 448,5 M a cierre de 2024 a 414,2 M en junio de 2026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Abaxis (diagnóstico en clínica, EE. UU.), 83 USD por acción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 emitidos en agosto de 2018 (1.485 M netos)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977 M sin deterioro; base del negocio de diagnóstico, que vendió 434 M en 2025 y crece un 12 % en el 2T26 [1, 7, 19].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Platinum Performance (nutrición) y laboratorios de referencia Phoenix Lab y ZNLabs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de las compras del año. Platinum hizo ventas con posibles vínculos con Irán; la OFAC cerró el caso sin sanción en julio de 2023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Fish Vet Group, Virtual Recall, Performance Livestock Analytics y Ethos Diagnostic Science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conjunto, sin publicar por separado. Las áreas de sanidad animal de precisión y acuicultura, a las que pertenecen dos de ellas, registraron deterioros en 2023 y 2024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Jurox (medicamentos veterinarios,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deterioros publicados; aporta capacidad fabril en Australia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PetMedix (anticuerpos para animales de compañía,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100 M adicionales por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I+D en fase de desarrollo, sin ventas; alimenta la cartera de anticuerpos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Phibro de los aditivos medicados y activos asociados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neto de 292 M en 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25 M en 2024 y 3 M más en 2025; restó unos 3 puntos al crecimiento de 2025 y mejoró el margen bruto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Veterinary Pathology Group (laboratorios, Reino Unido e Irlanda)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total pagado por compras en 2025; operación no material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(telerradiología) y negocio de genómica animal de Neogen (pendiente)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VitalRADS cerró en julio de 2026; Neogen se espera en el 2S26. Importes no publicados [2, 9].</w:t>
            </w:r>
          </w:p>
        </w:tc>
      </w:tr>
    </w:tbl>
    <w:p>
      <w:pPr>
        <w:spacing w:after="160" w:before="0"/>
      </w:pPr>
    </w:p>
    <w:p>
      <w:pPr>
        <w:spacing w:after="100"/>
      </w:pPr>
      <w:r>
        <w:t xml:space="preserve">Zoetis devuelve más de lo que genera: de 2016 a 2025 generó 15.340 M de flujo libre y repartió 4.783 M en dividendos y 10.988 M en recompras, además de 2.989 M en compras [1]. Desde 2025 recompra con deuda: los 2.000 M de convertibles de diciembre de 2025 financiaron 1.535 M de recompras terminadas en marzo de 2026, a unos 125 USD por acción (12,3 M de acciones), un 60 % por encima del precio actual [2, 20]. Es la peor decisión de capital del periodo, tomada justo antes de dos rebajas de la guía. Las compras grandes salieron bien: Abaxis (1.962 M en 2018) llevó a Zoetis al diagnóstico, que factura 434 M y crece al 10-12 % [1, 9]. Con una deuda neta de 1,9 veces el EBITDA y un rating A3/BBB+, hay margen para seguir, pero quedan 1.300 M del programa de recompras y la prioridad debería ser el dividendo (2,7 % de rentabilidad; 0,53 USD trimestrales declarados el 8-oct [91]) y la cartera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Zoetis desde octubre de 2012: presidenta de grupo durante la salida a bolsa de 2013 y responsable de las operaciones de EE. UU. de 2015 a 2019 [1]. Con ella al frente los ingresos pasaron de 6.260 M USD en 2019 a 9.467 M en 2025 y el BPA ajustado de 3,64 a 6,41 USD [11, 43]; pero el retorno total al accionista de 2023-2025 quedó en el percentil 19 del S&amp;P 500 y las acciones por objetivos de ese ciclo no se consolidaron [38]. Posee 105.902 acciones y 386.684 opciones consolidadas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(Jay) Saccaro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 (CFO y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17 de agosto de 2026 en un cargo nuevo que suma finanzas y la fabricación y el suministro globales. Venía de ser director financiero de GE HealthCare (desde junio de 2023) y antes de Baxter (2015-2023) y de Hill-Rom [39]. Salario de 1,0 M USD, variable anual objetivo del 100 % y variable a largo plazo objetivo de 5,0 M USD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Wetteny Joseph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Exdirector financiero; asesor especial de la CEO hasta, como tarde, el 28 de febrero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junio de 2021, procedente de Catalent, donde fue director financiero de 2018 a 2021 [1]. Deja el cargo el 16 de agosto de 2026 sin desacuerdo declarado; cobrará la indemnización del plan de directivos y sus acciones se tratan como en una reestructuración [39]. Remuneración de 2025: 5,60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Humana, donde según el proxy la capitalización pasó de unos 1.100 M a 12.700 M USD entre 2000 y 2012; consejero de AT&amp;T [38]. Preside Zoetis desde junio de 2013 (73 años) y compró 3.000 acciones a 77,76 USD el 11 de mayo de 2026, tras la caída por los resultados del primer trimestre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Brannan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comercial (Chief Commercial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Internacional de 2021 a 2024, el segmento que sostiene hoy las cuentas: en el segundo trimestre de 2026 creció un 6 % orgánico mientras EE. UU. caía un 7 % [1, 9]. Desde noviembre de 2024 lleva toda el área comercial. Remuneración de 2025: 3,97 M USD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Esch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presidente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Veterinario clínico durante más de diez años y en Zoetis desde 2014; dirigió Terapéuticos Globales en 2025 [1]. Sustituye a Robert Polzer, que dejó el cargo el 31 de diciembre de 2025 y se jubiló el 28 de febrero de 2026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6.650-6.800 M USD y BPA ajustado de 3,90-4,00 USD (febrero de 2020, antes de la pandemia)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6.675 M USD y BPA ajustado de 3,85 USD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7.400-7.550 M USD y BPA ajustado de 4,36-4,46 USD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7.776 M USD y BPA ajustado de 4,70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8.325-8.475 M USD y BPA ajustado de 5,09-5,19 USD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8.080 M USD y BPA ajustado de 4,88 USD; el dólar fuerte dejó el crecimiento publicado en el 4 % frente al 8 % operativo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8.575-8.725 M USD (crecimiento operativo del 6-8 %) y BPA ajustado de 5,34-5,44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8.544 M USD (crecimiento operativo del 7 %) y BPA ajustado de 5,32 USD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9.075-9.225 M USD y BPA ajustado de 5,74-5,84 USD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9.256 M USD y BPA ajustado de 5,92 USD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9.225-9.375 M USD (crecimiento orgánico del 6-8 %) y BPA ajustado de 6,00-6,10 USD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9.467 M USD (crecimiento orgánico del 6 %) y BPA ajustado de 6,41 USD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9.825-10.025 M USD (orgánico +3 % a +5 %) y BPA ajustado de 7,00-7,10 USD [11]. Mayo: 9.680-9.960 M USD y 6,85-7,00 USD, ya con la alineación del ejercicio de las filiales internacionales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Agosto: rebajada a 9.120-9.320 M USD (orgánico -3 % a -1 %) y BPA ajustado de 6,15-6,25 USD, un 12 % menos que el punto medio de febrero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dirección cumplió o superó su guía en 2021, 2024 y 2025 y falló por divisa en 2022, pero 2026 rompe ese historial: dos rebajas en tres meses llevan el BPA ajustado de 7,00-7,10 a 6,15-6,25 USD y el crecimiento orgánico de +3/+5 % a -3/-1 % [9, 10, 11]. El problema es el negocio de mascotas en EE. UU. (menos visitas al veterinario y más competencia), que la guía de febrero no anticipó. El equipo pierde estabilidad: cambian el director financiero (agosto de 2026) y el de I+D (enero de 2026), y el nuevo financiero asume además las operaciones [38, 39]. Peck lleva casi siete años al frente; el consejo dice revisar la sucesión, pero no hay candidato público, y el cargo doble de Saccaro lo convierte en uno de hecho [38].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McCallister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expresidente y consejero delegado de Humana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las sesiones de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 C. Peck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M. Bisaro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ejecutivo de Amneal Pharmaceuticals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Vanessa Broadhurst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vicepresidenta ejecutiva de Asuntos Corporativos de Johnson &amp; Johnson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A. D'Amelio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Pfizer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D. K. Hattersley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exconsejero delegado de Molson Coors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Sanjay Khosla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expresidente de Mercados en Desarrollo de Mondelez</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Antoinette R. Leatherberry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exsocia de Deloitte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Norden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exdirector financiero de Wyeth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Willie M. Reed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emérito de Veterinaria de Purdue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e innovación (presidente);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Stetter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decano de Veterinaria de UC Davis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Calidad e innovación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Tilenius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fundadora de Peak Health y de Vida Health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Recursos humanos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0,88 / ventas 2,54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37,66 M de acciones a 30-jun-2026 frente a 36,49 M (8,68 %) a 31-dic-2023 [38,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30,28 M de acciones a 31-mar-2026; primera declaración por separado tras la reorganización de Vanguard [50,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24,07 M de acciones a 31-mar-2026; antes The Vanguard Group declaraba en conjunto 47,78 M (10,84 %) a 31-dic-2025 [51,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912.848 acciones incluidas opciones consolidadas y unidades diferidas a 20-mar-2026; menos del 1 %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87,74 M de acciones a 30-jun-2026 frente a 76,96 M a 31-dic-2025, por las recompras; quedan 414,15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Kristin C. Peck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B. McCallister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Frank A. D'Amelio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 Bisaro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19,05 M USD en 2025 (+10,7 %): 1,35 M de salario, 2,19 M de variable anual (108 % del objetivo), 13,62 M en acciones y opciones y 1,88 M de otros conceptos, de ellos 1,49 M en seguridad, coche y avión privado, también para viajes personales; 236 veces la mediana de la plantilla [38]. El variable anual pondera ingresos (40 %), BPA ajustado (40 %) y flujo libre (20 %). El de largo plazo es 50 % acciones por objetivos (TSR relativo frente al S&amp;P 500 Health Care y crecimiento operativo de ingresos), 25 % acciones restringidas y 25 % opciones; sin ROIC. El ciclo 2023-2025 pagó cero. Hay clawback conforme a la NYSE e indemnización de 24 meses de salario y bonus (30 con cambio de control). El apoyo de la junta bajó al 85,4 % en 2026 [40, 41, 42].</w:t>
      </w:r>
    </w:p>
    <w:p>
      <w:pPr>
        <w:pStyle w:val="Heading2"/>
      </w:pPr>
      <w:r>
        <w:t xml:space="preserve">Operaciones vinculadas, estructura de control y defensas</w:t>
      </w:r>
    </w:p>
    <w:p>
      <w:pPr>
        <w:spacing w:after="100"/>
      </w:pPr>
      <w:r>
        <w:t xml:space="preserve">No hay accionista de control: los mayores son gestoras indexadas (BlackRock, 9,0 %; dos entidades de Vanguard, 7,17 % y 5,70 %) y consejeros y directivos no llegan al 1 % [38, 49, 50, 51]. Una sola clase de acciones, consejo elegido cada año por mayoría, acceso al proxy (3 % durante tres años) y derecho a convocar junta con el 25 % y un año de tenencia [38]. El presidente es independiente y preside las sesiones sin directivos, así que no hay consejero coordinador formal. No se puede actuar por consentimiento escrito: la propuesta para permitirlo obtuvo el 46,7 % en 2026 [40]. En 2024 se limitó la responsabilidad de los directivos con un 10,5 % en contra [42]. Sin operaciones vinculadas en 2025 y con prohibición de cubrir o pignorar acciones [38].</w:t>
      </w:r>
    </w:p>
    <w:p>
      <w:pPr>
        <w:pStyle w:val="Heading2"/>
      </w:pPr>
      <w:r>
        <w:t xml:space="preserve">Señales de alerta</w:t>
      </w:r>
    </w:p>
    <w:p>
      <w:pPr>
        <w:pStyle w:val="ListParagraph"/>
        <w:numPr>
          <w:ilvl w:val="0"/>
          <w:numId w:val="2"/>
        </w:numPr>
        <w:spacing w:after="60"/>
      </w:pPr>
      <w:r>
        <w:t xml:space="preserve">Cambio de director financiero: Wetteny Joseph deja el cargo el 16 de agosto de 2026, anunciado el mismo día del segundo recorte de la guía; su sucesor, Jay Saccaro, asume además las operaciones en un cargo nuevo. El 8-K dice que no hubo desacuerdo [39].</w:t>
      </w:r>
    </w:p>
    <w:p>
      <w:pPr>
        <w:pStyle w:val="ListParagraph"/>
        <w:numPr>
          <w:ilvl w:val="0"/>
          <w:numId w:val="2"/>
        </w:numPr>
        <w:spacing w:after="60"/>
      </w:pPr>
      <w:r>
        <w:t xml:space="preserve">Demanda colectiva de accionistas presentada el 27 de mayo de 2026 en Nueva York (1:26-cv-04401) por compras del 14 de enero de 2025 al 6 de mayo de 2026, por declaraciones sobre la seguridad y la posición competitiva de Librela, Simparica Trio, Apoquel y Cytopoint; además, cinco demandas derivadas agrupadas en Nueva York y Nueva Jersey. La compañía aún no ha respondido a las demandas [2].</w:t>
      </w:r>
    </w:p>
    <w:p>
      <w:pPr>
        <w:pStyle w:val="ListParagraph"/>
        <w:numPr>
          <w:ilvl w:val="0"/>
          <w:numId w:val="2"/>
        </w:numPr>
        <w:spacing w:after="60"/>
      </w:pPr>
      <w:r>
        <w:t xml:space="preserve">La consejera delegada vendió 20.000 acciones por 2,54 M USD a 126-128 USD el 17 de febrero de 2026, dentro del periodo de la demanda, aunque con un plan 10b5-1; tres consejeros compraron en mayo a 75-78 USD, tras la caída por los resultados del primer trimestre [48].</w:t>
      </w:r>
    </w:p>
    <w:p>
      <w:pPr>
        <w:pStyle w:val="ListParagraph"/>
        <w:numPr>
          <w:ilvl w:val="0"/>
          <w:numId w:val="2"/>
        </w:numPr>
        <w:spacing w:after="60"/>
      </w:pPr>
      <w:r>
        <w:t xml:space="preserve">La FDA envió el 16 de diciembre de 2024 una carta a los veterinarios sobre efectos adversos de Librela (ataxia, convulsiones, otros signos neurológicos y, en algunos casos, muerte) [32]. Es el fondo de la demanda y de la caída de ventas del producto [2].</w:t>
      </w:r>
    </w:p>
    <w:p>
      <w:pPr>
        <w:pStyle w:val="ListParagraph"/>
        <w:numPr>
          <w:ilvl w:val="0"/>
          <w:numId w:val="2"/>
        </w:numPr>
        <w:spacing w:after="60"/>
      </w:pPr>
      <w:r>
        <w:t xml:space="preserve">Dos rebajas de la guía de 2026 en tres meses (mayo y agosto): el BPA ajustado pasa de 7,00-7,10 a 6,15-6,25 USD [9, 10, 11].</w:t>
      </w:r>
    </w:p>
    <w:p>
      <w:pPr>
        <w:pStyle w:val="ListParagraph"/>
        <w:numPr>
          <w:ilvl w:val="0"/>
          <w:numId w:val="2"/>
        </w:numPr>
        <w:spacing w:after="60"/>
      </w:pPr>
      <w:r>
        <w:t xml:space="preserve">Señales de la junta de 2026: apoyo a la remuneración en mínimo de tres años (85,4 %), 46,7 % a favor del consentimiento escrito y más votos en contra para los presidentes de Auditoría (Norden, 7,8 %) y de Recursos humanos (D'Amelio, 6,6 %), dos de los seis independientes con más de diez años en el consejo [40].</w:t>
      </w:r>
    </w:p>
    <w:p>
      <w:pPr>
        <w:pStyle w:val="ListParagraph"/>
        <w:numPr>
          <w:ilvl w:val="0"/>
          <w:numId w:val="2"/>
        </w:numPr>
        <w:spacing w:after="60"/>
      </w:pPr>
      <w:r>
        <w:t xml:space="preserve">Cambio de jefe de I+D en enero de 2026 (Esch por Polzer) y dos consejeras nuevas en 2025 (Stetter y Tilenius); sale Parent por edad en mayo de 2026 [38, 40, 54].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2T26, el 6 de agosto de 2026, Zoetis rebajó por segunda vez la guía del año: ingresos de 9.120-9.320 M USD (crecimiento orgánico operativo del −3 % al −1 %), beneficio neto ajustado de 2.570-2.620 M USD y BPA ajustado de 6,15-6,25 USD; en términos contables, un BPA de 5,55-5,65 USD [9]. En febrero esperaba 9.825-10.025 M USD de ingresos y un BPA ajustado de 7,00-7,10 USD [11]; en mayo la bajó a 9.680-9.960 M USD y 6,85-7,00 USD [10]. En seis meses, el punto medio de la guía de ingresos ha caído un 7,6 % y el del BPA ajustado un 12 %. La causa que da la empresa es la debilidad de animales de compañía en EE. UU.: menos visitas a las clínicas, sensibilidad al precio, más competencia en dermatología y en Simparica Trio y genéricos de Cerenia y Convenia [9]. No hay objetivos a medio plazo publicados.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6,21 USD con 14 analistas, en Yahoo Finance [90])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[58]; BPA contable (el ajustado, 6,44 USD con 15 analistas, en Yahoo Finance [90])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[58]; BPA contable</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74,00 – 115,00</w:t>
            </w:r>
          </w:p>
        </w:tc>
      </w:tr>
    </w:tbl>
    <w:p>
      <w:pPr>
        <w:spacing w:after="160" w:before="0"/>
      </w:pPr>
    </w:p>
    <w:p>
      <w:pPr>
        <w:pStyle w:val="Heading2"/>
      </w:pPr>
      <w:r>
        <w:t xml:space="preserve">Revisiones de estimaciones</w:t>
      </w:r>
    </w:p>
    <w:p>
      <w:pPr>
        <w:spacing w:after="100"/>
      </w:pPr>
      <w:r>
        <w:t xml:space="preserve">MarketScreener sigue siendo la única fuente gratuita con estimaciones a tres años y su BPA de Zoetis es </w:t>
      </w:r>
      <w:r>
        <w:rPr>
          <w:b/>
        </w:rPr>
        <w:t xml:space="preserve">contable</w:t>
      </w:r>
      <w:r>
        <w:t xml:space="preserve"> (5,62 USD en 2026, dentro de la guía contable de 5,55-5,65) [58]. Desde el informe del 7-oct, su consenso de ventas de 2027 baja de 9.477 a 9.396 M USD y el de 2028 de 9.877 a 9.739 M; el BPA contable de 2028, de 6,61 a 6,55 USD [58]. En Yahoo, el BPA ajustado de 2027 cae de 6,55 a 6,44 USD en los últimos siete días y de 7,39 en 90 días (−12,9 %); el de 2026 se queda en 6,21 USD [90]. Las recomendaciones empeoran: de 8 compras y 9 mantener hace un mes a 5 y 11 hoy; Jefferies bajó a Mantener el 20-oct (objetivo de 103 a 83 USD), Goldman Sachs empezó con Neutral y 74 USD el 16-oct y UBS subió su objetivo de 80 a 85 USD el 27-oct [90]. El objetivo medio de Yahoo es de 88,62 USD (13 analistas, de 74 a 115) y el de MarketScreener, 93 USD (17 analistas, de 74 a 155) [59, 90].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bl>
    <w:p>
      <w:pPr>
        <w:spacing w:after="160" w:before="0"/>
      </w:pPr>
    </w:p>
    <w:p>
      <w:pPr>
        <w:spacing w:after="100"/>
      </w:pPr>
      <w:r>
        <w:t xml:space="preserve">Con dividendos, Zoetis pierde un 45,2 % en un año y un 36,8 % en 2026, mientras el S&amp;P 500 (SPY) gana un 13,2 % y el sector salud (XLV) un 25,2 % [55]. Es su tercer año seguido por detrás del índice. Tres sesiones de resultados concentran el daño: −13,8 % el 4-nov-2025 con la rebaja de la guía de 2025 [12], −21,5 % el 7-may-2026 con el primer recorte de la de 2026 [10] y −6,0 % el 7-ago con el segundo [9]. Desde el mínimo de 52 semanas (68,77 USD, 2-oct) rebota un 13,2 %, sin noticias de la empresa que lo expliquen [91, 92]. La volatilidad de un año es del 40,6 % y la caída máxima en cinco años, del 70,4 % (diciembre de 2021 a octubre de 2026). La posición corta es moderada, un 4,2 % de las acciones [56].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 +0,4 % / -32,9 % / -46,4 %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 / +13,2 %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13,8 % el 4-nov-2025 al rebajar la guía de ingresos de 2025 con los resultados del 3T25 [12,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Peor mes del año (−38,6 % hasta el 13-may): −21,5 % el 7-may con el primer recorte de la guía de 2026 por la competencia en dermatología y antiparasitarios, y −7,4 % el 11-may [10, 55]. Está en la tesis del informe.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 el 7-ago tras la segunda rebaja de la guía (ventas de 9.120-9.320 M) y el cambio de director financiero [9,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del 15,3 % desde el mínimo del 2-oct (68,77) hasta 82,00 el 22-oct, sin noticia de la empresa que lo explique: el dividendo de 0,53 USD (8-oct) y un consejero nuevo (13-oct) [91, 92]. Coincide con el apoyo público de Michael Burry, que dijo haber ampliado en la zona de 72 [96], y con rotación hacia defensivas; el 27-oct devolvió un 3,4 % [99].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5-nov antes de la apertura; consenso de BPA ajustado de 1,51 USD y ventas de 2.302 M [57,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mantiene Neutral y sube el objetivo de 80 a 85 USD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baja de Comprar a Mantener y el objetivo de 103 a 83 USD; el 16-oct Goldman Sachs empieza con Neutral y 74 USD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Iris Knobloch entra en el consejo el 1-dic-2026 (de 12 a 13 miembros) [92]. Sin compras ni ventas de directivos desde mayo; la única venta de 12 meses es de la consejera delegada (2,5 M USD en febrero, con plan 10b5-1)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Burry, accionista declarado, cita a ZTS entre las candidatas a ventas por pérdidas fiscales antes de fin de año [94].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por las declaraciones sobre Librela, Simparica Trio, Apoquel y Cytopoint (Nueva York)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Convertibles al 0,25 % a 2029 por 2.000 M (conversión a 148,20 USD; el nominal se paga en efectivo) para recomprar acciones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9,5 % en un mes y rebota un 13,2 % desde el mínimo de 52 semanas, pero sigue un 17 % bajo la media de 200 sesiones (P5) y un 46 % abajo en un año. El rebote no tiene una causa de la empresa: los dos hechos de octubre (dividendo y consejera) no mueven el valor, y los analistas siguen recortando (Jefferies) o empiezan en Neutral (Goldman). No hay colocaciones, ampliaciones ni ofertas pendientes; el único hecho con fecha son los resultados del 5-nov, que por la regla 13 no retrasan nada.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ejercicio, Zoetis cotizó entre 21 y 57 veces su beneficio contable de 2016 a 2025 (35,8x de media) y entre 15,5x y 37,2x el EBITDA [1, 55]. Hoy está a 12,8x el beneficio y 10,1x el EBITDA de los últimos 12 meses: un 64 % y un 54 % por debajo de su media, por debajo incluso del mínimo de diez años. En base adelantada (cierre ÷ BPA del año siguiente, la que usa el objetivo a 12 meses) la mediana de cinco años es de 28,9x frente a 13,6x hoy. La compresión empezó en 2022 con la subida de tipos y se agravó en 2026 al desaparecer el crecimiento: la guía de ingresos de 2026 es de −3 % a −1 % orgánico, frente al 7,6 % anual de 2016 a 2025 que sostenía el múltiplo [1, 9]. Por eso el método trata a Zoetis como desrateada: la historia es de otro régimen y no suponemos que vuelva sin que vuelva el crecimiento.</w:t>
      </w:r>
    </w:p>
    <w:p>
      <w:pPr>
        <w:pStyle w:val="Heading1"/>
      </w:pPr>
      <w:r>
        <w:t xml:space="preserve">18. Comparables cotizados</w:t>
      </w:r>
    </w:p>
    <w:p>
      <w:pPr>
        <w:pStyle w:val="Confianza"/>
        <w:spacing w:after="100"/>
      </w:pPr>
      <w:r>
        <w:t xml:space="preserve">Confianza: Media</w:t>
      </w:r>
    </w:p>
    <w:p>
      <w:pPr>
        <w:spacing w:after="100"/>
      </w:pPr>
      <w:r>
        <w:t xml:space="preserve">Las seis cotizadas con más exposición a salud animal: las farmacéuticas veterinarias puras (Elanco, Phibro, Virbac y Vetoquinol), el líder del diagnóstico veterinario (IDEXX, rival de la división de diagnóstico de Zoetis) y Neogen (seguridad alimentaria y sanidad animal). Merck &amp; Co. queda fuera: la salud animal es una parte minoritaria de su negocio y su consenso de 2026 recoge un cargo extraordinario que deja el EBITDA en 15.729 M USD frente a 33.420 M en 2027 [72]. Boehringer Ingelheim, Ceva y Dechra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Zoetis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IDEXX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Elanco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Phibro Animal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Virbac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Vetoquinol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11,4x / 17,0x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12,9x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 / 15,5x / 34,6x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2,6x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8,9 + 0,95 × crecimiento; R² = 0,18. El crecimiento explica poco los múltiplos de estos comparables (R² &lt; 0,3): la regresión no se usa en la valoración.</w:t>
      </w:r>
    </w:p>
    <w:p>
      <w:pPr>
        <w:spacing w:after="100"/>
      </w:pPr>
      <w:r>
        <w:t xml:space="preserve">Con los múltiplos del 7-oct llevados al cierre del 27-oct, Zoetis cotiza a 10,8x el EBITDA de los próximos 12 meses y 13,1x el beneficio contable, por debajo de la mediana de los seis comparables (11,4x y 15,5x) pese a tener el doble de margen EBITDA (41,7 % frente a un 20,1 %) y un ROIC del 29,0 % frente al 12,4 % [66, 67, 68, 69, 70, 71, 72, 73, 74, 75, 76, 77, 78]. El descuento lo explica el crecimiento: el consenso espera que las ventas de los próximos 12 meses queden por debajo de las de los últimos 12, frente al +4,9 % de la mediana. IDEXX, con un 9 % de crecimiento y consumibles recurrentes, marca el techo (25x); Vetoquinol (6,1x, con caja neta), Phibro y Virbac (9x), el suelo. Elanco cotiza por encima de Zoetis con la mitad de margen y casi 4 veces de deuda: el mercado paga su recuperación, y su PER (77x) es contable sobre un beneficio casi nulo. Neogen no tiene PER por pérdidas. Para Zoetis, EV/EBITDA con la mediana como referencia (84,08 USD), sin prima de calidad mientras no vuelva a crecer.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Aditivos medicados para pienso de Zoetis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Phibro Animal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350 M USD anunciados sobre unas ventas de 400 M en 2023 [82]; el precio neto final fue de 309 M [4]. Ganadería madura, sin EBITDA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Sasaeah (Japón)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Virbac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280 M EUR sobre unas ventas de 75 M EUR, la mitad en vacunas [80]; convertido a 1,0874 USD/EUR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Dechra Pharmaceuticals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y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4.882 M GBP, 25,9 veces el EBITDA de 2022 (188 M GBP); prima del 44 % sobre el precio sin afectar [79]. Convertido a 1,2525 USD/GBP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Heska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 USD por acción, prima del 23 % sobre el cierre previo [83]; valor estimado sobre 10,9 M de acciones y ventas de 257 M USD en 2022 [86] (estimación propia, sin restar la caja ni sumar el convertible).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Covetrus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4.000 M USD; prima del 39 % sobre la media de 30 días [81]; ventas de 4.575 M USD en 2021 [87]. Distribución veterinaria de margen bajo: fuera de la media.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Bayer Animal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Elanco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7.600 M USD: 5.320 M en efectivo y 2.280 M en acciones de Elanco [88]. El anuncio no publicó ventas ni EBITDA del negocio comprado.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USD por acción, unos 2.000 M USD de capital [84]; menos 186 M de caja e inversiones a marzo de 2018 y sobre 244,7 M de ventas del ejercicio 2018 [85] (estimación propia).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50,61 – 111,59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El sector paga caro lo que crece y barato lo que no. Por Dechra, mascotas y especialidades, EQT pagó 25,9 veces el EBITDA [79], y por los dos negocios de diagnóstico (Abaxis y Heska) se pagaron 5-7 veces las ventas [83, 84, 85, 86]; por los aditivos medicados que la propia Zoetis vendió a Phibro, y por la distribución de Covetrus, menos de una vez las ventas [81, 82]. Zoetis cotiza hoy a unas 9 veces el EBITDA y 3,9 veces las ventas, muy por debajo de lo pagado por Dechra. Con 37.000 M USD de valor empresa y un accionariado institucional disperso (flotante del 99,8 % [56]), solo una gran farmacéutica o un consorcio de capital privado podría comprarla; no hay indicios públicos de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el punto medio de la guía de agosto: 9.221 M USD (−2,6 %), con dos trimestres publicados [9]. 2027e crece un 2,0 % (un 2,5 % en el informe del 7-oct: el consenso de ventas de 2027 ha bajado de 9.477 a 9.396 M y el de BPA ajustado un 12,9 % en 90 días [58, 90]) y 2028e un 4,0 %, en línea con el consenso (9.396 y 9.739 M; diferencias del 0,1 % y el 0,4 %) [58]: la base de 2026 ya incluye la pérdida de cuota y las ventas internacionales y de ganadería crecen al 6-11 % orgánico en 2026 [9]. De 2029e a 2035e, entre el 3,0 % y el 4,0 %, muy por debajo del 7,6 % anual de 2016-2025 y con los años de vencimiento de Apoquel (2030) y Simparica Trio (2032) más bajos [36, 37]. El mercado de salud animal crece en torno al 3 % según IMARC [35], aunque esa fuente infravalora las mascotas; Elanco y Merck crecen al 8 % en mascotas en 2026 [23, 26].</w:t>
      </w:r>
    </w:p>
    <w:p>
      <w:pPr>
        <w:keepNext/>
        <w:spacing w:after="100"/>
      </w:pPr>
      <w:r>
        <w:rPr>
          <w:b/>
          <w:bCs/>
        </w:rPr>
        <w:t xml:space="preserve">Márgenes.</w:t>
      </w:r>
    </w:p>
    <w:p>
      <w:pPr>
        <w:spacing w:after="100"/>
      </w:pPr>
      <w:r>
        <w:t xml:space="preserve">El margen EBITDA de 2026e (40,0 %) sale de la guía ajustada (coste de ventas del 29 %, gastos comerciales de 2.330-2.380 M e I+D de 720-730 M) menos las partidas significativas, y coincide con el consenso en base contable (diferencia del 0,6 %; del 1,0 % en 2027e y del 3,4 % en 2028e, donde el consenso es algo más prudente en margen) [9, 58]. Sube despacio al 41,0 % en 2029e: por debajo del 42,6 % de 2025 y del 41,7 % de los últimos 12 meses, porque suponemos que los descuentos y la publicidad para defender dermatología y Simparica se quedan. El histórico da margen al supuesto: entre el 40,2 % y el 42,6 % desde 2020, con un margen bruto de 69-72 % [1]. Elanco gana un 19,1 % de margen EBITDA [74]: hay espacio para que la competencia lo erosione, y eso va al bajista.</w:t>
      </w:r>
    </w:p>
    <w:p>
      <w:pPr>
        <w:keepNext/>
        <w:spacing w:after="100"/>
      </w:pPr>
      <w:r>
        <w:rPr>
          <w:b/>
          <w:bCs/>
        </w:rPr>
        <w:t xml:space="preserve">Inversión y circulante.</w:t>
      </w:r>
    </w:p>
    <w:p>
      <w:pPr>
        <w:spacing w:after="100"/>
      </w:pPr>
      <w:r>
        <w:t xml:space="preserve">Capex del 6,3 % de las ventas en 2026e-2027e, que baja al 5,6 % en 2034e-2035e: Zoetis invirtió un 8,6 % en 2023 por la ampliación de plantas de biológicos y bajó al 6,6 % en 2025 [1]; la media de 2019-2025 es del 7,1 %. La amortización sube del 5,3 % al 5,5 % de las ventas y queda por debajo del capex todos los años. El circulante comercial pasa del 37 % al 35 % de las ventas: fue del 37,3 % en 2025 y del 32,7-40,5 % desde 2020, con el inventario como partida principal (2.430 M) [1]. Tipo impositivo del 20,5 % (guía de 2026 y 20,4 % en 2025) que sube al 21 % por el impuesto mínimo global [1, 9].</w:t>
      </w:r>
    </w:p>
    <w:p>
      <w:pPr>
        <w:keepNext/>
        <w:spacing w:after="100"/>
      </w:pPr>
      <w:r>
        <w:rPr>
          <w:b/>
          <w:bCs/>
        </w:rPr>
        <w:t xml:space="preserve">Coste del capital.</w:t>
      </w:r>
    </w:p>
    <w:p>
      <w:pPr>
        <w:spacing w:after="100"/>
      </w:pPr>
      <w:r>
        <w:t xml:space="preserve">Tasa libre del 4,99 %, el bono a 10 años de EE. UU. del 27-oct-2026 (5,31 % en el informe del 7-oct) [89]. Beta de 0,85: entre la ajustada mensual (0,80) y la ajustada semanal (0,85) de cinco años frente al S&amp;P 500 [55]. La semanal de dos años (0,34) está hundida por caídas propias de la acción en un mercado que subía: es riesgo específico, no menos riesgo, y no se usa. Prima de mercado del 5,0 %, sin prima adicional: Zoetis es A3/BBB+ y opera en más de 100 países [2]. Coste de la deuda del 6,05 %, el rendimiento del índice BBB de EE. UU. del 26-oct [65], con un peso del 20,7 % a valor de mercado. WACC del 8,32 %; con la prima implícita del mercado (4,2 % [97]), 7,78 %. Con la beta en 1,0 el WACC subiría unos 0,6 puntos, y la tabla de sensibilidad da 90,45 USD con medio punto más.</w:t>
      </w:r>
    </w:p>
    <w:p>
      <w:pPr>
        <w:keepNext/>
        <w:spacing w:after="100"/>
      </w:pPr>
      <w:r>
        <w:rPr>
          <w:b/>
          <w:bCs/>
        </w:rPr>
        <w:t xml:space="preserve">Valor terminal.</w:t>
      </w:r>
    </w:p>
    <w:p>
      <w:pPr>
        <w:spacing w:after="100"/>
      </w:pPr>
      <w:r>
        <w:t xml:space="preserve">Crecimiento a perpetuidad del 3,0 %: un 1 % real más una inflación esperada de alrededor del 2 % en dólares, por debajo de la tasa libre menos medio punto (4,49 %). El múltiplo EV/EBITDA implícito en el Gordon es de 12,7x, frente a 10,1x hoy sobre los últimos 12 meses y una mediana de comparables de 11,4x en los próximos 12 meses; el múltiplo de salida de referencia (11,0x) implicaría un crecimiento perpetuo del 2,22 %. El valor terminal pesa el 63 % del valor empresa, un peso normal para un negocio de caja estable.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(reinvierte el 24 %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(histórico: 42,3 %)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frente al 2,7 %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 (hoy: 23,6 %)</w:t>
            </w:r>
          </w:p>
        </w:tc>
      </w:tr>
    </w:tbl>
    <w:p>
      <w:pPr>
        <w:spacing w:after="160" w:before="0"/>
      </w:pPr>
    </w:p>
    <w:p>
      <w:pPr>
        <w:spacing w:after="100"/>
      </w:pPr>
      <w:r>
        <w:t xml:space="preserve">La proyección apenas necesita inversión neta de la amortización (reinversión acumulada de 1.295 M, el 4 % del NOPAT, con un capex bruto medio del 6,0 % de las ventas). En un negocio de activos ligeros, el crecimiento medio del 2,7 % tiene que salir de subir precios y de ganar volumen sin capital nuevo, y la prueba es el poder de precios y la cuota (23,6 % del mercado en 2035e, frente al 23,6 %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agosto, sin cambios a 28-oct: orgánico de −3 % a −1 % y 9.221 M en el punto medio [9]. Zoetis amplía los descuentos «del bruto al neto» para defender cuota [19]; el volumen cae en mascotas de EE. UU. y sube en ganadería [9]. Otros: divisa y cambio de cierre de las filiales.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de +2,5 % a +2,0 % frente al informe del 7-oct: el consenso de ventas de 2027 baja de 9.477 a 9.396 M y el de BPA ajustado un 12,9 % en 90 días [58, 90]. Volumen casi plano (internacional y ganadería compensan la cuota perdida en EE. UU.) y precio de solo un 1 % [9,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9.739 M (+3,7 %) [58]. Precio: Zoetis subió por encima de la inflación hasta 2025 [1]; suponemos la mitad de esa capacidad mientras dura la competencia en dermatología y antiparasitarios.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al +2,7 % (IMARC) [35] y mascotas de Elanco y Merck creciendo en 2026 [23, 26]: volumen al ritmo del mercado, sin recuperar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Vence la patente principal de Apoquel en EE. UU. (abril de 2030) [36]: el precio aporta menos.</w:t>
            </w:r>
          </w:p>
        </w:tc>
      </w:tr>
    </w:tbl>
    <w:p>
      <w:pPr>
        <w:spacing w:after="160" w:before="0"/>
      </w:pPr>
    </w:p>
    <w:p>
      <w:pPr>
        <w:spacing w:after="100"/>
      </w:pPr>
      <w:r>
        <w:t xml:space="preserve">Sí, porque la proyección pide poco: un 2,8 % anual de media en 2026e-2035e, menos de la mitad del 7,6 % de 2016-2025 y cerca del mercado (2,7 % según IMARC, que infravalora las mascotas) [35]. Apenas exige reinversión neta (con un ROIC del 29 %), y la cuota implícita se queda en torno al 23,6 % actual: no hay que ganar a nadie. El foso es estrecho y se estrecha [1]: el poder de precios demostrado hasta 2025 se agrieta en 2026, con descuentos para defender cuota [19], y por eso el precio aporta solo un 1-2 % anual. El motor trata a Zoetis como de reinversión neta baja, así que la prueba se hace con precio y cuota, y las dos pasan. Volver al 7-8 % no lo sostiene la calidad actual: queda para el alcista.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34,6 % (base: 41,0 %)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8,3 %)</w:t>
            </w:r>
          </w:p>
        </w:tc>
      </w:tr>
    </w:tbl>
    <w:p>
      <w:pPr>
        <w:spacing w:after="160" w:before="0"/>
      </w:pPr>
    </w:p>
    <w:p>
      <w:pPr>
        <w:spacing w:after="100"/>
      </w:pPr>
      <w:r>
        <w:t xml:space="preserve">El DCF da </w:t>
      </w:r>
      <w:r>
        <w:rPr>
          <w:b/>
        </w:rPr>
        <w:t xml:space="preserve">100,56 USD por acción</w:t>
      </w:r>
      <w:r>
        <w:t xml:space="preserve">, un 28,5 % por encima del precio (78,23), con un valor terminal del 63 % del valor empresa y 7.773 M de deuda neta ajustada (18,76 USD por acción). Sube frente a los 96,44 del 7-oct porque la tasa libre bajó de 5,31 % a 4,99 %, pese a crecer medio punto menos en 2027e. La tabla de WACC y crecimiento terminal (±0,5 puntos) va de 84,98 a 123,20 USD: el precio queda por debajo de todo el rango. </w:t>
      </w:r>
      <w:r>
        <w:rPr>
          <w:b/>
        </w:rPr>
        <w:t xml:space="preserve">El DCF inverso dice que el precio descuenta que las ventas caigan un 0,2 % al año de 2027e a 2035e con nuestro margen, o que el margen EBITDA baje al 34,6 % para siempre con nuestro crecimiento, o una rentabilidad anual del 9,6 %</w:t>
      </w:r>
      <w:r>
        <w:t xml:space="preserve"> frente a nuestro WACC del 8,32 % y al 7,78 % que pide hoy el mercado. El rebote de octubre ha quitado parte del pesimismo (el 7-oct el precio descontaba −0,9 % anual), pero sigue siendo una hipótesis de estancamiento: las ventas no cayeron ningún año de 2016 a 2025. Nuestro caso base coincide con el consenso hasta 2028e en ventas (diferencias de menos del 0,5 %) y queda un 3,4 % por encima en EBITDA de 2028e: la discrepancia con el mercado no está en los próximos dos años, sino en si la pérdida de cuota de 2026 es un escalón o una pendiente. Nosotros suponemos que es un escalón; el precio, que es una pendiente.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pérdida de cuota no se frena: Zenrelia, Befrena y Numelvi siguen ganando en dermatología, y Credelio Quattro y NexGard en antiparasitarios; Zoetis defiende volumen con descuentos y las ventas caen otra vez en 2027. Es lo que ya le pasó a Draxxin tras perder la exclusividad (−66 % en EE. UU. desde 2021) [1]: crecimiento medio del 0,6 % y margen EBITDA del 37,5 %.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2026 y vuelven a crecer en 2027 (+2,0 %) con internacional, ganadería y los anticuerpos de larga duración; la cuota en EE. UU. se estabiliza a un precio neto más bajo. Los vencimientos de Apoquel (2030) y Simparica Trio (2032) frenan el crecimiento al 3-3,5 % y el margen EBITDA se queda en el 41,0 %.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o tres de los más de 12 candidatos a superventas (enfermedad renal, oncología, cardiología) se aprueban antes de 2030 y Lenivia y Portela llegan a EE. UU.; Zoetis recupera parte de la cuota perdida. Crecimiento medio del 4,8 % y margen EBITDA del 42,0 %, el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8,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92,49 USD (+18,2 %).</w:t>
      </w:r>
    </w:p>
    <w:p>
      <w:pPr>
        <w:spacing w:after="100"/>
      </w:pPr>
      <w:r>
        <w:t xml:space="preserve">A largo plazo la asimetría es favorable: el alcista da 119,94 USD (+53,3 %) y el bajista 60,74 (−22,4 %), 2,38 veces más ganancia que pérdida con nuestro WACC, y 5,56 veces con la prima implícita del mercado (alcista 136,52, bajista 67,75). A 12 meses no lo es: con nuestro BPA de 2028e y la regla común de múltiplos, el bajista pierde un 25,7 % y el alcista gana un 46,8 %, y la ponderada se queda en un 5,0 %. El bajista no es cosmético: supone un 2027 con ventas a la baja (−3,0 %), un crecimiento medio del 0,6 % y un margen EBITDA del 37,5 %, cinco puntos menos que en 2025; pierde algo más que el 7-oct (−17,8 %) porque el precio ha subido un 9,7 % y ya no descuenta tanto ese mundo (DCF inverso: −0,2 % anual). Le damos un 30 % de probabilidad, más que al alcista (20 %), porque la guía se ha rebajado dos veces en tres meses y la dirección no sabe si la presión competitiva durará «seis, 12 o 18 meses» [19]. El valor ponderado de los escenarios es de 92,49 USD. La cartera de I+D solo entra en el alcista: lo que separa el alcista del base, 19,38 USD por acción, es lo que pesaría como máximo.</w:t>
      </w:r>
    </w:p>
    <w:p>
      <w:pPr>
        <w:pStyle w:val="Heading1"/>
      </w:pPr>
      <w:r>
        <w:t xml:space="preserve">22. Suma de partes</w:t>
      </w:r>
    </w:p>
    <w:p>
      <w:pPr>
        <w:pStyle w:val="Confianza"/>
        <w:spacing w:after="100"/>
      </w:pPr>
      <w:r>
        <w:t xml:space="preserve">Confianza: Media</w:t>
      </w:r>
    </w:p>
    <w:p>
      <w:pPr>
        <w:spacing w:after="100"/>
      </w:pPr>
      <w:r>
        <w:t xml:space="preserve">No aplica: los dos segmentos que reporta Zoetis (EE. UU. e Internacional) venden los mismos productos con la misma estructura de I+D y fabricación, y mascotas y ganadería comparten plantas, red comercial y cartera [1]. No hay comparables puros de cada parte con múltiplos distintos (Elanco y Merck mezclan las dos especies). La diferencia de crecimiento entre mascotas y ganadería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8,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95,87 USD (+22,5 % sobre 78,23).</w:t>
      </w:r>
    </w:p>
    <w:p>
      <w:pPr>
        <w:spacing w:after="100"/>
      </w:pPr>
      <w:r>
        <w:t xml:space="preserve">Pesamos el DCF al 50 % porque Zoetis tiene diez años de caja estable (conversión del 86 % del beneficio en flujo libre en 2016-2025) y la tesis se resume en dos supuestos que el DCF hace explícitos: cuánto crecen las ventas tras 2026 y dónde se queda el margen. Los escenarios llevan un 35 % porque el riesgo principal, que la pérdida de cuota siga, se recoge mejor ahí (valor ponderado de 92,49 USD). Los comparables, un 15 %: su mediana da 84,08 USD, pero la muestra es frágil (la mediana del EV/EBITDA de los próximos 12 meses va de 9,1x a 13,7x según qué empresa se quite) y ninguno tiene el margen de Zoetis (41,7 % frente a una mediana del 20,1 %); solo IDEXX tiene un ROIC parecido y cotiza a 25x. Las transacciones no pesan: solo publican EV/ventas (mediana 4,41x), un múltiplo que no sirve entre márgenes tan distintos, y llevan prima de control. El valor intrínseco resultante es de 95,87 USD (+22,5 %); todos los métodos quedan por encima del precio salvo el escenario bajista, y el precio objetivo medio de los analistas es de 88,62 USD (93 en MarketScreener) [59, 90]. Con la prima implícita del mercado (4,2 % [97], WACC del 7,78 %), el DCF sube a 113,85 USD y el valor objetivo a 106,74 USD (+36,4 %). Ese valor no es el precio a 12 meses: el objetivo a 12 meses, con nuestro BPA y la regla común de múltiplos, es de 80,02 USD. El puente usa el balance del 30-jun-2026: deuda bruta de 9.150 M a nominal (con los 2.000 M de convertibles), caja e imposiciones de 1.676 M, el dividendo declarado y pendiente (221 M) y el déficit de pensiones neto de impuestos (71 M) [2].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r>
    </w:tbl>
    <w:p>
      <w:pPr>
        <w:spacing w:after="160" w:before="0"/>
      </w:pPr>
    </w:p>
    <w:p>
      <w:pPr>
        <w:spacing w:after="100"/>
      </w:pPr>
      <w:r>
        <w:rPr>
          <w:b/>
          <w:bCs/>
        </w:rPr>
        <w:t xml:space="preserve">Objetivo a 12 meses (ponderado):</w:t>
      </w:r>
      <w:r>
        <w:t xml:space="preserve"> 80,02 USD · rentabilidad +5,0 % (base +6,6 %) · señal Mantener.</w:t>
      </w:r>
    </w:p>
    <w:p>
      <w:pPr>
        <w:spacing w:after="100"/>
      </w:pPr>
      <w:r>
        <w:t xml:space="preserve">Para comparar, con la regla v2 (historia al cierre, mismo precio): 11,6x / 13,6x / 17,7x, 5,0 % Mantener; con el tope anterior del base (×1,3, 14-oct mediodía): 35,4 % Comprar; con la v3 sin el selector (tope ×1,1): 15,1 % Comprar. Decide la v2, elegida por el selector de método (desrateada: la mediana adelantada (28,9x) es 2,1 veces el PER de hoy (13,6x); la historia es de otro régimen y decide la v2; METODO-VIGENTE.md).</w:t>
      </w:r>
    </w:p>
    <w:p>
      <w:pPr>
        <w:keepNext/>
        <w:spacing w:after="100"/>
      </w:pPr>
      <w:r>
        <w:rPr>
          <w:b/>
          <w:bCs/>
        </w:rPr>
        <w:t xml:space="preserve">Frente al consenso (solo contraste).</w:t>
      </w:r>
    </w:p>
    <w:p>
      <w:pPr>
        <w:spacing w:after="100"/>
      </w:pPr>
      <w:r>
        <w:t xml:space="preserve">Nuestro BPA base de 2028e (5,98) queda un 8,7 % por debajo del consenso contable (6,55) [58]. Las ventas casi coinciden (9.782 frente a 9.739 M). La diferencia está en el EBIT (3.463 frente a 3.669 M: el consenso no resta partidas que la cuenta sí resta, un 2,2 % de las ventas), en los intereses de refinanciar 2.100 M de vencimientos al 6,2 % y en que no contamos recompras sin calendario. No acercamos la cifra: son supuestos explícitos.</w:t>
      </w:r>
    </w:p>
    <w:p>
      <w:pPr>
        <w:keepNext/>
        <w:spacing w:after="100"/>
      </w:pPr>
      <w:r>
        <w:rPr>
          <w:b/>
          <w:bCs/>
        </w:rPr>
        <w:t xml:space="preserve">Del valor intrínseco al objetivo a 12 meses.</w:t>
      </w:r>
    </w:p>
    <w:p>
      <w:pPr>
        <w:spacing w:after="100"/>
      </w:pPr>
      <w:r>
        <w:t xml:space="preserve">El valor intrínseco (95,87 USD, +22,5 %) queda un 20 % por encima del objetivo a 12 meses ponderado (80,02 USD, +5,0 % con dividendo; base +6,6 %). La distancia es el múltiplo: el valor intrínseco supone que el mercado paga por la caja de una empresa que vuelve a crecer al 3-4 %, y el objetivo a 12 meses, que el PER se queda en el de hoy (13,6x) porque la historia (28,9x) es de otro régimen. Para cerrarla hace falta un hecho con fecha: un 3T26 sin tercera rebaja (5-nov) y, sobre todo, una guía de 2027 con crecimiento orgánico (febrero de 2027). Sin eso,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confirmación de la guía de 2026 [57]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si la dermatología y Simparica en EE. UU. tocan suelo tras los descuentos del 2T26; una tercera rebaja de la guía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quiso hablar de 2027 en agosto [19]: una guía de crecimiento positivo (consenso +1,5 % [58]) validaría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semestre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negocio de genómica animal de Neogen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en ventas; refuerza el diagnóstico y la ganadería, los negocios que crecen.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EE. UU. de Lenivia y Portela, los anticuerpos de tres meses para la artrosis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lanzados en la UE y Canadá; en EE. UU. reabrirían el crecimiento del dolor, que cae un 18 % allí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Wetteny Joseph y primer plan de Jay Saccaro como director financiero y de operaciones [39]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programa de eficiencia o de reasignación de capital; también riesgo de nuevos ajustes contables o de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(Nueva York, 1:26-cv-04401) sobre Librela, Simparica Trio, Apoquel y Cytopoint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moción de desestimación rechazada alargaría el litigio; el coste suele ser pequeño frente a 32.411 M de capitalización.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85,4 % de apoyo a la remuneración de 2026, el mínimo de tres años, una votación peor presionaría por cambios en la cúpula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dermatología: Zenrelia (Elanco), Befrena y Numelvi (Merck) frente a Apoquel y Cytopoint, el 18,5 % de las ventas de 2025 [1, 23, 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cada punto menos de crecimiento anual; −13,2 %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Apoquel tiene patente en EE. UU. hasta 2030 y Zenrelia lleva una advertencia de seguridad en la etiqueta [21,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Dermatología clave de EE. UU. por debajo de −15 % interanual en el 3T26 (−18 % en el 2T26) [19].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Simparica Trio frente a Credelio Quattro (Elanco) y NexGard (Boehringer) en EE. UU., con dueños más sensibles al precio [23, 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−6,9 % con dos puntos menos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crece un 19 % fuera de EE. UU. y la patente llega a 2032 [19,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Simparica de EE. UU. por debajo de −10 % en un trimestre (−6 %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Librela y Solensia: carta de la FDA de diciembre de 2024, precauciones nuevas de la EMA en noviembre de 2025 y demanda colectiva [2, 32, 33]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−39,6 % en el bajista si se suma a la pérdida de cuota; aislado, menos del 5 % (el dolor por artrosis es el 6 %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Lenivia y Portela, de larga duración, ya se venden en la UE y Canadá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etiqueta en EE. UU. o advertencia en recuadro de la FDA.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precio neto: descuentos, rebajas y paquetes para defender volumen [19]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−13,2 % con dos puntos menos de margen y uno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71,8 % en 2025 y recortes de gastos comerciales (−4 % en el 2T26)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ajustado por debajo del 70 % en 2026 (guía: 71 %) [9].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 Apoquel en abril de 2030 y Simparica Trio en marzo de 2032 en EE. UU. (base Pharsight) [36, 37]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con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lealtad a la marca tras la patente: ProHeart y Revolution siguen vendiéndose sin ella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genéricos de oclacitinib en la FDA antes de 2030.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visitas al veterinario en EE. UU. (−2 % en 2025 y previsión parecida en 2026 según IDEXX) [27]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con un punto menos de crecimiento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y la ganadería de EE. UU., el 59 % de las ventas del 1S26 (estimación propia: 2.769 de 4.730 M), crecen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de IDEXX en EE. UU. por debajo de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por recompras con deuda: deuda bruta de 9.150 M y vencimientos de 2.100 M en 2027-2028 [2]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−10,1 % si el WACC sube medio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rating A3/BBB+ y 1.250 M de crédito sin disponer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recompras nuevas con deuda por encima de 2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Ganadería por encima de su tendencia por brotes (gusano barrenador, aviar), que pueden revertir [9]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del −6,8 % que cuesta un punto menos de crecimiento todos los años, porque el efecto duraría uno o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ganadería es el 31 % de las ventas y está diversificada por especies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Ganadería de EE. UU. por debajo del 5 % de crecimiento en el 2S26 (+23 %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en la cúpula: nuevo director financiero y de operaciones y nuevo jefe de I+D en 2026 [38, 39]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afecta a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Saccaro fue director financiero de Baxter ocho años y de GE HealthCare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la consejera delegada o tercera rebaja de guía.</w:t>
            </w:r>
          </w:p>
        </w:tc>
      </w:tr>
    </w:tbl>
    <w:p>
      <w:pPr>
        <w:spacing w:after="160" w:before="0"/>
      </w:pPr>
    </w:p>
    <w:p>
      <w:pPr>
        <w:pStyle w:val="Heading2"/>
      </w:pPr>
      <w:r>
        <w:t xml:space="preserve">Pre-mortem</w:t>
      </w:r>
    </w:p>
    <w:p>
      <w:pPr>
        <w:spacing w:after="100"/>
      </w:pPr>
      <w:r>
        <w:t xml:space="preserve">Octubre de 2029: la acción vale 43 USD. Empezó en noviembre de 2026, cuando el 3T26 mostró la dermatología de EE. UU. otra vez un 20 % abajo y Zoetis rebajó la guía por tercera vez. En febrero de 2027 la guía de 2027 dio ventas planas: Befrena se llevó a los veterinarios de Cytopoint y Zenrelia pasó del 40 % de la cuota de inhibidores JAK en EE. UU., mientras Credelio Quattro y NexGard COMBO convertían Simparica Trio en un producto de precio. Para defender volumen, Zoetis bajó el precio neto y el margen EBITDA cayó al 37 % en 2027. Lenivia no llegó a EE. UU. hasta 2028 y lo hizo con una etiqueta tan restrictiva como Librela. La cartera de superventas se retrasó, Saccaro anunció un plan de eficiencia con despidos y deterioros, y el mercado empezó a contar el vencimiento de Apoquel de 2030 como un precipicio, a la manera de Draxxin. Con la deuda de las recompras de 2025-2026 y el rating en BBB, se recortaron las recompras. El múltiplo pasó de 10,1x a 8x el EBITDA sobre un EBITDA un 15 % menor. Las señales estaban ahí: la dermatología de EE. UU. por debajo de −15 % en el 3T26, el margen bruto ajustado por debajo del 70 % y una guía de 2027 sin crecimiento.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 a 3-5 años (menos de la mitad de lo que vale un punto más de crecimiento anual, +7,2 %)</w:t>
      </w:r>
    </w:p>
    <w:p>
      <w:pPr>
        <w:spacing w:after="100"/>
      </w:pPr>
      <w:r>
        <w:t xml:space="preserve">La IA no sustituye lo que vende Zoetis: medicamentos, vacunas y anticuerpos que se recetan en la clínica y se fabrican en plantas con registro sanitario. Donde toca es en el diagnóstico (unos 434 M de ventas, menos del 5 % del total [1]): Vetscan Imagyst ya lee muestras con IA y la compra de VitalRADS (anunciada en julio de 2026, más de 1.800 clientes, precio no publicado) añade radiología veterinaria a distancia [98], un negocio que la IA abarata y amplía. En costes, puede acelerar el descubrimiento de anticuerpos y los ensayos. La amenaza sería indirecta: que un rival (IDEXX, Mars) gane la plataforma de diagnóstico de la clínica y con ella la relación con el veterinario. Señal a vigilar: el crecimiento del diagnóstico de Zoetis por debajo del 5 % mientras IDEXX crece al doble.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Pesan tres asuntos. El primero es la seguridad de producto y la farmacovigilancia. Librela, Apoquel, Cytopoint y Simparica Trio están entre las cinco primeras líneas, que suman el 42 % de las ventas [1]. Un aviso de seguridad cambia la prescripción: es lo que la FDA y la EMA hicieron con Librela en 2024 y 2025 [32, 33]. El segundo son los antibióticos para ganado, 713 M USD en 2025 (el 7,5 % de los ingresos), expuestos a restricciones y a la preferencia por proteína sin antibióticos [1]. El tercero son el bienestar animal y las emisiones de la ganadería, que restan demanda de carne en algunos consumidores [1]. Zoetis informa con los marcos SASB y TCFD y responde a los cuestionarios de clima y agua de CDP [38].</w:t>
      </w:r>
    </w:p>
    <w:p>
      <w:pPr>
        <w:pStyle w:val="Heading2"/>
      </w:pPr>
      <w:r>
        <w:t xml:space="preserve">Controversias</w:t>
      </w:r>
    </w:p>
    <w:p>
      <w:pPr>
        <w:spacing w:after="100"/>
      </w:pPr>
      <w:r>
        <w:t xml:space="preserve">El 27 de mayo de 2026 unos accionistas presentaron una demanda colectiva en Nueva York. Alegan declaraciones engañosas sobre la seguridad, la competencia y la cuota de Librela, Simparica Trio, Apoquel y Cytopoint entre enero de 2025 y mayo de 2026 [2]. En junio de 2026 llegaron varias demandas derivadas [2]. Zoetis dice que tiene defensas sólidas [2]. En diciembre de 2024, la FDA publicó la carta a veterinarios sobre eventos adversos de Librela [32]. Sigue abierto el caso ambiental de Ulianópolis (Brasil), de 2012 [2]. Elanco afronta una demanda parecida por Zenrelia [22].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en dólares perdió Apoquel frente a Zenrelia y Numelvi y Cytopoint frente a Befrena en EE. UU. en el 2T26 y el 3T26, y a qué precio neto?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cuantificó en agosto [19]; es la diferencia entre el escalón del caso base y la pendiente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ventas de EE. UU. son descuentos y rebajas («del bruto al neto») y cuánto durarán?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3,5 % del valor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¿Espera la dirección crecer en 2027, y con qué mezcla de precio y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+1,5 % [58]; el precio descuenta caídas del 0,2 % anual hasta 2035.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Librela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Lenivia a la FDA y qué datos de seguridad aporta frente a Librela?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lanzamiento que podría reabrir el crecimiento del dolor en EE. UU. (−18 % en el 2T26)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patentes y formulaciones protegen Apoquel y Simparica Trio después de 2030 y 2032, y hay ya solicitudes de genéricos?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publica esas fechas [1]; el caso base supone un frenazo, no un precipicio.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candidatos a superventas están en fase de registro y en qué años esperan aprobación?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fases ni fechas, la cartera no se puede valorar por rNPV y solo entra en el alcista (19,38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recomprando con deuda tras pagar unos 125 USD por acción en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financiadas con los convertibles se hicieron un 60 % por encima del precio actual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Ganadería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+23 % de la ganadería de EE. UU. en el 2T26 es demanda puntual por el gusano barrenador y por el adelanto de suministro?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revierte en 2027, el crecimiento del caso base se queda corto.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y noticias, canal de ZTS)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mediados de agosto al 20-oct se publican catorce análisis y noticias: la mitad ve la acción «descontando lo peor» o como «compounder infravalorado»; la otra mitad, una trampa de valor por la debilidad de animales de compañía y la competencia nueva. El último (20-oct) concluye que el deterioro del negocio pesa más que el descuento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mensajes de ZTS)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Treinta mensajes del 8 al 27-oct: alivio por el rebote desde mínimos, compras de opciones de compra a noviembre antes de resultados y lectura técnica de «suelo»; enfrente, inversores con pérdidas del 60-70 % que temen otra decepción el 5-nov y atribuyen la subida a la rotación del mercado, no a la empresa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News (prensa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noticias para particulares giran en torno a Michael Burry, que dice en su boletín haber ampliado su posición en Zoetis «en la zona de 72» y la llama «muy barata», aunque advierte de que puede seguir cayendo mientras forma una base [96].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o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partes: la acción cotiza a unas 13-14 veces nuestro BPA contable de 2027e, un mínimo de diez años, pero la guía de 2026 se ha rebajado dos veces y el consenso de BPA de 2027 sigue bajando (−12,9 % en 90 días). Barata sin catalizador es Mantener, no Comprar.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dermatología y antiparasitarios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informe: dermatología −16 % y Simparica −6 % en EE. UU. en el 2T26. La gente tiene razón en el riesgo; el informe lo pone en el bajista (30 %).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Burry como avalista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una opinión de un inversor conocido, no un dato: no cambia ni el BPA ni el múltiplo. El propio Burry citó a ZTS como candidata a ventas por pérdidas fiscales antes de fin de año [94].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del 5-nov</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espera un BPA ajustado de 1,51 USD en el 3T26 y 2.302 M de ventas; la señal del informe se revisa con ese dato y con la guía de 2027.</w:t>
            </w:r>
          </w:p>
        </w:tc>
      </w:tr>
    </w:tbl>
    <w:p>
      <w:pPr>
        <w:spacing w:after="160" w:before="0"/>
      </w:pPr>
    </w:p>
    <w:p>
      <w:pPr>
        <w:spacing w:after="100"/>
      </w:pPr>
      <w:r>
        <w:t xml:space="preserve">El sentimiento de los particulares no es extremo: tras una caída del 46 % en un año, conviven la capitulación (inversores con pérdidas del 60-70 % que venden) y un rebote apoyado en la figura de Burry y en lecturas técnicas. No contradice a los analistas, que también se han vuelto neutrales (5 compras y 11 mantener). No aporta un riesgo que el informe no recoja; confirma que el 5-nov es la fecha que decide si el rebote de octubre tiene base.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99 (63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23,6 % en 2035e frente al 23,6 %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37,0 % frente a 37,3 % real: genera una variación de circulante de -121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0,18: el crecimiento no explica los múltiplos de estos comparables; no uses el valor de la regresión. Explicación: Con siete empresas de márgenes muy distintos (19-42 % de margen EBITDA), el crecimiento no explica los múltiplos (R² 0,18).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9,1x a 13,7x según qué comparable se quite (63,33 a 104,83 por acción): la muestra es frágil; explícalo y no le des mucho peso. Explicación: IDEXX (25x) y Phibro o Vetoquinol (6-9x) mueven la mediana entre 9,1x y 13,7x. Por eso los comparables pesan solo un 15 % y el texto lo explica.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 fuentes (63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60, 62,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los ocho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transcripciones de la empresa: no citan el consenso; 2) búsqueda web de resúmenes de resultados (Stock Taper, Betafinch, Barchart): sin cifra literal de consenso previo o páginas vacías; 3) no se puede derivar sin un proveedor de estimaciones históricas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del 2T26: la amortización solo figura acumulada en el estado de flujos; 2) notas de prensa trimestrales: no publican amortizaciones; 3) derivarlo exigía restar acumulados de seis 10-Q más, fuera del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Revolution, ProHeart y Cytopoint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categorías de producto y porcentaje de las dos mayores líneas; 2) transcripciones del 4T25, 1T26 y 2T26: dan dermatología clave en conjunto y solo el crecimiento de ProHeart; 3) notas de prensa: sin desglose por marca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en las 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10-K 2019, 2023 y 2025: no publican EBITDA de las adquiridas; 2) nota de prensa del 2T26 (VitalRADS) y 10-Q (Neogen): sin importe; 3) no derivable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ESG de MSCI: ya no es público y pide una demo; 2) ficha de Zoetis en Sustainalytics (redirige a la portada) y agregador knowesg.com (403); 3) web de sostenibilidad de Zoetis y proxy 2026: solo dicen que responde a CDP, sin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Boehringer Ingelheim Animal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de Boehringer (antibot Incapsula, también con navegador); 2) PDF del informe anual 2025 (mismo antibot); 3) prensa sectorial (Ruminews): da ventas y no margen de la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(2020-2024) con una misma definición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Zoetis y Elanco: no cifran el mercado; 2) HealthforAnimals: solo los ingresos de las 20 primeras en 2024 y el crecimiento medio de 2014-23; 3) IMARC: solo 2025 y previsión a 2034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(2025 real y proyección 2026e-2030e con el crecimiento de IMARC)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producto (Librela, Solensia, Apoquel, Cytopoint, Simparica Trio)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pesos de las cinco primeras líneas y categorías; 2) 10-Q 2T26: categorías; 3) notas de prensa del 3T24 al 2T26: solo comentarios cualitativos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categorías dermatología, dolor y antiparasitarios)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fases y fechas de la cartera de I+D (más de 12 candidatos a superventas)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la empresa no desglosa la I+D por fase ni por área; 2) notas de prensa del 1T26 y el 2T26: solo áreas; 3) nota del 4T25: «12 candidatos», sin fases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patentes de Librela, Cytopoint y Revolution Plus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Sección de propiedad intelectual de los 10-K de 2019 a 2025: no las da; 2) Pharsight (ficha de Librela sin datos); 3) búsqueda de patentes de oclacitinib y bedinvetmab: solo Apoquel y Simparica Trio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visitas al veterinario de EE. UU. en 2026 con cifra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IDEXX: −2 % en 2025 y previsión de una caída parecida en 2026; 2) nota de prensa del 2T26 de IDEXX: no da la cifra; 3) notas de Zoetis del 1T26 y el 2T26: solo comentario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dato de 2025 y la previsión)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2019 de Zoetis: empieza en 2015-2019; 2) 10-K 2025 de Elanco: empieza en 2023; 3) HealthforAnimals: crecimiento medio de 2014-23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James Saccaro y Kevin Esch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2026 (Saccaro aún no estaba; Esch no figura entre los directivos nombrados); 2) Form 4 de los últimos 12 meses con form4.mjs (Esch solo tiene concesiones y retenciones, sin saldo agregado; Saccaro no aparece); 3) 8-K del nombramiento de Saccaro (da la remuneración, no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 la consejera delegada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apartados de gobierno y de supervisión del consejo (solo menciona que el consejo supervisa la sucesión, sin nombres); 2) 8-K de agosto de 2026 del nombramiento de Saccaro (sin referencia a sucesión); 3) Notas de prensa de 2026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de remuneración frente al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(solo publica la ratio frente a la mediana: 236 a 1, con una mediana de 80.592 USD); 2) 10-K 2025, plantilla y gastos de personal (unos 14.500 empleados, sin coste total de personal); 3) Derivarlo de datos agregados (US GAAP no desglosa el coste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ratio frente a la mediana que publica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el BPA contable a tres años, no el ajustado; 2) Yahoo Finance: el ajustado solo para 2026 y 2027; 3) Stock Analysis: 2027-2028 solo con suscripción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BPA contable de MarketScreener en los tres años y el ajustado se cita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consenso de BPA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solo llega a 90 días; 2) copia archivada de Yahoo de octubre de 2025 en Wayback Machine: no accesible; 3) derivado frente a la guía inicial de febrero de 2026 (7,00-7,10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cifras actuales; 2) Yahoo Finance: solo BPA y ventas; 3) Stock Analysis: sin historial de revisiones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Elanco / Bayer Animal Health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Elanco en el 8-K: solo el valor de 7.600 M USD; 2) búsqueda en prensa: ventas de 1.800 M USD de 2018 citadas solo por medios, sin documento primario; 3) derivarlo con esa cifra de prensa: descartado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mantiene la operación sin múltiplo)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Heska, Abaxis, Sasaeah y del negocio de aditivos medicados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cada operación: sin EBITDA; 2) datos XBRL de Heska y Abaxis: sin EBITDA ajustado comparable; 3) prensa: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EV/ventas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anual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https://www.sec.gov/Archives/edgar/data/1555280/000155528026000011/zts-20251231.htm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informe trimestral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https://www.sec.gov/Archives/edgar/data/1555280/000155528026000040/zts-20260630.htm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trimestral 10-Q del 1T26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https://www.sec.gov/Archives/edgar/data/1555280/000155528026000024/zts-20260331.htm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https://www.sec.gov/Archives/edgar/data/1555280/000155528025000102/zts-20241231.htm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https://www.sec.gov/Archives/edgar/data/1555280/000155528024000143/zts-20231231.htm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https://www.sec.gov/Archives/edgar/data/1555280/000155528023000074/zts-20221231.htm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informe anual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https://www.sec.gov/Archives/edgar/data/1555280/000155528020000054/zoetis-20191231x10kye.htm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datos XBRL de Zoetis Inc. (companyfacts, CIK 0001555280): series anuales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https://www.sec.gov/Archives/edgar/data/1555280/000155528026000038/exhibit99q22026.htm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1T26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https://www.sec.gov/Archives/edgar/data/1555280/000155528026000021/exhibit99q12026.htm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4T25 y del ejercicio 2025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https://www.sec.gov/Archives/edgar/data/1555280/000155528026000008/exhibit9912-31x25q4.htm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https://www.sec.gov/Archives/edgar/data/1555280/000155528025000272/exhibit99q32025.htm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2T25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https://www.sec.gov/Archives/edgar/data/1555280/000155528025000259/exhibit99q22025.htm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1T25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https://www.sec.gov/Archives/edgar/data/1555280/000155528025000201/exhibit99q12025.htm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4T24 y del ejercicio 2024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https://www.sec.gov/Archives/edgar/data/1555280/000155528025000100/exhibit9912-31x24q4.htm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nota de prensa de resultados del 3T24 (anexo 99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https://www.sec.gov/Archives/edgar/data/1555280/000155528024000330/exhibit99q32024.htm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https://s203.q4cdn.com/620628704/files/doc_financials/2025/q4/ZTS-Q4FY25-Earnings-Transcript.pdf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https://s203.q4cdn.com/620628704/files/doc_financials/2026/q1/Q1-2026-Zoetis-Earnings-Call.pdf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https://s203.q4cdn.com/620628704/files/doc_financials/2026/q2/Q2-2026-Zoetis-Earnings-Call.pdf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8-K de la emisión de bonos convertibles al 0,25 % con vencimiento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https://www.sec.gov/Archives/edgar/data/1555280/000119312525324853/d35588d8k.htm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https://www.sec.gov/Archives/edgar/data/1739104/000173910426000012/elan-20251231.htm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https://www.sec.gov/Archives/edgar/data/1739104/000173910426000043/elan-20260630.htm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segundo trimestre de 2026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https://www.sec.gov/Archives/edgar/data/1739104/000173910426000040/elanco-20260630exhibit991.htm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resultados del cuarto trimestre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https://www.sec.gov/Archives/edgar/data/1739104/000173910426000008/elanco-12312025exhibit991.htm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ejercicio 2025 (segmento Animal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https://www.sec.gov/Archives/edgar/data/310158/000031015826000212/mrk-20260630.htm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https://www.sec.gov/Archives/edgar/data/874716/000087471626000038/idxx-20251231.htm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Boehringer Ingelheim impulsa su cartera en fase avanzada y aumenta ventas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Ruminews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https://ruminews.com/en/boehringer-ingelheim-boosts-late-stage-pipeline-key-launches-increases-sales-2025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 résultats annuels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(difusión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https://mfn.se/all/a/virbac-sa/virbac-resultats-annuels-2025-16e218d3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(difusión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https://echanges.dila.gouv.fr/OPENDATA/AMF/BWR/2026/03/FCBWR167051_20260327.pdf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media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https://data-api.ecb.europa.eu/service/data/EXR/A.USD.EUR.SP00.A?format=csvdata&amp;startPeriod=2024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Dear Veterinarian Letter notifying veterinarians about adverse events reported in dogs treated with Librela (bedinvetmab injection)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Center for Veterinary Medicine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https://www.fda.gov/animal-veterinary/product-safety-information/dear-veterinarian-letter-notifying-veterinarians-about-adverse-events-reported-dogs-treated-librela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Pharmacovigilance-related regulatory recommendations for centrally authorised veterinary medicinal products during 2025 (EMA/CVMP/PhVWP/101663/2025)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 (CVMP)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https://www.ema.europa.eu/en/documents/regulatory-procedural-guideline/pharmacovigilance-related-regulatory-recommendations-centrally-authorised-veterinary-medicinal-products-during-2025_en.pdf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Value of the Animal Health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HealthforAnimals (con datos de S&amp;P Global y CEESA)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https://healthforanimals.org/reports/economic-value-of-the-animal-health-sector/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Animal Health Market Size, Share, Trends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https://www.imarcgroup.com/animal-health-market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Apoquel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https://pharsight.greyb.com/drug/apoquel-patent-expiration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Simparica Trio Patent Expiration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Pharsight (GreyB)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https://pharsight.greyb.com/drug/simparica-trio-patent-expiration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https://www.sec.gov/Archives/edgar/data/1555280/000155528026000015/zts-20260406.htm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Form 8-K: nombramiento de James Saccaro como director financiero y de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https://www.sec.gov/Archives/edgar/data/1555280/000119312526338080/d166736d8k.htm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https://www.sec.gov/Archives/edgar/data/1555280/000155528026000029/zts-20260520.htm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https://www.sec.gov/Archives/edgar/data/1555280/000155528025000213/zts-20250521.htm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(Items 5.02,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https://www.sec.gov/Archives/edgar/data/1555280/000155528024000257/zts-20240521.htm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2019, con la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https://www.sec.gov/Archives/edgar/data/1555280/000155528020000042/exhibit9912-31x19q4.htm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https://www.sec.gov/Archives/edgar/data/1555280/000155528021000095/exhibit9912-31x20q4.htm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con la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https://www.sec.gov/Archives/edgar/data/1555280/000155528022000075/exhibit9912-31x21q4.htm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con la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https://www.sec.gov/Archives/edgar/data/1555280/000155528023000072/exhibit9912-31x22q4.htm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con la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https://www.sec.gov/Archives/edgar/data/1555280/000155528024000141/exhibit9912-31x23q4.htm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Zoetis, 7-oct-2025 a 7-oct-2026 (107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https://www.sec.gov/cgi-bin/browse-edgar?action=getcompany&amp;CIK=0001555280&amp;type=4&amp;dateb=&amp;owner=include&amp;count=100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Zoetis (posición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https://www.sec.gov/Archives/edgar/data/1555280/000201238326003137/primary_doc.xml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https://www.sec.gov/Archives/edgar/data/1555280/000210011926001284/primary_doc.xml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Zoetis (posición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https://www.sec.gov/Archives/edgar/data/1555280/000210012126000843/primary_doc.xml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Zoetis (posición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https://www.sec.gov/Archives/edgar/data/1555280/000010290926000019/primary_doc.xml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reorganización y declaración por entidades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https://www.sec.gov/Archives/edgar/data/1555280/000010290926002697/primary_doc.xml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Stephanie Tilenius como consejera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https://www.sec.gov/Archives/edgar/data/1555280/000155528025000266/zts-20251023.htm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ZTS, SPY, XLV y comparables (cierres hasta 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statistics: valoración,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to Host Webcast and Conference Call on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https://finviz.com/news/395116/zoetis-to-host-webcast-and-conference-call-on-third-quarter-2026-financial-results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estimaciones financieras anuales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https://www.marketscreener.com/quote/stock/ZOETIS-INC-12482719/consensus/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stock forecast: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https://stockanalysis.com/stocks/zts/forecast/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(ZTS) analysis: estimaciones de BPA y ventas, tendencia y 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https://finance.yahoo.com/quote/ZTS/analysis/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Option-Adjusted Spread (BAMLC0A4CBBB)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BofA BBB US Corporate Index Effective Yield (BAMLC0A4CBBBEY)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 ICE Data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https://fred.stlouisfed.org/series/BAMLC0A4CBBBEY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https://www.marketscreener.com/quote/stock/IDEXX-LABORATORIES-INC-9641/finances/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https://www.marketscreener.com/quote/stock/ELANCO-ANIMAL-HEALTH-INCO-46276391/finances/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https://www.marketscreener.com/quote/stock/PHIBRO-ANIMAL-HEALTH-CORP-16253058/finances/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Corporation: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https://www.marketscreener.com/quote/stock/NEOGEN-CORPORATION-10179/finances/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https://www.marketscreener.com/quote/stock/VIRBAC-5234/finances/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https://www.marketscreener.com/quote/stock/VETOQUINOL-SA-36676/finances/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estimaciones financieras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https://www.marketscreener.com/quote/stock/MERCK-CO-INC-13611/finances/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IDEXX Laboratories (IDXX)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https://stockanalysis.com/stocks/idxx/statistics/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(ELAN)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(PAHC)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Neogen (NEOG)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https://stockanalysis.com/stocks/neog/statistics/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(EPA:VIRP)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https://stockanalysis.com/quote/epa/VIRP/statistics/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Vetoquinol (EPA:VETO)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https://stockanalysis.com/quote/epa/VETO/statistics/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Offer for Dechra Pharmaceuticals PLC (anuncio de la Regla 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 Dechra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https://www.investegate.co.uk/announcement/7556360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to take a leading position in Japan through the acquisition of Sasaeah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Virbac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https://www.investegate.co.uk/announcement/gnw/virbac-sa--0nm7/virbac-to-take-a-leading-position-in-japan-th-/8073275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to Be Acquired by Clayton, Dubilier &amp; Rice and TPG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https://www.sec.gov/Archives/edgar/data/1752836/000119312522159139/d290661dex991.htm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to acquire Zoetis' medicated feed additive product portfolio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Phibro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https://www.sec.gov/Archives/edgar/data/1069899/000110465924053265/tm2412927d1_ex99-1.htm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Heska (8-K de Heska,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https://www.sec.gov/Archives/edgar/data/1038133/000114036123015841/brhc10050787_ex99-2.htm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and Abaxis announce definitive merger agreement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https://www.sec.gov/Archives/edgar/data/1555280/000155528018000179/ex99-12018mergerpressrelea.htm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Abaxis Inc.: datos XBRL del 10-K del ejercicio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https://data.sec.gov/api/xbrl/companyfacts/CIK0000881890.json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Heska Corporation: datos XBRL del 10-K de 2022 y del 10-Q del 1T23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https://data.sec.gov/api/xbrl/companyfacts/CIK0001038133.json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Covetrus Inc.: datos XBRL del 10-K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https://data.sec.gov/api/xbrl/companyfacts/CIK0001752836.json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to acquire Bayer Animal Health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Elanco Animal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https://www.sec.gov/Archives/edgar/data/1739104/000110465919046590/a19-17370_1ex99d1.htm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(CSV; 10 años = 4,99 % 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quoteSummary (earningsTrend, recommendationTrend, upgradeDowngradeHistory, calendarEvents, financialData)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https://query2.finance.yahoo.com/v10/finance/quoteSummary/ZTS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Form 8-K de 8-oct-2026: dividendo del 4T26 de 0,53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https://www.sec.gov/Archives/edgar/data/1555280/000155528026000042/zts-20261008.htm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Form 8-K de 13-oct-2026: nombramiento de Iris Knobloch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https://www.sec.gov/Archives/edgar/data/1555280/000155528026000044/zts-20261008.htm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presentaciones en EDGAR (Form 4 de consejeros y directivos, 28-oct-2025 a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https://data.sec.gov/submissions/CIK0001555280.json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canal RSS combinado de ZTS (análisis y noticias,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https://seekingalpha.com/api/sa/combined/ZTS.xml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$ZTS (8 a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https://api.stocktwits.com/api/2/streams/symbol/ZTS.json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Burry Sells FLUT To Pile Into LULU Under $100 — Plus A New Bet On ZTS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https://stocktwits.com/news-articles/markets/equity/michael-burry-sells-flutter-to-pile-into-lulu-under-100-plus-a-new-bet-on-zts/cZtXHCxRBbi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Announces Agreement to Acquire VitalRADS, Accelerating Diagnostic Capabilities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Inc. (Business Wire, vía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https://www.biospace.com/press-releases/zoetis-announces-agreement-to-acquire-vitalrads-accelerating-diagnostic-capabilities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Zoetis (ZTS): cierres diarios de agosto a octubre de 2026 (chart API)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https://query1.finance.yahoo.com/v8/finance/chart/ZTS?range=2mo&amp;interval=1d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92,2 %</w:t>
      </w:r>
      <w:r>
        <w:t xml:space="preserve"> · Secciones con menos del 60 % de campos cubiertos: </w:t>
      </w:r>
      <w:r>
        <w:rPr>
          <w:b/>
          <w:bCs/>
        </w:rPr>
        <w:t xml:space="preserve">ninguna</w:t>
      </w:r>
      <w:r>
        <w:t xml:space="preserve"> · Generado el 28 oct 2026.</w:t>
      </w:r>
    </w:p>
    <w:p>
      <w:pPr>
        <w:pStyle w:val="Nota"/>
        <w:spacing w:after="100"/>
      </w:pPr>
      <w:r>
        <w:t xml:space="preserve">Línea cotizada única (NYSE: ZTS), cuentas y cotización en USD, US GAAP, ejercicio natural. El precio es el cierre del 27-oct-2026: la sesión del 28 no había abierto a la hora del corte [55]. Es una iteración del informe del 7-oct-2026: las cuentas (último 10-Q, 2T26) no han cambiado; se han actualizado precio, bolsa, consenso, comparables (llevados al nuevo cierre con su variación de precio, sin rodar el NTM ni el tipo de cambio), tasa libre, coste de la deuda y el crecimiento de 2027e. Las acciones (414,3 M) son las de 30-jun-2026 más el efecto dilutivo de opciones y acciones restringidas, para que casen con la caja del puente; los convertibles de 2029 se liquidan en efectivo hasta el nominal y no diluyen por debajo de 148,20 USD [2]. Desde el 1-ene-2026 las filiales internacionales cierran a 31 de diciembre en vez de a 30 de noviembre: los trimestres de 2026 se comparan con 2025 reexpresado y el LTM combina ambos criterios [2]. El EBITDA es GAAP (EBIT más amortizaciones) y ya incluye el alquiler operativo: los pasivos por arrendamiento operativo (249 M) no van a la deuda, al puente ni al capital invertido [1]. El consenso de EBITDA de MarketScreener excluye partidas que la cuenta resta (2,2 % de las ventas) y su BPA es contable, no el ajustado que guía la empresa [58, 61]. Sin servicios de pago: faltan las ventas por producto de Librela, Apoquel y Cytopoint por separado, las fases de la cartera de I+D, el consenso previo de cada trimestre y las calificaciones ESG.</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Zoetis Inc. (ZTS)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78,23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146,11)</c:v>
                </c:pt>
                <c:pt idx="1">
                  <c:v>Precio objetivo de los analistas (74,00 – 115,00)</c:v>
                </c:pt>
                <c:pt idx="2">
                  <c:v>Comparables: EV/EBITDA NTM (59,95 – 134,60)</c:v>
                </c:pt>
                <c:pt idx="3">
                  <c:v>Comparables: PER NTM (89,25 – 205,87)</c:v>
                </c:pt>
                <c:pt idx="4">
                  <c:v>Transacciones precedentes (EV/ventas) (50,61 – 111,59)</c:v>
                </c:pt>
                <c:pt idx="5">
                  <c:v>DCF (WACC y g ± 0,5) (84,98 – 123,20)</c:v>
                </c:pt>
                <c:pt idx="6">
                  <c:v>Escenarios (bajista – alcista) (60,74 – 119,94)</c:v>
                </c:pt>
                <c:pt idx="7">
                  <c:v>DCF con la prima implícita del mercado (4,2 %)</c:v>
                </c:pt>
                <c:pt idx="8">
                  <c:v>Precio actual (78,23)</c:v>
                </c:pt>
              </c:strCache>
            </c:strRef>
          </c:cat>
          <c:val>
            <c:numRef>
              <c:f>Hoja1!$B$2:$B$10</c:f>
              <c:numCache>
                <c:formatCode>#,##0</c:formatCode>
                <c:ptCount val="9"/>
                <c:pt idx="0">
                  <c:v>68.77</c:v>
                </c:pt>
                <c:pt idx="1">
                  <c:v>74</c:v>
                </c:pt>
                <c:pt idx="2">
                  <c:v>59.95</c:v>
                </c:pt>
                <c:pt idx="3">
                  <c:v>89.25</c:v>
                </c:pt>
                <c:pt idx="4">
                  <c:v>50.61</c:v>
                </c:pt>
                <c:pt idx="5">
                  <c:v>84.98</c:v>
                </c:pt>
                <c:pt idx="6">
                  <c:v>60.74</c:v>
                </c:pt>
                <c:pt idx="7">
                  <c:v>101.44</c:v>
                </c:pt>
                <c:pt idx="8">
                  <c:v>77.84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146,11)</c:v>
                </c:pt>
                <c:pt idx="1">
                  <c:v>Precio objetivo de los analistas (74,00 – 115,00)</c:v>
                </c:pt>
                <c:pt idx="2">
                  <c:v>Comparables: EV/EBITDA NTM (59,95 – 134,60)</c:v>
                </c:pt>
                <c:pt idx="3">
                  <c:v>Comparables: PER NTM (89,25 – 205,87)</c:v>
                </c:pt>
                <c:pt idx="4">
                  <c:v>Transacciones precedentes (EV/ventas) (50,61 – 111,59)</c:v>
                </c:pt>
                <c:pt idx="5">
                  <c:v>DCF (WACC y g ± 0,5) (84,98 – 123,20)</c:v>
                </c:pt>
                <c:pt idx="6">
                  <c:v>Escenarios (bajista – alcista) (60,74 – 119,94)</c:v>
                </c:pt>
                <c:pt idx="7">
                  <c:v>DCF con la prima implícita del mercado (4,2 %)</c:v>
                </c:pt>
                <c:pt idx="8">
                  <c:v>Precio actual (78,23)</c:v>
                </c:pt>
              </c:strCache>
            </c:strRef>
          </c:cat>
          <c:val>
            <c:numRef>
              <c:f>Hoja1!$C$2:$C$10</c:f>
              <c:numCache>
                <c:formatCode>#,##0</c:formatCode>
                <c:ptCount val="9"/>
                <c:pt idx="0">
                  <c:v>77.34000000000002</c:v>
                </c:pt>
                <c:pt idx="1">
                  <c:v>41</c:v>
                </c:pt>
                <c:pt idx="2">
                  <c:v>74.64999999999999</c:v>
                </c:pt>
                <c:pt idx="3">
                  <c:v>116.62</c:v>
                </c:pt>
                <c:pt idx="4">
                  <c:v>60.980000000000004</c:v>
                </c:pt>
                <c:pt idx="5">
                  <c:v>38.22</c:v>
                </c:pt>
                <c:pt idx="6">
                  <c:v>59.199999999999996</c:v>
                </c:pt>
                <c:pt idx="7">
                  <c:v>27.74000000000001</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2620</c:v>
                </c:pt>
                <c:pt idx="1">
                  <c:v>2877</c:v>
                </c:pt>
                <c:pt idx="2">
                  <c:v>3203</c:v>
                </c:pt>
                <c:pt idx="3">
                  <c:v>3557</c:v>
                </c:pt>
                <c:pt idx="4">
                  <c:v>4042</c:v>
                </c:pt>
                <c:pt idx="5">
                  <c:v>4313</c:v>
                </c:pt>
                <c:pt idx="6">
                  <c:v>4555</c:v>
                </c:pt>
                <c:pt idx="7">
                  <c:v>5074</c:v>
                </c:pt>
                <c:pt idx="8">
                  <c:v>5097</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2643</c:v>
                </c:pt>
                <c:pt idx="1">
                  <c:v>2890</c:v>
                </c:pt>
                <c:pt idx="2">
                  <c:v>2972</c:v>
                </c:pt>
                <c:pt idx="3">
                  <c:v>3035</c:v>
                </c:pt>
                <c:pt idx="4">
                  <c:v>3652</c:v>
                </c:pt>
                <c:pt idx="5">
                  <c:v>3681</c:v>
                </c:pt>
                <c:pt idx="6">
                  <c:v>3911</c:v>
                </c:pt>
                <c:pt idx="7">
                  <c:v>4102</c:v>
                </c:pt>
                <c:pt idx="8">
                  <c:v>4254</c:v>
                </c:pt>
              </c:numCache>
            </c:numRef>
          </c:val>
        </c:ser>
        <c:ser>
          <c:idx val="2"/>
          <c:order val="2"/>
          <c:tx>
            <c:strRef>
              <c:f>Hoja1!$D$1</c:f>
              <c:strCache>
                <c:ptCount val="1"/>
                <c:pt idx="0">
                  <c:v>Fabricación para terceros y salud humana</c:v>
                </c:pt>
              </c:strCache>
            </c:strRef>
          </c:tx>
          <c:spPr>
            <a:solidFill>
              <a:srgbClr val="1BAF7A"/>
            </a:solidFill>
            <a:ln w="12700">
              <a:solidFill>
                <a:srgbClr val="FFFFFF"/>
              </a:solid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Hoja1!$D$2:$D$10</c:f>
              <c:numCache>
                <c:formatCode>#,##0</c:formatCode>
                <c:ptCount val="9"/>
                <c:pt idx="0">
                  <c:v>44</c:v>
                </c:pt>
                <c:pt idx="1">
                  <c:v>58</c:v>
                </c:pt>
                <c:pt idx="2">
                  <c:v>85</c:v>
                </c:pt>
                <c:pt idx="3">
                  <c:v>83</c:v>
                </c:pt>
                <c:pt idx="4">
                  <c:v>82</c:v>
                </c:pt>
                <c:pt idx="5">
                  <c:v>86</c:v>
                </c:pt>
                <c:pt idx="6">
                  <c:v>78</c:v>
                </c:pt>
                <c:pt idx="7">
                  <c:v>80</c:v>
                </c:pt>
                <c:pt idx="8">
                  <c:v>116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Estados Unidos</c:v>
                </c:pt>
                <c:pt idx="1">
                  <c:v>Internacional</c:v>
                </c:pt>
                <c:pt idx="2">
                  <c:v>Fabricación para terceros y salud humana</c:v>
                </c:pt>
              </c:strCache>
            </c:strRef>
          </c:cat>
          <c:val>
            <c:numRef>
              <c:f>Hoja1!$B$2:$B$4</c:f>
              <c:numCache>
                <c:formatCode>General</c:formatCode>
                <c:ptCount val="3"/>
                <c:pt idx="0">
                  <c:v>53.8</c:v>
                </c:pt>
                <c:pt idx="1">
                  <c:v>44.9</c:v>
                </c:pt>
                <c:pt idx="2">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Estados Unidos</c:v>
                </c:pt>
                <c:pt idx="1">
                  <c:v>Brasil</c:v>
                </c:pt>
                <c:pt idx="2">
                  <c:v>Australia</c:v>
                </c:pt>
                <c:pt idx="3">
                  <c:v>Reino Unido</c:v>
                </c:pt>
                <c:pt idx="4">
                  <c:v>Canadá</c:v>
                </c:pt>
                <c:pt idx="5">
                  <c:v>Alemania</c:v>
                </c:pt>
                <c:pt idx="6">
                  <c:v>China</c:v>
                </c:pt>
                <c:pt idx="7">
                  <c:v>Otros (incluye fabricación para terceros)</c:v>
                </c:pt>
              </c:strCache>
            </c:strRef>
          </c:cat>
          <c:val>
            <c:numRef>
              <c:f>Hoja1!$B$2:$B$9</c:f>
              <c:numCache>
                <c:formatCode>0"%"</c:formatCode>
                <c:ptCount val="8"/>
                <c:pt idx="0">
                  <c:v>53.8</c:v>
                </c:pt>
                <c:pt idx="1">
                  <c:v>4.2</c:v>
                </c:pt>
                <c:pt idx="2">
                  <c:v>3.5</c:v>
                </c:pt>
                <c:pt idx="3">
                  <c:v>3.4</c:v>
                </c:pt>
                <c:pt idx="4">
                  <c:v>3.1</c:v>
                </c:pt>
                <c:pt idx="5">
                  <c:v>2.5</c:v>
                </c:pt>
                <c:pt idx="6">
                  <c:v>2.4</c:v>
                </c:pt>
                <c:pt idx="7">
                  <c:v>27.1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40100</c:v>
                </c:pt>
                <c:pt idx="1">
                  <c:v>41195</c:v>
                </c:pt>
                <c:pt idx="2">
                  <c:v>42320</c:v>
                </c:pt>
                <c:pt idx="3">
                  <c:v>43475</c:v>
                </c:pt>
                <c:pt idx="4">
                  <c:v>44662</c:v>
                </c:pt>
                <c:pt idx="5">
                  <c:v>45881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Merck Animal Health (MSD)</c:v>
                </c:pt>
                <c:pt idx="2">
                  <c:v>Boehringer Ingelheim Animal Health</c:v>
                </c:pt>
                <c:pt idx="3">
                  <c:v>Elanco Animal Health</c:v>
                </c:pt>
                <c:pt idx="4">
                  <c:v>IDEXX Laboratories</c:v>
                </c:pt>
                <c:pt idx="5">
                  <c:v>Virbac</c:v>
                </c:pt>
                <c:pt idx="6">
                  <c:v>Vetoquinol</c:v>
                </c:pt>
              </c:strCache>
            </c:strRef>
          </c:cat>
          <c:val>
            <c:numRef>
              <c:f>Hoja1!$B$2:$B$8</c:f>
              <c:numCache>
                <c:formatCode>0.0"%"</c:formatCode>
                <c:ptCount val="7"/>
                <c:pt idx="0">
                  <c:v>37.5</c:v>
                </c:pt>
                <c:pt idx="1">
                  <c:v>33.5</c:v>
                </c:pt>
                <c:pt idx="3">
                  <c:v>0.3</c:v>
                </c:pt>
                <c:pt idx="4">
                  <c:v>31.6</c:v>
                </c:pt>
                <c:pt idx="5">
                  <c:v>15.4</c:v>
                </c:pt>
                <c:pt idx="6">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4888</c:v>
                </c:pt>
                <c:pt idx="1">
                  <c:v>5307</c:v>
                </c:pt>
                <c:pt idx="2">
                  <c:v>5825</c:v>
                </c:pt>
                <c:pt idx="3">
                  <c:v>6260</c:v>
                </c:pt>
                <c:pt idx="4">
                  <c:v>6675</c:v>
                </c:pt>
                <c:pt idx="5">
                  <c:v>7776</c:v>
                </c:pt>
                <c:pt idx="6">
                  <c:v>8080</c:v>
                </c:pt>
                <c:pt idx="7">
                  <c:v>8544</c:v>
                </c:pt>
                <c:pt idx="8">
                  <c:v>9256</c:v>
                </c:pt>
                <c:pt idx="9">
                  <c:v>9467</c:v>
                </c:pt>
                <c:pt idx="10">
                  <c:v>9221</c:v>
                </c:pt>
                <c:pt idx="11">
                  <c:v>9405</c:v>
                </c:pt>
                <c:pt idx="12">
                  <c:v>9781</c:v>
                </c:pt>
                <c:pt idx="13">
                  <c:v>10173</c:v>
                </c:pt>
                <c:pt idx="14">
                  <c:v>10529</c:v>
                </c:pt>
                <c:pt idx="15">
                  <c:v>10897</c:v>
                </c:pt>
                <c:pt idx="16">
                  <c:v>11224</c:v>
                </c:pt>
                <c:pt idx="17">
                  <c:v>11617</c:v>
                </c:pt>
                <c:pt idx="18">
                  <c:v>12024</c:v>
                </c:pt>
                <c:pt idx="19">
                  <c:v>12384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1632</c:v>
                </c:pt>
                <c:pt idx="1">
                  <c:v>1948</c:v>
                </c:pt>
                <c:pt idx="2">
                  <c:v>2121</c:v>
                </c:pt>
                <c:pt idx="3">
                  <c:v>2379</c:v>
                </c:pt>
                <c:pt idx="4">
                  <c:v>2685</c:v>
                </c:pt>
                <c:pt idx="5">
                  <c:v>3208</c:v>
                </c:pt>
                <c:pt idx="6">
                  <c:v>3382</c:v>
                </c:pt>
                <c:pt idx="7">
                  <c:v>3507</c:v>
                </c:pt>
                <c:pt idx="8">
                  <c:v>3836</c:v>
                </c:pt>
                <c:pt idx="9">
                  <c:v>4033</c:v>
                </c:pt>
                <c:pt idx="10">
                  <c:v>3688</c:v>
                </c:pt>
                <c:pt idx="11">
                  <c:v>3790</c:v>
                </c:pt>
                <c:pt idx="12">
                  <c:v>3991</c:v>
                </c:pt>
                <c:pt idx="13">
                  <c:v>4171</c:v>
                </c:pt>
                <c:pt idx="14">
                  <c:v>4317</c:v>
                </c:pt>
                <c:pt idx="15">
                  <c:v>4468</c:v>
                </c:pt>
                <c:pt idx="16">
                  <c:v>4602</c:v>
                </c:pt>
                <c:pt idx="17">
                  <c:v>4763</c:v>
                </c:pt>
                <c:pt idx="18">
                  <c:v>4930</c:v>
                </c:pt>
                <c:pt idx="19">
                  <c:v>5078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65.9</c:v>
                </c:pt>
                <c:pt idx="1">
                  <c:v>66.6</c:v>
                </c:pt>
                <c:pt idx="2">
                  <c:v>67.2</c:v>
                </c:pt>
                <c:pt idx="3">
                  <c:v>68.2</c:v>
                </c:pt>
                <c:pt idx="4">
                  <c:v>69.2</c:v>
                </c:pt>
                <c:pt idx="5">
                  <c:v>70.4</c:v>
                </c:pt>
                <c:pt idx="6">
                  <c:v>69.6</c:v>
                </c:pt>
                <c:pt idx="7">
                  <c:v>70</c:v>
                </c:pt>
                <c:pt idx="8">
                  <c:v>70.6</c:v>
                </c:pt>
                <c:pt idx="9">
                  <c:v>71.8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33.4</c:v>
                </c:pt>
                <c:pt idx="1">
                  <c:v>36.7</c:v>
                </c:pt>
                <c:pt idx="2">
                  <c:v>36.4</c:v>
                </c:pt>
                <c:pt idx="3">
                  <c:v>38</c:v>
                </c:pt>
                <c:pt idx="4">
                  <c:v>40.2</c:v>
                </c:pt>
                <c:pt idx="5">
                  <c:v>41.3</c:v>
                </c:pt>
                <c:pt idx="6">
                  <c:v>41.9</c:v>
                </c:pt>
                <c:pt idx="7">
                  <c:v>41</c:v>
                </c:pt>
                <c:pt idx="8">
                  <c:v>41.4</c:v>
                </c:pt>
                <c:pt idx="9">
                  <c:v>42.6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28.5</c:v>
                </c:pt>
                <c:pt idx="1">
                  <c:v>32.1</c:v>
                </c:pt>
                <c:pt idx="2">
                  <c:v>31.1</c:v>
                </c:pt>
                <c:pt idx="3">
                  <c:v>31.4</c:v>
                </c:pt>
                <c:pt idx="4">
                  <c:v>33.6</c:v>
                </c:pt>
                <c:pt idx="5">
                  <c:v>35.5</c:v>
                </c:pt>
                <c:pt idx="6">
                  <c:v>36.1</c:v>
                </c:pt>
                <c:pt idx="7">
                  <c:v>35.3</c:v>
                </c:pt>
                <c:pt idx="8">
                  <c:v>36.1</c:v>
                </c:pt>
                <c:pt idx="9">
                  <c:v>37.5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16.8</c:v>
                </c:pt>
                <c:pt idx="1">
                  <c:v>16.3</c:v>
                </c:pt>
                <c:pt idx="2">
                  <c:v>24.5</c:v>
                </c:pt>
                <c:pt idx="3">
                  <c:v>24</c:v>
                </c:pt>
                <c:pt idx="4">
                  <c:v>24.5</c:v>
                </c:pt>
                <c:pt idx="5">
                  <c:v>26.2</c:v>
                </c:pt>
                <c:pt idx="6">
                  <c:v>26.2</c:v>
                </c:pt>
                <c:pt idx="7">
                  <c:v>27.4</c:v>
                </c:pt>
                <c:pt idx="8">
                  <c:v>26.9</c:v>
                </c:pt>
                <c:pt idx="9">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c:v>
                </c:pt>
                <c:pt idx="1">
                  <c:v>4.7</c:v>
                </c:pt>
                <c:pt idx="2">
                  <c:v>1.4</c:v>
                </c:pt>
                <c:pt idx="3">
                  <c:v>4.2</c:v>
                </c:pt>
                <c:pt idx="4">
                  <c:v>0.5</c:v>
                </c:pt>
                <c:pt idx="5">
                  <c:v>3</c:v>
                </c:pt>
                <c:pt idx="6">
                  <c:v>2.9</c:v>
                </c:pt>
                <c:pt idx="7">
                  <c:v>-0.2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14</c:v>
                </c:pt>
                <c:pt idx="1">
                  <c:v>9</c:v>
                </c:pt>
                <c:pt idx="2">
                  <c:v>9</c:v>
                </c:pt>
                <c:pt idx="3">
                  <c:v>8</c:v>
                </c:pt>
                <c:pt idx="4">
                  <c:v>4</c:v>
                </c:pt>
                <c:pt idx="5">
                  <c:v>4</c:v>
                </c:pt>
                <c:pt idx="6">
                  <c:v>0</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68</c:v>
                </c:pt>
                <c:pt idx="1">
                  <c:v>69</c:v>
                </c:pt>
                <c:pt idx="2">
                  <c:v>65</c:v>
                </c:pt>
                <c:pt idx="3">
                  <c:v>63</c:v>
                </c:pt>
                <c:pt idx="4">
                  <c:v>55</c:v>
                </c:pt>
                <c:pt idx="5">
                  <c:v>53</c:v>
                </c:pt>
                <c:pt idx="6">
                  <c:v>55</c:v>
                </c:pt>
                <c:pt idx="7">
                  <c:v>56</c:v>
                </c:pt>
                <c:pt idx="8">
                  <c:v>52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329</c:v>
                </c:pt>
                <c:pt idx="1">
                  <c:v>293</c:v>
                </c:pt>
                <c:pt idx="2">
                  <c:v>266</c:v>
                </c:pt>
                <c:pt idx="3">
                  <c:v>258</c:v>
                </c:pt>
                <c:pt idx="4">
                  <c:v>289</c:v>
                </c:pt>
                <c:pt idx="5">
                  <c:v>305</c:v>
                </c:pt>
                <c:pt idx="6">
                  <c:v>349</c:v>
                </c:pt>
                <c:pt idx="7">
                  <c:v>365</c:v>
                </c:pt>
                <c:pt idx="8">
                  <c:v>310</c:v>
                </c:pt>
                <c:pt idx="9">
                  <c:v>333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58</c:v>
                </c:pt>
                <c:pt idx="1">
                  <c:v>54</c:v>
                </c:pt>
                <c:pt idx="2">
                  <c:v>60</c:v>
                </c:pt>
                <c:pt idx="3">
                  <c:v>55</c:v>
                </c:pt>
                <c:pt idx="4">
                  <c:v>81</c:v>
                </c:pt>
                <c:pt idx="5">
                  <c:v>69</c:v>
                </c:pt>
                <c:pt idx="6">
                  <c:v>60</c:v>
                </c:pt>
                <c:pt idx="7">
                  <c:v>59</c:v>
                </c:pt>
                <c:pt idx="8">
                  <c:v>58</c:v>
                </c:pt>
                <c:pt idx="9">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497</c:v>
                </c:pt>
                <c:pt idx="1">
                  <c:v>1122</c:v>
                </c:pt>
                <c:pt idx="2">
                  <c:v>1452</c:v>
                </c:pt>
                <c:pt idx="3">
                  <c:v>1335</c:v>
                </c:pt>
                <c:pt idx="4">
                  <c:v>1673</c:v>
                </c:pt>
                <c:pt idx="5">
                  <c:v>1736</c:v>
                </c:pt>
                <c:pt idx="6">
                  <c:v>1326</c:v>
                </c:pt>
                <c:pt idx="7">
                  <c:v>1621</c:v>
                </c:pt>
                <c:pt idx="8">
                  <c:v>2297</c:v>
                </c:pt>
                <c:pt idx="9">
                  <c:v>2281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821</c:v>
                </c:pt>
                <c:pt idx="1">
                  <c:v>864</c:v>
                </c:pt>
                <c:pt idx="2">
                  <c:v>1428</c:v>
                </c:pt>
                <c:pt idx="3">
                  <c:v>1500</c:v>
                </c:pt>
                <c:pt idx="4">
                  <c:v>1638</c:v>
                </c:pt>
                <c:pt idx="5">
                  <c:v>2037</c:v>
                </c:pt>
                <c:pt idx="6">
                  <c:v>2114</c:v>
                </c:pt>
                <c:pt idx="7">
                  <c:v>2344</c:v>
                </c:pt>
                <c:pt idx="8">
                  <c:v>2486</c:v>
                </c:pt>
                <c:pt idx="9">
                  <c:v>2673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17.7</c:v>
                </c:pt>
                <c:pt idx="1">
                  <c:v>19.7</c:v>
                </c:pt>
                <c:pt idx="2">
                  <c:v>25</c:v>
                </c:pt>
                <c:pt idx="3">
                  <c:v>23</c:v>
                </c:pt>
                <c:pt idx="4">
                  <c:v>25.2</c:v>
                </c:pt>
                <c:pt idx="5">
                  <c:v>30.1</c:v>
                </c:pt>
                <c:pt idx="6">
                  <c:v>28.3</c:v>
                </c:pt>
                <c:pt idx="7">
                  <c:v>26.3</c:v>
                </c:pt>
                <c:pt idx="8">
                  <c:v>28.2</c:v>
                </c:pt>
                <c:pt idx="9">
                  <c:v>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8.3</c:v>
                </c:pt>
                <c:pt idx="1">
                  <c:v>8.3</c:v>
                </c:pt>
                <c:pt idx="2">
                  <c:v>8.3</c:v>
                </c:pt>
                <c:pt idx="3">
                  <c:v>8.3</c:v>
                </c:pt>
                <c:pt idx="4">
                  <c:v>8.3</c:v>
                </c:pt>
                <c:pt idx="5">
                  <c:v>8.3</c:v>
                </c:pt>
                <c:pt idx="6">
                  <c:v>8.3</c:v>
                </c:pt>
                <c:pt idx="7">
                  <c:v>8.3</c:v>
                </c:pt>
                <c:pt idx="8">
                  <c:v>8.3</c:v>
                </c:pt>
                <c:pt idx="9">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55.2</c:v>
                </c:pt>
                <c:pt idx="1">
                  <c:v>53.1</c:v>
                </c:pt>
                <c:pt idx="2">
                  <c:v>72.2</c:v>
                </c:pt>
                <c:pt idx="3">
                  <c:v>61.3</c:v>
                </c:pt>
                <c:pt idx="4">
                  <c:v>50.6</c:v>
                </c:pt>
                <c:pt idx="5">
                  <c:v>49</c:v>
                </c:pt>
                <c:pt idx="6">
                  <c:v>47.3</c:v>
                </c:pt>
                <c:pt idx="7">
                  <c:v>49.9</c:v>
                </c:pt>
                <c:pt idx="8">
                  <c:v>50.9</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2.29</c:v>
                </c:pt>
                <c:pt idx="1">
                  <c:v>1.74</c:v>
                </c:pt>
                <c:pt idx="2">
                  <c:v>2.28</c:v>
                </c:pt>
                <c:pt idx="3">
                  <c:v>1.9</c:v>
                </c:pt>
                <c:pt idx="4">
                  <c:v>1.34</c:v>
                </c:pt>
                <c:pt idx="5">
                  <c:v>0.97</c:v>
                </c:pt>
                <c:pt idx="6">
                  <c:v>1.28</c:v>
                </c:pt>
                <c:pt idx="7">
                  <c:v>1.29</c:v>
                </c:pt>
                <c:pt idx="8">
                  <c:v>1.2</c:v>
                </c:pt>
                <c:pt idx="9">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c:v>
                </c:pt>
                <c:pt idx="7">
                  <c:v>2033+</c:v>
                </c:pt>
              </c:strCache>
            </c:strRef>
          </c:cat>
          <c:val>
            <c:numRef>
              <c:f>Hoja1!$B$2:$B$9</c:f>
              <c:numCache>
                <c:formatCode>#,##0</c:formatCode>
                <c:ptCount val="8"/>
                <c:pt idx="0">
                  <c:v>0</c:v>
                </c:pt>
                <c:pt idx="1">
                  <c:v>750</c:v>
                </c:pt>
                <c:pt idx="2">
                  <c:v>1350</c:v>
                </c:pt>
                <c:pt idx="3">
                  <c:v>2000</c:v>
                </c:pt>
                <c:pt idx="4">
                  <c:v>750</c:v>
                </c:pt>
                <c:pt idx="5">
                  <c:v>0</c:v>
                </c:pt>
                <c:pt idx="6">
                  <c:v>750</c:v>
                </c:pt>
                <c:pt idx="7">
                  <c:v>3550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88</c:v>
                </c:pt>
                <c:pt idx="1">
                  <c:v>82</c:v>
                </c:pt>
                <c:pt idx="2">
                  <c:v>1998</c:v>
                </c:pt>
                <c:pt idx="3">
                  <c:v>195</c:v>
                </c:pt>
                <c:pt idx="4">
                  <c:v>113</c:v>
                </c:pt>
                <c:pt idx="5">
                  <c:v>14</c:v>
                </c:pt>
                <c:pt idx="6">
                  <c:v>312</c:v>
                </c:pt>
                <c:pt idx="7">
                  <c:v>155</c:v>
                </c:pt>
                <c:pt idx="8">
                  <c:v>8</c:v>
                </c:pt>
                <c:pt idx="9">
                  <c:v>24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188</c:v>
                </c:pt>
                <c:pt idx="1">
                  <c:v>206</c:v>
                </c:pt>
                <c:pt idx="2">
                  <c:v>243</c:v>
                </c:pt>
                <c:pt idx="3">
                  <c:v>314</c:v>
                </c:pt>
                <c:pt idx="4">
                  <c:v>380</c:v>
                </c:pt>
                <c:pt idx="5">
                  <c:v>474</c:v>
                </c:pt>
                <c:pt idx="6">
                  <c:v>611</c:v>
                </c:pt>
                <c:pt idx="7">
                  <c:v>692</c:v>
                </c:pt>
                <c:pt idx="8">
                  <c:v>786</c:v>
                </c:pt>
                <c:pt idx="9">
                  <c:v>889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c:v>
                </c:pt>
                <c:pt idx="1">
                  <c:v>500</c:v>
                </c:pt>
                <c:pt idx="2">
                  <c:v>698</c:v>
                </c:pt>
                <c:pt idx="3">
                  <c:v>626</c:v>
                </c:pt>
                <c:pt idx="4">
                  <c:v>250</c:v>
                </c:pt>
                <c:pt idx="5">
                  <c:v>778</c:v>
                </c:pt>
                <c:pt idx="6">
                  <c:v>1632</c:v>
                </c:pt>
                <c:pt idx="7">
                  <c:v>1092</c:v>
                </c:pt>
                <c:pt idx="8">
                  <c:v>1866</c:v>
                </c:pt>
                <c:pt idx="9">
                  <c:v>3246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Vanguard Capital Management</c:v>
                </c:pt>
                <c:pt idx="2">
                  <c:v>Vanguard Portfolio Management</c:v>
                </c:pt>
                <c:pt idx="3">
                  <c:v>Consejeros y directivos (22 personas)</c:v>
                </c:pt>
                <c:pt idx="4">
                  <c:v>Autocartera</c:v>
                </c:pt>
              </c:strCache>
            </c:strRef>
          </c:cat>
          <c:val>
            <c:numRef>
              <c:f>Hoja1!$B$2:$B$6</c:f>
              <c:numCache>
                <c:formatCode>0.0"%"</c:formatCode>
                <c:ptCount val="5"/>
                <c:pt idx="0">
                  <c:v>9</c:v>
                </c:pt>
                <c:pt idx="1">
                  <c:v>7.17</c:v>
                </c:pt>
                <c:pt idx="2">
                  <c:v>5.7</c:v>
                </c:pt>
                <c:pt idx="3">
                  <c:v>0.22</c:v>
                </c:pt>
                <c:pt idx="4">
                  <c:v>17.48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12.6</c:v>
                </c:pt>
                <c:pt idx="1">
                  <c:v>35.5</c:v>
                </c:pt>
                <c:pt idx="2">
                  <c:v>19.4</c:v>
                </c:pt>
                <c:pt idx="3">
                  <c:v>55.7</c:v>
                </c:pt>
                <c:pt idx="4">
                  <c:v>25.8</c:v>
                </c:pt>
                <c:pt idx="5">
                  <c:v>48.3</c:v>
                </c:pt>
                <c:pt idx="6">
                  <c:v>-39.5</c:v>
                </c:pt>
                <c:pt idx="7">
                  <c:v>35.9</c:v>
                </c:pt>
                <c:pt idx="8">
                  <c:v>-16.6</c:v>
                </c:pt>
                <c:pt idx="9">
                  <c:v>-21.8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18.6</c:v>
                </c:pt>
                <c:pt idx="1">
                  <c:v>20</c:v>
                </c:pt>
                <c:pt idx="2">
                  <c:v>21.9</c:v>
                </c:pt>
                <c:pt idx="3">
                  <c:v>28.7</c:v>
                </c:pt>
                <c:pt idx="4">
                  <c:v>30.8</c:v>
                </c:pt>
                <c:pt idx="5">
                  <c:v>37.2</c:v>
                </c:pt>
                <c:pt idx="6">
                  <c:v>21.7</c:v>
                </c:pt>
                <c:pt idx="7">
                  <c:v>27.3</c:v>
                </c:pt>
                <c:pt idx="8">
                  <c:v>20.5</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21.8</c:v>
                </c:pt>
                <c:pt idx="1">
                  <c:v>21.8</c:v>
                </c:pt>
                <c:pt idx="2">
                  <c:v>21.8</c:v>
                </c:pt>
                <c:pt idx="3">
                  <c:v>21.8</c:v>
                </c:pt>
                <c:pt idx="4">
                  <c:v>21.8</c:v>
                </c:pt>
                <c:pt idx="5">
                  <c:v>21.8</c:v>
                </c:pt>
                <c:pt idx="6">
                  <c:v>21.8</c:v>
                </c:pt>
                <c:pt idx="7">
                  <c:v>21.8</c:v>
                </c:pt>
                <c:pt idx="8">
                  <c:v>21.8</c:v>
                </c:pt>
                <c:pt idx="9">
                  <c:v>21.8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Zoetis</c:v>
                </c:pt>
                <c:pt idx="1">
                  <c:v>IDEXX Laboratories</c:v>
                </c:pt>
                <c:pt idx="2">
                  <c:v>Elanco Animal Health</c:v>
                </c:pt>
                <c:pt idx="3">
                  <c:v>Phibro Animal Health</c:v>
                </c:pt>
                <c:pt idx="4">
                  <c:v>Neogen</c:v>
                </c:pt>
                <c:pt idx="5">
                  <c:v>Virbac</c:v>
                </c:pt>
                <c:pt idx="6">
                  <c:v>Vetoquinol</c:v>
                </c:pt>
              </c:strCache>
            </c:strRef>
          </c:cat>
          <c:val>
            <c:numRef>
              <c:f>Hoja1!$B$2:$B$8</c:f>
              <c:numCache>
                <c:formatCode>0.0"x"</c:formatCode>
                <c:ptCount val="7"/>
                <c:pt idx="0">
                  <c:v>10.8</c:v>
                </c:pt>
                <c:pt idx="1">
                  <c:v>25</c:v>
                </c:pt>
                <c:pt idx="2">
                  <c:v>13.7</c:v>
                </c:pt>
                <c:pt idx="3">
                  <c:v>8.6</c:v>
                </c:pt>
                <c:pt idx="4">
                  <c:v>18.1</c:v>
                </c:pt>
                <c:pt idx="5">
                  <c:v>9.1</c:v>
                </c:pt>
                <c:pt idx="6">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Zoetis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c:v>
                </c:pt>
              </c:numCache>
            </c:numRef>
          </c:xVal>
          <c:yVal>
            <c:numRef>
              <c:f>Hoja1!$C$2</c:f>
              <c:numCache>
                <c:formatCode>0.0"x"</c:formatCode>
                <c:ptCount val="1"/>
                <c:pt idx="0">
                  <c:v>10.8</c:v>
                </c:pt>
              </c:numCache>
            </c:numRef>
          </c:yVal>
          <c:smooth val="0"/>
        </c:ser>
        <c:ser>
          <c:idx val="1"/>
          <c:order val="1"/>
          <c:tx>
            <c:strRef>
              <c:f>Hoja1!$A$3</c:f>
              <c:strCache>
                <c:ptCount val="1"/>
                <c:pt idx="0">
                  <c:v>IDEXX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9.2</c:v>
                </c:pt>
              </c:numCache>
            </c:numRef>
          </c:xVal>
          <c:yVal>
            <c:numRef>
              <c:f>Hoja1!$C$3</c:f>
              <c:numCache>
                <c:formatCode>0.0"x"</c:formatCode>
                <c:ptCount val="1"/>
                <c:pt idx="0">
                  <c:v>25</c:v>
                </c:pt>
              </c:numCache>
            </c:numRef>
          </c:yVal>
          <c:smooth val="0"/>
        </c:ser>
        <c:ser>
          <c:idx val="2"/>
          <c:order val="2"/>
          <c:tx>
            <c:strRef>
              <c:f>Hoja1!$A$4</c:f>
              <c:strCache>
                <c:ptCount val="1"/>
                <c:pt idx="0">
                  <c:v>Elanco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6.6</c:v>
                </c:pt>
              </c:numCache>
            </c:numRef>
          </c:xVal>
          <c:yVal>
            <c:numRef>
              <c:f>Hoja1!$C$4</c:f>
              <c:numCache>
                <c:formatCode>0.0"x"</c:formatCode>
                <c:ptCount val="1"/>
                <c:pt idx="0">
                  <c:v>13.7</c:v>
                </c:pt>
              </c:numCache>
            </c:numRef>
          </c:yVal>
          <c:smooth val="0"/>
        </c:ser>
        <c:ser>
          <c:idx val="3"/>
          <c:order val="3"/>
          <c:tx>
            <c:strRef>
              <c:f>Hoja1!$A$5</c:f>
              <c:strCache>
                <c:ptCount val="1"/>
                <c:pt idx="0">
                  <c:v>Phibro Animal Health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8.6</c:v>
                </c:pt>
              </c:numCache>
            </c:numRef>
          </c:yVal>
          <c:smooth val="0"/>
        </c:ser>
        <c:ser>
          <c:idx val="4"/>
          <c:order val="4"/>
          <c:tx>
            <c:strRef>
              <c:f>Hoja1!$A$6</c:f>
              <c:strCache>
                <c:ptCount val="1"/>
                <c:pt idx="0">
                  <c:v>Neogen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0.4</c:v>
                </c:pt>
              </c:numCache>
            </c:numRef>
          </c:xVal>
          <c:yVal>
            <c:numRef>
              <c:f>Hoja1!$C$6</c:f>
              <c:numCache>
                <c:formatCode>0.0"x"</c:formatCode>
                <c:ptCount val="1"/>
                <c:pt idx="0">
                  <c:v>18.1</c:v>
                </c:pt>
              </c:numCache>
            </c:numRef>
          </c:yVal>
          <c:smooth val="0"/>
        </c:ser>
        <c:ser>
          <c:idx val="5"/>
          <c:order val="5"/>
          <c:tx>
            <c:strRef>
              <c:f>Hoja1!$A$7</c:f>
              <c:strCache>
                <c:ptCount val="1"/>
                <c:pt idx="0">
                  <c:v>Virbac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c:v>
                </c:pt>
              </c:numCache>
            </c:numRef>
          </c:xVal>
          <c:yVal>
            <c:numRef>
              <c:f>Hoja1!$C$7</c:f>
              <c:numCache>
                <c:formatCode>0.0"x"</c:formatCode>
                <c:ptCount val="1"/>
                <c:pt idx="0">
                  <c:v>9.1</c:v>
                </c:pt>
              </c:numCache>
            </c:numRef>
          </c:yVal>
          <c:smooth val="0"/>
        </c:ser>
        <c:ser>
          <c:idx val="6"/>
          <c:order val="6"/>
          <c:tx>
            <c:strRef>
              <c:f>Hoja1!$A$8</c:f>
              <c:strCache>
                <c:ptCount val="1"/>
                <c:pt idx="0">
                  <c:v>Vetoquinol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2.5</c:v>
                </c:pt>
              </c:numCache>
            </c:numRef>
          </c:xVal>
          <c:yVal>
            <c:numRef>
              <c:f>Hoja1!$C$8</c:f>
              <c:numCache>
                <c:formatCode>0.0"x"</c:formatCode>
                <c:ptCount val="1"/>
                <c:pt idx="0">
                  <c:v>6.1</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Aditivos medicados para pienso de Zoetis</c:v>
                </c:pt>
                <c:pt idx="1">
                  <c:v>Sasaeah (Japón)</c:v>
                </c:pt>
                <c:pt idx="2">
                  <c:v>Dechra Pharmaceuticals</c:v>
                </c:pt>
                <c:pt idx="3">
                  <c:v>Heska</c:v>
                </c:pt>
                <c:pt idx="4">
                  <c:v>Covetrus</c:v>
                </c:pt>
                <c:pt idx="5">
                  <c:v>Bayer Animal Health</c:v>
                </c:pt>
                <c:pt idx="6">
                  <c:v>Abaxis</c:v>
                </c:pt>
              </c:strCache>
            </c:strRef>
          </c:cat>
          <c:val>
            <c:numRef>
              <c:f>Hoja1!$B$2:$B$8</c:f>
              <c:numCache>
                <c:formatCode>0.0"x"</c:formatCode>
                <c:ptCount val="7"/>
                <c:pt idx="2">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2573</c:v>
                </c:pt>
                <c:pt idx="1">
                  <c:v>2504</c:v>
                </c:pt>
                <c:pt idx="2">
                  <c:v>2569</c:v>
                </c:pt>
                <c:pt idx="3">
                  <c:v>2702</c:v>
                </c:pt>
                <c:pt idx="4">
                  <c:v>2826</c:v>
                </c:pt>
                <c:pt idx="5">
                  <c:v>2884</c:v>
                </c:pt>
                <c:pt idx="6">
                  <c:v>3000</c:v>
                </c:pt>
                <c:pt idx="7">
                  <c:v>3097</c:v>
                </c:pt>
                <c:pt idx="8">
                  <c:v>3218</c:v>
                </c:pt>
                <c:pt idx="9">
                  <c:v>3335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18459</c:v>
                </c:pt>
                <c:pt idx="1">
                  <c:v>30977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78,23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60.74</c:v>
                </c:pt>
                <c:pt idx="1">
                  <c:v>100.56</c:v>
                </c:pt>
                <c:pt idx="2">
                  <c:v>119.94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78,23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(68,77 – 146,11)</c:v>
                </c:pt>
                <c:pt idx="1">
                  <c:v>Precio objetivo de los analistas (74,00 – 115,00)</c:v>
                </c:pt>
                <c:pt idx="2">
                  <c:v>Comparables: EV/EBITDA NTM (59,95 – 134,60)</c:v>
                </c:pt>
                <c:pt idx="3">
                  <c:v>Comparables: PER NTM (89,25 – 205,87)</c:v>
                </c:pt>
                <c:pt idx="4">
                  <c:v>Transacciones precedentes (EV/ventas) (50,61 – 111,59)</c:v>
                </c:pt>
                <c:pt idx="5">
                  <c:v>DCF (WACC y g ± 0,5) (84,98 – 123,20)</c:v>
                </c:pt>
                <c:pt idx="6">
                  <c:v>Escenarios (bajista – alcista) (60,74 – 119,94)</c:v>
                </c:pt>
                <c:pt idx="7">
                  <c:v>DCF con la prima implícita del mercado (4,2 %)</c:v>
                </c:pt>
                <c:pt idx="8">
                  <c:v>Precio actual (78,23)</c:v>
                </c:pt>
              </c:strCache>
            </c:strRef>
          </c:cat>
          <c:val>
            <c:numRef>
              <c:f>Hoja1!$B$2:$B$10</c:f>
              <c:numCache>
                <c:formatCode>#,##0</c:formatCode>
                <c:ptCount val="9"/>
                <c:pt idx="0">
                  <c:v>68.77</c:v>
                </c:pt>
                <c:pt idx="1">
                  <c:v>74</c:v>
                </c:pt>
                <c:pt idx="2">
                  <c:v>59.95</c:v>
                </c:pt>
                <c:pt idx="3">
                  <c:v>89.25</c:v>
                </c:pt>
                <c:pt idx="4">
                  <c:v>50.61</c:v>
                </c:pt>
                <c:pt idx="5">
                  <c:v>84.98</c:v>
                </c:pt>
                <c:pt idx="6">
                  <c:v>60.74</c:v>
                </c:pt>
                <c:pt idx="7">
                  <c:v>101.44</c:v>
                </c:pt>
                <c:pt idx="8">
                  <c:v>77.84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(68,77 – 146,11)</c:v>
                </c:pt>
                <c:pt idx="1">
                  <c:v>Precio objetivo de los analistas (74,00 – 115,00)</c:v>
                </c:pt>
                <c:pt idx="2">
                  <c:v>Comparables: EV/EBITDA NTM (59,95 – 134,60)</c:v>
                </c:pt>
                <c:pt idx="3">
                  <c:v>Comparables: PER NTM (89,25 – 205,87)</c:v>
                </c:pt>
                <c:pt idx="4">
                  <c:v>Transacciones precedentes (EV/ventas) (50,61 – 111,59)</c:v>
                </c:pt>
                <c:pt idx="5">
                  <c:v>DCF (WACC y g ± 0,5) (84,98 – 123,20)</c:v>
                </c:pt>
                <c:pt idx="6">
                  <c:v>Escenarios (bajista – alcista) (60,74 – 119,94)</c:v>
                </c:pt>
                <c:pt idx="7">
                  <c:v>DCF con la prima implícita del mercado (4,2 %)</c:v>
                </c:pt>
                <c:pt idx="8">
                  <c:v>Precio actual (78,23)</c:v>
                </c:pt>
              </c:strCache>
            </c:strRef>
          </c:cat>
          <c:val>
            <c:numRef>
              <c:f>Hoja1!$C$2:$C$10</c:f>
              <c:numCache>
                <c:formatCode>#,##0</c:formatCode>
                <c:ptCount val="9"/>
                <c:pt idx="0">
                  <c:v>77.34000000000002</c:v>
                </c:pt>
                <c:pt idx="1">
                  <c:v>41</c:v>
                </c:pt>
                <c:pt idx="2">
                  <c:v>74.64999999999999</c:v>
                </c:pt>
                <c:pt idx="3">
                  <c:v>116.62</c:v>
                </c:pt>
                <c:pt idx="4">
                  <c:v>60.980000000000004</c:v>
                </c:pt>
                <c:pt idx="5">
                  <c:v>38.22</c:v>
                </c:pt>
                <c:pt idx="6">
                  <c:v>59.199999999999996</c:v>
                </c:pt>
                <c:pt idx="7">
                  <c:v>27.74000000000001</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