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fcc1658468a61d49074ccb0691deecc458f365"/>
    <w:p>
      <w:pPr>
        <w:pStyle w:val="Heading1"/>
      </w:pPr>
      <w:r>
        <w:t xml:space="preserve">argenx SE (ARGX): análisis growth, 14-oct-2026</w:t>
      </w:r>
    </w:p>
    <w:p>
      <w:pPr>
        <w:pStyle w:val="FirstParagraph"/>
      </w:pPr>
      <w:r>
        <w:rPr>
          <w:bCs/>
          <w:b/>
        </w:rPr>
        <w:t xml:space="preserve">Señal (método v7): Comprar (convicción baja)</w:t>
      </w:r>
      <w:r>
        <w:t xml:space="preserve"> </w:t>
      </w:r>
      <w:r>
        <w:t xml:space="preserve">· Puntuación 70,5/100 · Señales de cambio de tendencia 3/8 · EV/beneficio bruto 7,6x</w:t>
      </w:r>
      <w:r>
        <w:t xml:space="preserve"> </w:t>
      </w:r>
      <w:r>
        <w:t xml:space="preserve">Precio 817,16 USD · Objetivo 12 m 1190,8 USD (ponderada +45,7 %, base +40,8 %, bajista -37,2 %, alcista +138,5 %) · Compra hasta 1134,1 USD</w:t>
      </w:r>
      <w:r>
        <w:t xml:space="preserve"> </w:t>
      </w:r>
      <w:r>
        <w:t xml:space="preserve">Peso orientativo: 3,5 % de la cartera · Por qué: cumple todos los requisitos de compra</w:t>
      </w:r>
    </w:p>
    <w:p>
      <w:pPr>
        <w:pStyle w:val="BlockText"/>
      </w:pPr>
      <w:r>
        <w:rPr>
          <w:bCs/>
          <w:b/>
        </w:rPr>
        <w:t xml:space="preserve">Calculado con el método v7</w:t>
      </w:r>
      <w:r>
        <w:t xml:space="preserve"> </w:t>
      </w:r>
      <w:r>
        <w:t xml:space="preserve">(vigente desde el 14-oct tras el backtest de 71 casos,</w:t>
      </w:r>
      <w:r>
        <w:t xml:space="preserve"> </w:t>
      </w:r>
      <w:r>
        <w:rPr>
          <w:rStyle w:val="VerbatimChar"/>
        </w:rPr>
        <w:t xml:space="preserve">verticales/growth/metodo.md</w:t>
      </w:r>
      <w:r>
        <w:t xml:space="preserve"> </w:t>
      </w:r>
      <w:r>
        <w:t xml:space="preserve">§6). Si la sección 9 enseña otras cifras de valoración, son del borrador con la proyección del analista; mandan las de arriba: ventas con la regla mecánica (12612 M en el base) y múltiplo de hoy con rebaja por desaceleración (3,4x / 5,6x / 8,5x).</w:t>
      </w:r>
    </w:p>
    <w:bookmarkStart w:id="20" w:name="la-tesis-en-cinco-líneas"/>
    <w:p>
      <w:pPr>
        <w:pStyle w:val="Heading2"/>
      </w:pPr>
      <w:r>
        <w:t xml:space="preserve">1. La tesis en cinco líneas</w:t>
      </w:r>
    </w:p>
    <w:p>
      <w:pPr>
        <w:numPr>
          <w:ilvl w:val="0"/>
          <w:numId w:val="1001"/>
        </w:numPr>
        <w:pStyle w:val="Compact"/>
      </w:pPr>
      <w:r>
        <w:t xml:space="preserve">Vyvgart (efgartigimod) es el primer anti-FcRn aprobado y el líder en miastenia gravis generalizada y en PDIC. Sus ventas pasaron de ~1.580 M USD a 5.220 M USD en dos años (CAGR del +82 %), con un margen bruto del 90 % y un margen operativo que ya es del 32 %. La economía unitaria saca la nota máxima (15/15) y la regla del 40 da 89.</w:t>
      </w:r>
    </w:p>
    <w:p>
      <w:pPr>
        <w:numPr>
          <w:ilvl w:val="0"/>
          <w:numId w:val="1001"/>
        </w:numPr>
        <w:pStyle w:val="Compact"/>
      </w:pPr>
      <w:r>
        <w:t xml:space="preserve">La valoración es moderada para lo que crece: EV/ventas NTM de 6,9x y EV/beneficio bruto de 7,6x, muy lejos del tope de 35 del método. El múltiplo lleva un año comprimiéndose (~9x hace 12 meses) porque las ventas suben más que el precio.</w:t>
      </w:r>
    </w:p>
    <w:p>
      <w:pPr>
        <w:numPr>
          <w:ilvl w:val="0"/>
          <w:numId w:val="1001"/>
        </w:numPr>
        <w:pStyle w:val="Compact"/>
      </w:pPr>
      <w:r>
        <w:t xml:space="preserve">Lo que falla es la tendencia. Solo hay 3 de 8 señales: revisiones al alza, inflexión operativa y catalizadores. El 8-oct se detuvo por futilidad el fase 3 en Sjögren, la acción cayó un 12-16 % y quedó por debajo de la media de 200 sesiones y a −24 % de su máximo de septiembre. El sentimiento se ha enfriado.</w:t>
      </w:r>
    </w:p>
    <w:p>
      <w:pPr>
        <w:numPr>
          <w:ilvl w:val="0"/>
          <w:numId w:val="1001"/>
        </w:numPr>
        <w:pStyle w:val="Compact"/>
      </w:pPr>
      <w:r>
        <w:t xml:space="preserve">El crecimiento desacelera de forma natural por el tamaño: de +98 % a +60 % en un año (−23,7 pp de aceleración). El mercado lo descuenta: el DCF inverso pide solo ~9,5 % anual a 10 años.</w:t>
      </w:r>
    </w:p>
    <w:p>
      <w:pPr>
        <w:numPr>
          <w:ilvl w:val="0"/>
          <w:numId w:val="1001"/>
        </w:numPr>
        <w:pStyle w:val="Compact"/>
      </w:pPr>
      <w:r>
        <w:t xml:space="preserve">Conclusión: es un buen negocio a un precio razonable, pero sin el giro de percepción que exige el método. La señal es Mantener: no compra por falta de señales, no por precio. Pasaría a Comprar si recupera la media de 200 sesiones con los resultados del 3T (22-oct) o con la lectura de EMPASSION (4T), siempre que el precio siga por debajo de ~1.080 USD.</w:t>
      </w:r>
    </w:p>
    <w:bookmarkEnd w:id="20"/>
    <w:bookmarkStart w:id="21" w:name="negocio-y-tecnología"/>
    <w:p>
      <w:pPr>
        <w:pStyle w:val="Heading2"/>
      </w:pPr>
      <w:r>
        <w:t xml:space="preserve">2. Negocio y tecnología</w:t>
      </w:r>
    </w:p>
    <w:p>
      <w:pPr>
        <w:pStyle w:val="FirstParagraph"/>
      </w:pPr>
      <w:r>
        <w:t xml:space="preserve">argenx (Países Bajos/Bélgica; cotiza en Euronext Bruselas y en el Nasdaq como ADR) es una biotecnológica de inmunología. Su producto es</w:t>
      </w:r>
      <w:r>
        <w:t xml:space="preserve"> </w:t>
      </w:r>
      <w:r>
        <w:rPr>
          <w:bCs/>
          <w:b/>
        </w:rPr>
        <w:t xml:space="preserve">Vyvgart</w:t>
      </w:r>
      <w:r>
        <w:t xml:space="preserve"> </w:t>
      </w:r>
      <w:r>
        <w:t xml:space="preserve">(efgartigimod alfa, intravenoso) y</w:t>
      </w:r>
      <w:r>
        <w:t xml:space="preserve"> </w:t>
      </w:r>
      <w:r>
        <w:rPr>
          <w:bCs/>
          <w:b/>
        </w:rPr>
        <w:t xml:space="preserve">Vyvgart Hytrulo</w:t>
      </w:r>
      <w:r>
        <w:t xml:space="preserve"> </w:t>
      </w:r>
      <w:r>
        <w:t xml:space="preserve">(subcutáneo, con la tecnología ENHANZE de Halozyme; desde 2025 también en jeringa precargada). Es un fragmento de anticuerpo que bloquea el receptor FcRn y reduce los autoanticuerpos IgG: un mecanismo que sirve para muchas enfermedades autoinmunes mediadas por IgG.</w:t>
      </w:r>
    </w:p>
    <w:p>
      <w:pPr>
        <w:numPr>
          <w:ilvl w:val="0"/>
          <w:numId w:val="1002"/>
        </w:numPr>
        <w:pStyle w:val="Compact"/>
      </w:pPr>
      <w:r>
        <w:rPr>
          <w:bCs/>
          <w:b/>
        </w:rPr>
        <w:t xml:space="preserve">Indicaciones aprobadas</w:t>
      </w:r>
      <w:r>
        <w:t xml:space="preserve">: miastenia gravis generalizada (desde mayo de 2026 en todos los serotipos, también seronegativa, el primer fármaco con esa etiqueta [17]), PDIC (polineuropatía desmielinizante inflamatoria crónica) y PTI en Japón.</w:t>
      </w:r>
      <w:r>
        <w:t xml:space="preserve"> </w:t>
      </w:r>
      <w:r>
        <w:rPr>
          <w:bCs/>
          <w:b/>
        </w:rPr>
        <w:t xml:space="preserve">En camino</w:t>
      </w:r>
      <w:r>
        <w:t xml:space="preserve">: miastenia ocular (ADAPT OCULUS positivo), miositis autoinmune (ALKIVIA positivo el 17-ago, significativo en IMNM y no en dermatomiositis) [16].</w:t>
      </w:r>
    </w:p>
    <w:p>
      <w:pPr>
        <w:numPr>
          <w:ilvl w:val="0"/>
          <w:numId w:val="1002"/>
        </w:numPr>
        <w:pStyle w:val="Compact"/>
      </w:pPr>
      <w:r>
        <w:rPr>
          <w:bCs/>
          <w:b/>
        </w:rPr>
        <w:t xml:space="preserve">Cartera</w:t>
      </w:r>
      <w:r>
        <w:t xml:space="preserve">: empasiprubart (anti-C2) en NMM (lectura en el 4T 2026) y en PDIC (2S 2027); ARGX-119; FB102 en celiaquía (fase 2 positiva el 8-oct, pasa a fase 3) [8][17].</w:t>
      </w:r>
    </w:p>
    <w:p>
      <w:pPr>
        <w:numPr>
          <w:ilvl w:val="0"/>
          <w:numId w:val="1002"/>
        </w:numPr>
        <w:pStyle w:val="Compact"/>
      </w:pPr>
      <w:r>
        <w:rPr>
          <w:bCs/>
          <w:b/>
        </w:rPr>
        <w:t xml:space="preserve">Clientes</w:t>
      </w:r>
      <w:r>
        <w:t xml:space="preserve">: neurólogos y hospitales; ~85 % de las ventas en EE. UU. (1.300 de ~1.515 M USD en el 2T) [1]. Precio de ~225.000 USD por paciente y año en EE. UU.</w:t>
      </w:r>
    </w:p>
    <w:p>
      <w:pPr>
        <w:numPr>
          <w:ilvl w:val="0"/>
          <w:numId w:val="1002"/>
        </w:numPr>
        <w:pStyle w:val="Compact"/>
      </w:pPr>
      <w:r>
        <w:rPr>
          <w:bCs/>
          <w:b/>
        </w:rPr>
        <w:t xml:space="preserve">Meta Vision 2030</w:t>
      </w:r>
      <w:r>
        <w:t xml:space="preserve">: 50.000 pacientes en tratamiento, 10 indicaciones aprobadas y 5 moléculas en fase 3 [20].</w:t>
      </w:r>
    </w:p>
    <w:p>
      <w:pPr>
        <w:pStyle w:val="FirstParagraph"/>
      </w:pPr>
      <w:r>
        <w:rPr>
          <w:bCs/>
          <w:b/>
        </w:rPr>
        <w:t xml:space="preserve">Tecnología 4/5</w:t>
      </w:r>
      <w:r>
        <w:t xml:space="preserve">: es la primera de su clase, con la mayor base de datos de seguridad, formato subcutáneo y autoinyector en 2027. No se le da el 5 porque hay alternativas en el mismo mecanismo (nipocalimab de J&amp;J, rozanolixizumab de UCB y, más adelante, el IMVT-1402 de Immunovant) y en otros (inhibidores del complemento).</w:t>
      </w:r>
      <w:r>
        <w:t xml:space="preserve"> </w:t>
      </w:r>
      <w:r>
        <w:rPr>
          <w:bCs/>
          <w:b/>
        </w:rPr>
        <w:t xml:space="preserve">Posición 5/5</w:t>
      </w:r>
      <w:r>
        <w:t xml:space="preserve">: es el líder claro con cuota creciente. Solo Vyvgart tiene etiqueta en todos los serotipos de miastenia y en PDIC [20].</w:t>
      </w:r>
    </w:p>
    <w:bookmarkEnd w:id="21"/>
    <w:bookmarkStart w:id="22" w:name="crecimiento"/>
    <w:p>
      <w:pPr>
        <w:pStyle w:val="Heading2"/>
      </w:pPr>
      <w:r>
        <w:t xml:space="preserve">3. Crecimiento</w:t>
      </w:r>
    </w:p>
    <w:p>
      <w:pPr>
        <w:pStyle w:val="FirstParagraph"/>
      </w:pPr>
      <w:r>
        <w:t xml:space="preserve">Ventas netas de producto (M USD) [1][2][18]: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w:t>
            </w:r>
          </w:p>
        </w:tc>
        <w:tc>
          <w:tcPr/>
          <w:p>
            <w:pPr>
              <w:pStyle w:val="Compact"/>
              <w:jc w:val="left"/>
            </w:pPr>
            <w:r>
              <w:t xml:space="preserve">Ventas</w:t>
            </w:r>
          </w:p>
        </w:tc>
        <w:tc>
          <w:tcPr/>
          <w:p>
            <w:pPr>
              <w:pStyle w:val="Compact"/>
              <w:jc w:val="left"/>
            </w:pPr>
            <w:r>
              <w:t xml:space="preserve">Crec. interanual</w:t>
            </w:r>
          </w:p>
        </w:tc>
      </w:tr>
      <w:tr>
        <w:tc>
          <w:tcPr/>
          <w:p>
            <w:pPr>
              <w:pStyle w:val="Compact"/>
              <w:jc w:val="left"/>
            </w:pPr>
            <w:r>
              <w:t xml:space="preserve">2T 2025</w:t>
            </w:r>
          </w:p>
        </w:tc>
        <w:tc>
          <w:tcPr/>
          <w:p>
            <w:pPr>
              <w:pStyle w:val="Compact"/>
              <w:jc w:val="left"/>
            </w:pPr>
            <w:r>
              <w:t xml:space="preserve">949</w:t>
            </w:r>
          </w:p>
        </w:tc>
        <w:tc>
          <w:tcPr/>
          <w:p>
            <w:pPr>
              <w:pStyle w:val="Compact"/>
              <w:jc w:val="left"/>
            </w:pPr>
            <w:r>
              <w:t xml:space="preserve">+98,5 %</w:t>
            </w:r>
          </w:p>
        </w:tc>
      </w:tr>
      <w:tr>
        <w:tc>
          <w:tcPr/>
          <w:p>
            <w:pPr>
              <w:pStyle w:val="Compact"/>
              <w:jc w:val="left"/>
            </w:pPr>
            <w:r>
              <w:t xml:space="preserve">3T 2025</w:t>
            </w:r>
          </w:p>
        </w:tc>
        <w:tc>
          <w:tcPr/>
          <w:p>
            <w:pPr>
              <w:pStyle w:val="Compact"/>
              <w:jc w:val="left"/>
            </w:pPr>
            <w:r>
              <w:t xml:space="preserve">1.127</w:t>
            </w:r>
          </w:p>
        </w:tc>
        <w:tc>
          <w:tcPr/>
          <w:p>
            <w:pPr>
              <w:pStyle w:val="Compact"/>
              <w:jc w:val="left"/>
            </w:pPr>
            <w:r>
              <w:t xml:space="preserve">+96,7 %</w:t>
            </w:r>
          </w:p>
        </w:tc>
      </w:tr>
      <w:tr>
        <w:tc>
          <w:tcPr/>
          <w:p>
            <w:pPr>
              <w:pStyle w:val="Compact"/>
              <w:jc w:val="left"/>
            </w:pPr>
            <w:r>
              <w:t xml:space="preserve">4T 2025</w:t>
            </w:r>
          </w:p>
        </w:tc>
        <w:tc>
          <w:tcPr/>
          <w:p>
            <w:pPr>
              <w:pStyle w:val="Compact"/>
              <w:jc w:val="left"/>
            </w:pPr>
            <w:r>
              <w:t xml:space="preserve">1.290</w:t>
            </w:r>
          </w:p>
        </w:tc>
        <w:tc>
          <w:tcPr/>
          <w:p>
            <w:pPr>
              <w:pStyle w:val="Compact"/>
              <w:jc w:val="left"/>
            </w:pPr>
            <w:r>
              <w:t xml:space="preserve">+75,0 %</w:t>
            </w:r>
          </w:p>
        </w:tc>
      </w:tr>
      <w:tr>
        <w:tc>
          <w:tcPr/>
          <w:p>
            <w:pPr>
              <w:pStyle w:val="Compact"/>
              <w:jc w:val="left"/>
            </w:pPr>
            <w:r>
              <w:t xml:space="preserve">1T 2026</w:t>
            </w:r>
          </w:p>
        </w:tc>
        <w:tc>
          <w:tcPr/>
          <w:p>
            <w:pPr>
              <w:pStyle w:val="Compact"/>
              <w:jc w:val="left"/>
            </w:pPr>
            <w:r>
              <w:t xml:space="preserve">~1.288</w:t>
            </w:r>
          </w:p>
        </w:tc>
        <w:tc>
          <w:tcPr/>
          <w:p>
            <w:pPr>
              <w:pStyle w:val="Compact"/>
              <w:jc w:val="left"/>
            </w:pPr>
            <w:r>
              <w:t xml:space="preserve">+63 %</w:t>
            </w:r>
          </w:p>
        </w:tc>
      </w:tr>
      <w:tr>
        <w:tc>
          <w:tcPr/>
          <w:p>
            <w:pPr>
              <w:pStyle w:val="Compact"/>
              <w:jc w:val="left"/>
            </w:pPr>
            <w:r>
              <w:t xml:space="preserve">2T 2026</w:t>
            </w:r>
          </w:p>
        </w:tc>
        <w:tc>
          <w:tcPr/>
          <w:p>
            <w:pPr>
              <w:pStyle w:val="Compact"/>
              <w:jc w:val="left"/>
            </w:pPr>
            <w:r>
              <w:t xml:space="preserve">~1.515</w:t>
            </w:r>
          </w:p>
        </w:tc>
        <w:tc>
          <w:tcPr/>
          <w:p>
            <w:pPr>
              <w:pStyle w:val="Compact"/>
              <w:jc w:val="left"/>
            </w:pPr>
            <w:r>
              <w:t xml:space="preserve">+59,6 % (+17 % trimestral)</w:t>
            </w:r>
          </w:p>
        </w:tc>
      </w:tr>
      <w:tr>
        <w:tc>
          <w:tcPr/>
          <w:p>
            <w:pPr>
              <w:pStyle w:val="Compact"/>
              <w:jc w:val="left"/>
            </w:pPr>
            <w:r>
              <w:t xml:space="preserve">3T 2026 (consenso)</w:t>
            </w:r>
          </w:p>
        </w:tc>
        <w:tc>
          <w:tcPr/>
          <w:p>
            <w:pPr>
              <w:pStyle w:val="Compact"/>
              <w:jc w:val="left"/>
            </w:pPr>
            <w:r>
              <w:t xml:space="preserve">~1.588</w:t>
            </w:r>
          </w:p>
        </w:tc>
        <w:tc>
          <w:tcPr/>
          <w:p>
            <w:pPr>
              <w:pStyle w:val="Compact"/>
              <w:jc w:val="left"/>
            </w:pPr>
            <w:r>
              <w:t xml:space="preserve">~+41 %</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Ventas</w:t>
            </w:r>
          </w:p>
        </w:tc>
        <w:tc>
          <w:tcPr/>
          <w:p>
            <w:pPr>
              <w:pStyle w:val="Compact"/>
              <w:jc w:val="left"/>
            </w:pPr>
            <w:r>
              <w:t xml:space="preserve">Crec.</w:t>
            </w:r>
          </w:p>
        </w:tc>
      </w:tr>
      <w:tr>
        <w:tc>
          <w:tcPr/>
          <w:p>
            <w:pPr>
              <w:pStyle w:val="Compact"/>
              <w:jc w:val="left"/>
            </w:pPr>
            <w:r>
              <w:t xml:space="preserve">2023</w:t>
            </w:r>
          </w:p>
        </w:tc>
        <w:tc>
          <w:tcPr/>
          <w:p>
            <w:pPr>
              <w:pStyle w:val="Compact"/>
              <w:jc w:val="left"/>
            </w:pPr>
            <w:r>
              <w:t xml:space="preserve">~1.190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~2.186</w:t>
            </w:r>
          </w:p>
        </w:tc>
        <w:tc>
          <w:tcPr/>
          <w:p>
            <w:pPr>
              <w:pStyle w:val="Compact"/>
              <w:jc w:val="left"/>
            </w:pPr>
            <w:r>
              <w:t xml:space="preserve">~+84 %</w:t>
            </w:r>
          </w:p>
        </w:tc>
      </w:tr>
      <w:tr>
        <w:tc>
          <w:tcPr/>
          <w:p>
            <w:pPr>
              <w:pStyle w:val="Compact"/>
              <w:jc w:val="left"/>
            </w:pPr>
            <w:r>
              <w:t xml:space="preserve">2025</w:t>
            </w:r>
          </w:p>
        </w:tc>
        <w:tc>
          <w:tcPr/>
          <w:p>
            <w:pPr>
              <w:pStyle w:val="Compact"/>
              <w:jc w:val="left"/>
            </w:pPr>
            <w:r>
              <w:t xml:space="preserve">4.150-4.200</w:t>
            </w:r>
          </w:p>
        </w:tc>
        <w:tc>
          <w:tcPr/>
          <w:p>
            <w:pPr>
              <w:pStyle w:val="Compact"/>
              <w:jc w:val="left"/>
            </w:pPr>
            <w:r>
              <w:t xml:space="preserve">+90 %</w:t>
            </w:r>
          </w:p>
        </w:tc>
      </w:tr>
      <w:tr>
        <w:tc>
          <w:tcPr/>
          <w:p>
            <w:pPr>
              <w:pStyle w:val="Compact"/>
              <w:jc w:val="left"/>
            </w:pPr>
            <w:r>
              <w:t xml:space="preserve">2026 consenso</w:t>
            </w:r>
          </w:p>
        </w:tc>
        <w:tc>
          <w:tcPr/>
          <w:p>
            <w:pPr>
              <w:pStyle w:val="Compact"/>
              <w:jc w:val="left"/>
            </w:pPr>
            <w:r>
              <w:t xml:space="preserve">6.150-6.220</w:t>
            </w:r>
          </w:p>
        </w:tc>
        <w:tc>
          <w:tcPr/>
          <w:p>
            <w:pPr>
              <w:pStyle w:val="Compact"/>
              <w:jc w:val="left"/>
            </w:pPr>
            <w:r>
              <w:t xml:space="preserve">~+48 %</w:t>
            </w:r>
          </w:p>
        </w:tc>
      </w:tr>
      <w:tr>
        <w:tc>
          <w:tcPr/>
          <w:p>
            <w:pPr>
              <w:pStyle w:val="Compact"/>
              <w:jc w:val="left"/>
            </w:pPr>
            <w:r>
              <w:t xml:space="preserve">2027 consenso</w:t>
            </w:r>
          </w:p>
        </w:tc>
        <w:tc>
          <w:tcPr/>
          <w:p>
            <w:pPr>
              <w:pStyle w:val="Compact"/>
              <w:jc w:val="left"/>
            </w:pPr>
            <w:r>
              <w:t xml:space="preserve">7.550-7.730</w:t>
            </w:r>
          </w:p>
        </w:tc>
        <w:tc>
          <w:tcPr/>
          <w:p>
            <w:pPr>
              <w:pStyle w:val="Compact"/>
              <w:jc w:val="left"/>
            </w:pPr>
            <w:r>
              <w:t xml:space="preserve">~+24 %</w:t>
            </w:r>
          </w:p>
        </w:tc>
      </w:tr>
      <w:tr>
        <w:tc>
          <w:tcPr/>
          <w:p>
            <w:pPr>
              <w:pStyle w:val="Compact"/>
              <w:jc w:val="left"/>
            </w:pPr>
            <w:r>
              <w:t xml:space="preserve">2028 consenso</w:t>
            </w:r>
          </w:p>
        </w:tc>
        <w:tc>
          <w:tcPr/>
          <w:p>
            <w:pPr>
              <w:pStyle w:val="Compact"/>
              <w:jc w:val="left"/>
            </w:pPr>
            <w:r>
              <w:t xml:space="preserve">~9.330</w:t>
            </w:r>
          </w:p>
        </w:tc>
        <w:tc>
          <w:tcPr/>
          <w:p>
            <w:pPr>
              <w:pStyle w:val="Compact"/>
              <w:jc w:val="left"/>
            </w:pPr>
            <w:r>
              <w:t xml:space="preserve">~+21 %</w:t>
            </w:r>
          </w:p>
        </w:tc>
      </w:tr>
    </w:tbl>
    <w:p>
      <w:pPr>
        <w:numPr>
          <w:ilvl w:val="0"/>
          <w:numId w:val="1003"/>
        </w:numPr>
        <w:pStyle w:val="Compact"/>
      </w:pPr>
      <w:r>
        <w:rPr>
          <w:bCs/>
          <w:b/>
        </w:rPr>
        <w:t xml:space="preserve">Ventas de los últimos 12 meses</w:t>
      </w:r>
      <w:r>
        <w:t xml:space="preserve"> </w:t>
      </w:r>
      <w:r>
        <w:t xml:space="preserve">(3T25-2T26):</w:t>
      </w:r>
      <w:r>
        <w:t xml:space="preserve"> </w:t>
      </w:r>
      <w:r>
        <w:rPr>
          <w:bCs/>
          <w:b/>
        </w:rPr>
        <w:t xml:space="preserve">5.220 M USD, +71,2 %</w:t>
      </w:r>
      <w:r>
        <w:t xml:space="preserve">.</w:t>
      </w:r>
      <w:r>
        <w:t xml:space="preserve"> </w:t>
      </w:r>
      <w:r>
        <w:rPr>
          <w:bCs/>
          <w:b/>
        </w:rPr>
        <w:t xml:space="preserve">CAGR propio a 2 años: +81,8 %</w:t>
      </w:r>
      <w:r>
        <w:t xml:space="preserve"> </w:t>
      </w:r>
      <w:r>
        <w:t xml:space="preserve">(1.579 M USD en los 12 meses a jun-2024).</w:t>
      </w:r>
    </w:p>
    <w:p>
      <w:pPr>
        <w:numPr>
          <w:ilvl w:val="0"/>
          <w:numId w:val="1003"/>
        </w:numPr>
        <w:pStyle w:val="Compact"/>
      </w:pPr>
      <w:r>
        <w:rPr>
          <w:bCs/>
          <w:b/>
        </w:rPr>
        <w:t xml:space="preserve">Aceleración: −23,7 pp</w:t>
      </w:r>
      <w:r>
        <w:t xml:space="preserve">. El 2T creció un 59,6 %, frente a una media del 83,3 % en los cuatro anteriores. Es la desaceleración propia de la escala, no una pérdida de cuota: el crecimiento trimestral sigue en +17 %. El 1T 2026 fue plano frente al 4T por la estacionalidad de los copagos en EE. UU. [2].</w:t>
      </w:r>
    </w:p>
    <w:p>
      <w:pPr>
        <w:numPr>
          <w:ilvl w:val="0"/>
          <w:numId w:val="1003"/>
        </w:numPr>
        <w:pStyle w:val="Compact"/>
      </w:pPr>
      <w:r>
        <w:rPr>
          <w:bCs/>
          <w:b/>
        </w:rPr>
        <w:t xml:space="preserve">Pacientes</w:t>
      </w:r>
      <w:r>
        <w:t xml:space="preserve">: ~19.000 en tratamiento a principios de 2026 (15.000 a mediados de 2025). La aprobación seronegativa añade ~11.000 pacientes potenciales [1][17].</w:t>
      </w:r>
    </w:p>
    <w:p>
      <w:pPr>
        <w:numPr>
          <w:ilvl w:val="0"/>
          <w:numId w:val="1003"/>
        </w:numPr>
        <w:pStyle w:val="Compact"/>
      </w:pPr>
      <w:r>
        <w:rPr>
          <w:bCs/>
          <w:b/>
        </w:rPr>
        <w:t xml:space="preserve">Retención</w:t>
      </w:r>
      <w:r>
        <w:t xml:space="preserve">: no aplica (no es una suscripción);</w:t>
      </w:r>
      <w:r>
        <w:t xml:space="preserve"> </w:t>
      </w:r>
      <w:r>
        <w:rPr>
          <w:rStyle w:val="VerbatimChar"/>
        </w:rPr>
        <w:t xml:space="preserve">nrr_pct</w:t>
      </w:r>
      <w:r>
        <w:t xml:space="preserve"> </w:t>
      </w:r>
      <w:r>
        <w:t xml:space="preserve">= null.</w:t>
      </w:r>
    </w:p>
    <w:p>
      <w:pPr>
        <w:numPr>
          <w:ilvl w:val="0"/>
          <w:numId w:val="1003"/>
        </w:numPr>
        <w:pStyle w:val="Compact"/>
      </w:pPr>
      <w:r>
        <w:rPr>
          <w:bCs/>
          <w:b/>
        </w:rPr>
        <w:t xml:space="preserve">Guía</w:t>
      </w:r>
      <w:r>
        <w:t xml:space="preserve">: argenx no da guía de ventas. Solo da hitos de cartera.</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en 2028: ~25.000 M USD</w:t>
      </w:r>
      <w:r>
        <w:t xml:space="preserve"> </w:t>
      </w:r>
      <w:r>
        <w:t xml:space="preserve">(estimación propia [20]). Miastenia generalizada ~12.000 M (anti-FcRn más inhibidores del complemento como Soliris/Ultomiris y Zilbrysq), PDIC ~6.000 M (sustituyendo parte de las inmunoglobulinas) y miositis, miastenia ocular, PTI y otras ~7.000 M. Como contraste, GlobalData prevé 6.500 M USD para Vyvgart en 2030, una cifra superada ya por la realidad; el consenso pone a argenx en 9.330 M USD en 2028 [9][20].</w:t>
      </w:r>
    </w:p>
    <w:p>
      <w:pPr>
        <w:numPr>
          <w:ilvl w:val="0"/>
          <w:numId w:val="1004"/>
        </w:numPr>
        <w:pStyle w:val="Compact"/>
      </w:pPr>
      <w:r>
        <w:rPr>
          <w:bCs/>
          <w:b/>
        </w:rPr>
        <w:t xml:space="preserve">Penetración</w:t>
      </w:r>
      <w:r>
        <w:t xml:space="preserve">: 5.220 / 25.000 =</w:t>
      </w:r>
      <w:r>
        <w:t xml:space="preserve"> </w:t>
      </w:r>
      <w:r>
        <w:rPr>
          <w:bCs/>
          <w:b/>
        </w:rPr>
        <w:t xml:space="preserve">20,9 %</w:t>
      </w:r>
      <w:r>
        <w:t xml:space="preserve">. Puntúa 1/5, pero esto refleja que es líder, no que el mercado sea pequeño (ver la propuesta de mejora).</w:t>
      </w:r>
    </w:p>
    <w:p>
      <w:pPr>
        <w:numPr>
          <w:ilvl w:val="0"/>
          <w:numId w:val="1004"/>
        </w:numPr>
        <w:pStyle w:val="Compact"/>
      </w:pPr>
      <w:r>
        <w:rPr>
          <w:bCs/>
          <w:b/>
        </w:rPr>
        <w:t xml:space="preserve">Rivales</w:t>
      </w:r>
      <w:r>
        <w:t xml:space="preserve">: J&amp;J (nipocalimab/Imaavy, aprobado en miastenia en 2025; GlobalData le da 1.800 M USD en 2030), UCB (rozanolixizumab, Rystiggo), Immunovant/Roivant (IMVT-1402, anti-FcRn de segunda generación) y AstraZeneca/Alexion (complemento) [20].</w:t>
      </w:r>
    </w:p>
    <w:p>
      <w:pPr>
        <w:numPr>
          <w:ilvl w:val="0"/>
          <w:numId w:val="1004"/>
        </w:numPr>
        <w:pStyle w:val="Compact"/>
      </w:pPr>
      <w:r>
        <w:rPr>
          <w:bCs/>
          <w:b/>
        </w:rPr>
        <w:t xml:space="preserve">Por qué gana</w:t>
      </w:r>
      <w:r>
        <w:t xml:space="preserve">: llegó primero, tiene la etiqueta más amplia (todos los serotipos más PDIC), el formato subcutáneo en 30-90 segundos y la mayor experiencia de seguridad. Su red comercial en neurología se aprovecha para cada indicación nueva.</w:t>
      </w:r>
    </w:p>
    <w:p>
      <w:pPr>
        <w:numPr>
          <w:ilvl w:val="0"/>
          <w:numId w:val="1004"/>
        </w:numPr>
        <w:pStyle w:val="Compact"/>
      </w:pPr>
      <w:r>
        <w:rPr>
          <w:bCs/>
          <w:b/>
        </w:rPr>
        <w:t xml:space="preserve">Fracasos para tener en cuenta</w:t>
      </w:r>
      <w:r>
        <w:t xml:space="preserve">: tiroidopatía ocular (dic-2025), Sjögren (oct-2026) y antes pénfigo y PTI en EE. UU. El mecanismo no funciona en todas las enfermedades IgG, y el mercado ya no da por hecho cada ampliación [8].</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w:t>
            </w:r>
          </w:p>
        </w:tc>
        <w:tc>
          <w:tcPr/>
          <w:p>
            <w:pPr>
              <w:pStyle w:val="Compact"/>
              <w:jc w:val="left"/>
            </w:pPr>
            <w:r>
              <w:t xml:space="preserve">El consenso de ventas 2026 sube de ~5.130 M (antes del 1T) a ~6.200 M; el de 2027 a ~7.600-7.700 M. El 2T batió en BPA (7,32 frente a 5,86). Objetivo medio en agosto de ~1.197 EUR (antes ~1.093). Contrapeso: tras Sjögren, Baird (823), Oppenheimer (1.038) y Morgan Stanley (1.140) recortan precio objetivo, no ventas</w:t>
            </w:r>
          </w:p>
        </w:tc>
        <w:tc>
          <w:tcPr/>
          <w:p>
            <w:pPr>
              <w:pStyle w:val="Compact"/>
              <w:jc w:val="left"/>
            </w:pPr>
            <w:r>
              <w:t xml:space="preserve">[1][9][10][11]</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817 USD frente a una media estimada de ~850-880 USD (no publicada en octubre; Investing.com daba 888,68 el 1-ago)</w:t>
            </w:r>
          </w:p>
        </w:tc>
        <w:tc>
          <w:tcPr/>
          <w:p>
            <w:pPr>
              <w:pStyle w:val="Compact"/>
              <w:jc w:val="left"/>
            </w:pPr>
            <w:r>
              <w:t xml:space="preserve">[3][6]</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No verificable con precisión: la acción está en negativo en el año (Bruselas +1 %) y a −24 % del máximo del 2-sep. Se marca no por prudencia</w:t>
            </w:r>
          </w:p>
        </w:tc>
        <w:tc>
          <w:tcPr/>
          <w:p>
            <w:pPr>
              <w:pStyle w:val="Compact"/>
              <w:jc w:val="left"/>
            </w:pPr>
            <w:r>
              <w:t xml:space="preserve">[4][5]</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No</w:t>
            </w:r>
          </w:p>
        </w:tc>
        <w:tc>
          <w:tcPr/>
          <w:p>
            <w:pPr>
              <w:pStyle w:val="Compact"/>
              <w:jc w:val="left"/>
            </w:pPr>
            <w:r>
              <w:t xml:space="preserve">EV/ventas NTM de ~6,3x en el mínimo de marzo a ~6,9x hoy: +9 %, menos del +20 % exigido. En 12 meses el múltiplo ha bajado desde ~9x</w:t>
            </w:r>
          </w:p>
        </w:tc>
        <w:tc>
          <w:tcPr/>
          <w:p>
            <w:pPr>
              <w:pStyle w:val="Compact"/>
              <w:jc w:val="left"/>
            </w:pPr>
            <w:r>
              <w:t xml:space="preserve">[4][12]</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Margen operativo del 2T del 32 % frente a ~21 % un año antes (+11 pp); beneficio operativo +146 %</w:t>
            </w:r>
          </w:p>
        </w:tc>
        <w:tc>
          <w:tcPr/>
          <w:p>
            <w:pPr>
              <w:pStyle w:val="Compact"/>
              <w:jc w:val="left"/>
            </w:pPr>
            <w:r>
              <w:t xml:space="preserve">[1][7]</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Empeora: fracaso en Sjögren, titulares de «recoger beneficios» y «precio completo», Deutsche Bank a Mantener</w:t>
            </w:r>
          </w:p>
        </w:tc>
        <w:tc>
          <w:tcPr/>
          <w:p>
            <w:pPr>
              <w:pStyle w:val="Compact"/>
              <w:jc w:val="left"/>
            </w:pPr>
            <w:r>
              <w:t xml:space="preserve">[8][13][14]</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El presidente y cofundador vendió 20.000 acciones a 908 EUR (3-sep); sin compras</w:t>
            </w:r>
          </w:p>
        </w:tc>
        <w:tc>
          <w:tcPr/>
          <w:p>
            <w:pPr>
              <w:pStyle w:val="Compact"/>
              <w:jc w:val="left"/>
            </w:pPr>
            <w:r>
              <w:t xml:space="preserve">[15]</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EMPASSION (NMM, 4T 2026), solicitudes en miastenia ocular y miositis, FB102 a fase 3 y resultados del 3T el 22-oct</w:t>
            </w:r>
          </w:p>
        </w:tc>
        <w:tc>
          <w:tcPr/>
          <w:p>
            <w:pPr>
              <w:pStyle w:val="Compact"/>
              <w:jc w:val="left"/>
            </w:pPr>
            <w:r>
              <w:t xml:space="preserve">[1][16][17]</w:t>
            </w:r>
          </w:p>
        </w:tc>
      </w:tr>
    </w:tbl>
    <w:p>
      <w:pPr>
        <w:pStyle w:val="BodyText"/>
      </w:pPr>
      <w:r>
        <w:rPr>
          <w:bCs/>
          <w:b/>
        </w:rPr>
        <w:t xml:space="preserve">Euforia: no.</w:t>
      </w:r>
      <w:r>
        <w:t xml:space="preserve"> </w:t>
      </w:r>
      <w:r>
        <w:t xml:space="preserve">La subida en 12 meses es de ~+1 % (de ~810 a 817 USD) y el EV/beneficio bruto es de 7,6x. Lo que hay es lo contrario de la euforia: un año lateral con un pico (+62 % de marzo a septiembre) y una vuelta atrás.</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w:t>
      </w:r>
      <w:r>
        <w:t xml:space="preserve">:</w:t>
      </w:r>
      <w:r>
        <w:t xml:space="preserve"> </w:t>
      </w:r>
      <w:r>
        <w:rPr>
          <w:bCs/>
          <w:b/>
        </w:rPr>
        <w:t xml:space="preserve">90,4 %</w:t>
      </w:r>
      <w:r>
        <w:t xml:space="preserve"> </w:t>
      </w:r>
      <w:r>
        <w:t xml:space="preserve">(coste de ventas de 145 M USD sobre ~1.515 M de ventas de producto en el 2T) [1].</w:t>
      </w:r>
    </w:p>
    <w:p>
      <w:pPr>
        <w:numPr>
          <w:ilvl w:val="0"/>
          <w:numId w:val="1005"/>
        </w:numPr>
        <w:pStyle w:val="Compact"/>
      </w:pPr>
      <w:r>
        <w:rPr>
          <w:bCs/>
          <w:b/>
        </w:rPr>
        <w:t xml:space="preserve">Margen operativo</w:t>
      </w:r>
      <w:r>
        <w:t xml:space="preserve">: 32 % en el 2T (494 / 1.542 M USD). La I+D (486 M) y la estructura comercial (417 M) crecen más despacio que las ventas [1].</w:t>
      </w:r>
    </w:p>
    <w:p>
      <w:pPr>
        <w:numPr>
          <w:ilvl w:val="0"/>
          <w:numId w:val="1005"/>
        </w:numPr>
        <w:pStyle w:val="Compact"/>
      </w:pPr>
      <w:r>
        <w:rPr>
          <w:bCs/>
          <w:b/>
        </w:rPr>
        <w:t xml:space="preserve">FCF</w:t>
      </w:r>
      <w:r>
        <w:t xml:space="preserve">: 2024 negativo; 2025 de 679 M USD; últimos 12 meses ~970 M (</w:t>
      </w:r>
      <w:r>
        <w:rPr>
          <w:bCs/>
          <w:b/>
        </w:rPr>
        <w:t xml:space="preserve">18 %</w:t>
      </w:r>
      <w:r>
        <w:t xml:space="preserve"> </w:t>
      </w:r>
      <w:r>
        <w:t xml:space="preserve">de los ingresos). Es</w:t>
      </w:r>
      <w:r>
        <w:t xml:space="preserve"> </w:t>
      </w:r>
      <w:r>
        <w:rPr>
          <w:bCs/>
          <w:b/>
        </w:rPr>
        <w:t xml:space="preserve">creciente</w:t>
      </w:r>
      <w:r>
        <w:t xml:space="preserve">. El FCF va por detrás del beneficio (472 M solo en el 2T) por el capital circulante (cuentas a cobrar) y por los impuestos [19].</w:t>
      </w:r>
    </w:p>
    <w:p>
      <w:pPr>
        <w:numPr>
          <w:ilvl w:val="0"/>
          <w:numId w:val="1005"/>
        </w:numPr>
        <w:pStyle w:val="Compact"/>
      </w:pPr>
      <w:r>
        <w:rPr>
          <w:bCs/>
          <w:b/>
        </w:rPr>
        <w:t xml:space="preserve">Regla del 40</w:t>
      </w:r>
      <w:r>
        <w:t xml:space="preserve">: 71,2 + 18 =</w:t>
      </w:r>
      <w:r>
        <w:t xml:space="preserve"> </w:t>
      </w:r>
      <w:r>
        <w:rPr>
          <w:bCs/>
          <w:b/>
        </w:rPr>
        <w:t xml:space="preserve">89,2</w:t>
      </w:r>
      <w:r>
        <w:t xml:space="preserve">.</w:t>
      </w:r>
    </w:p>
    <w:p>
      <w:pPr>
        <w:numPr>
          <w:ilvl w:val="0"/>
          <w:numId w:val="1005"/>
        </w:numPr>
        <w:pStyle w:val="Compact"/>
      </w:pPr>
      <w:r>
        <w:rPr>
          <w:bCs/>
          <w:b/>
        </w:rPr>
        <w:t xml:space="preserve">Apalancamiento operativo</w:t>
      </w:r>
      <w:r>
        <w:t xml:space="preserve">: es muy alto. Cada dólar adicional de ventas deja ~90 céntimos de margen bruto y los gastos crecen ~40-50 %. El margen operativo puede acercarse al 40-45 % en 2027-2028 si se mantiene la disciplina en I+D.</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y activos financieros corrientes</w:t>
      </w:r>
      <w:r>
        <w:t xml:space="preserve">: 5.200 M USD (30-jun-2026); 4.900 M en marzo [1][2].</w:t>
      </w:r>
      <w:r>
        <w:t xml:space="preserve"> </w:t>
      </w:r>
      <w:r>
        <w:rPr>
          <w:bCs/>
          <w:b/>
        </w:rPr>
        <w:t xml:space="preserve">Sin deuda financiera</w:t>
      </w:r>
      <w:r>
        <w:t xml:space="preserve"> </w:t>
      </w:r>
      <w:r>
        <w:t xml:space="preserve">(solo arrendamientos menores).</w:t>
      </w:r>
    </w:p>
    <w:p>
      <w:pPr>
        <w:numPr>
          <w:ilvl w:val="0"/>
          <w:numId w:val="1006"/>
        </w:numPr>
        <w:pStyle w:val="Compact"/>
      </w:pPr>
      <w:r>
        <w:rPr>
          <w:bCs/>
          <w:b/>
        </w:rPr>
        <w:t xml:space="preserve">Pista</w:t>
      </w:r>
      <w:r>
        <w:t xml:space="preserve">: el FCF es positivo, así que no hay quema.</w:t>
      </w:r>
    </w:p>
    <w:p>
      <w:pPr>
        <w:numPr>
          <w:ilvl w:val="0"/>
          <w:numId w:val="1006"/>
        </w:numPr>
        <w:pStyle w:val="Compact"/>
      </w:pPr>
      <w:r>
        <w:rPr>
          <w:bCs/>
          <w:b/>
        </w:rPr>
        <w:t xml:space="preserve">Dilución</w:t>
      </w:r>
      <w:r>
        <w:t xml:space="preserve">: acciones básicas ~62,3 M (2T 2026) frente a ~61 M un año antes (</w:t>
      </w:r>
      <w:r>
        <w:rPr>
          <w:bCs/>
          <w:b/>
        </w:rPr>
        <w:t xml:space="preserve">+2 %</w:t>
      </w:r>
      <w:r>
        <w:t xml:space="preserve">). Las diluidas son 64,5 M (472 M ÷ 7,32 USD) [1].</w:t>
      </w:r>
    </w:p>
    <w:p>
      <w:pPr>
        <w:numPr>
          <w:ilvl w:val="0"/>
          <w:numId w:val="1006"/>
        </w:numPr>
        <w:pStyle w:val="Compact"/>
      </w:pPr>
      <w:r>
        <w:rPr>
          <w:bCs/>
          <w:b/>
        </w:rPr>
        <w:t xml:space="preserve">Pagos en acciones</w:t>
      </w:r>
      <w:r>
        <w:t xml:space="preserve">: 248 M USD en 2025,</w:t>
      </w:r>
      <w:r>
        <w:t xml:space="preserve"> </w:t>
      </w:r>
      <w:r>
        <w:rPr>
          <w:bCs/>
          <w:b/>
        </w:rPr>
        <w:t xml:space="preserve">~5,8 % de las ventas</w:t>
      </w:r>
      <w:r>
        <w:t xml:space="preserve"> </w:t>
      </w:r>
      <w:r>
        <w:t xml:space="preserve">[19]. Muy por debajo del 15 % de alarma.</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(4/5)</w:t>
      </w:r>
      <w:r>
        <w:t xml:space="preserve">: bate el consenso de ventas casi todos los trimestres desde el lanzamiento (2022); la excepción fue el 1T 2025. Cumple los plazos de aprobación (miastenia seronegativa aprobada un día antes de la fecha PDUFA). No se le da el 5 por los fracasos clínicos repetidos fuera del núcleo neuromuscular: tiroidopatía ocular, Sjögren y antes pénfigo [8][17].</w:t>
      </w:r>
    </w:p>
    <w:p>
      <w:pPr>
        <w:numPr>
          <w:ilvl w:val="0"/>
          <w:numId w:val="1007"/>
        </w:numPr>
        <w:pStyle w:val="Compact"/>
      </w:pPr>
      <w:r>
        <w:rPr>
          <w:bCs/>
          <w:b/>
        </w:rPr>
        <w:t xml:space="preserve">Dirección (4/5)</w:t>
      </w:r>
      <w:r>
        <w:t xml:space="preserve">: el cambio de consejero delegado fue ordenado. Karen Massey (ex Genentech, COO desde 2023) es CEO desde la junta de mayo de 2026, y el cofundador Tim Van Hauwermeiren pasa a presidente. La asignación de capital es sensata: sin deuda, I+D en su propio mecanismo y alianzas pequeñas. Le restan las ventas recurrentes de acciones de los directivos (20.000 acciones del presidente en septiembre) [15][17].</w:t>
      </w:r>
    </w:p>
    <w:bookmarkEnd w:id="27"/>
    <w:bookmarkStart w:id="28" w:name="valoración"/>
    <w:p>
      <w:pPr>
        <w:pStyle w:val="Heading2"/>
      </w:pPr>
      <w:r>
        <w:t xml:space="preserve">9. Valoración</w:t>
      </w:r>
    </w:p>
    <w:p>
      <w:pPr>
        <w:pStyle w:val="FirstParagraph"/>
      </w:pPr>
      <w:r>
        <w:rPr>
          <w:bCs/>
          <w:b/>
        </w:rPr>
        <w:t xml:space="preserve">Ejercicio objetivo: 2028</w:t>
      </w:r>
      <w:r>
        <w:t xml:space="preserve"> </w:t>
      </w:r>
      <w:r>
        <w:t xml:space="preserve">(el primero que cierra más de 18 meses después del 14-oct-2026).</w:t>
      </w:r>
      <w:r>
        <w:t xml:space="preserve"> </w:t>
      </w:r>
      <w:r>
        <w:rPr>
          <w:bCs/>
          <w:b/>
        </w:rPr>
        <w:t xml:space="preserve">Métrica: EV/ventas de los 12 meses siguientes (NTM)</w:t>
      </w:r>
      <w:r>
        <w:t xml:space="preserve">. Ya es rentable y se podría valorar por EV/EBITDA o PER (~24x el beneficio futuro según TIKR [9]). Se mantiene EV/ventas para medirla igual que en el backtest; con un margen bruto del 90 % el EV/beneficio bruto es casi idéntico.</w:t>
      </w:r>
    </w:p>
    <w:p>
      <w:pPr>
        <w:numPr>
          <w:ilvl w:val="0"/>
          <w:numId w:val="1008"/>
        </w:numPr>
        <w:pStyle w:val="Compact"/>
      </w:pPr>
      <w:r>
        <w:rPr>
          <w:bCs/>
          <w:b/>
        </w:rPr>
        <w:t xml:space="preserve">EV de hoy</w:t>
      </w:r>
      <w:r>
        <w:t xml:space="preserve">: 817,16 × 64,5 − 5.200 =</w:t>
      </w:r>
      <w:r>
        <w:t xml:space="preserve"> </w:t>
      </w:r>
      <w:r>
        <w:rPr>
          <w:bCs/>
          <w:b/>
        </w:rPr>
        <w:t xml:space="preserve">47.507 M USD</w:t>
      </w:r>
      <w:r>
        <w:t xml:space="preserve"> </w:t>
      </w:r>
      <w:r>
        <w:t xml:space="preserve">(capitalización de ~52.700 M).</w:t>
      </w:r>
    </w:p>
    <w:p>
      <w:pPr>
        <w:numPr>
          <w:ilvl w:val="0"/>
          <w:numId w:val="1008"/>
        </w:numPr>
        <w:pStyle w:val="Compact"/>
      </w:pPr>
      <w:r>
        <w:rPr>
          <w:bCs/>
          <w:b/>
        </w:rPr>
        <w:t xml:space="preserve">Ventas NTM</w:t>
      </w:r>
      <w:r>
        <w:t xml:space="preserve">: ~6.890 M USD (+32 %; 3T consenso 1.588 + 4T implícito ~1.760 + 1S 2027 ~3.550).</w:t>
      </w:r>
      <w:r>
        <w:t xml:space="preserve"> </w:t>
      </w:r>
      <w:r>
        <w:rPr>
          <w:bCs/>
          <w:b/>
        </w:rPr>
        <w:t xml:space="preserve">EV/ventas NTM: 6,9x</w:t>
      </w:r>
      <w:r>
        <w:t xml:space="preserve">; EV/beneficio bruto NTM:</w:t>
      </w:r>
      <w:r>
        <w:t xml:space="preserve"> </w:t>
      </w:r>
      <w:r>
        <w:rPr>
          <w:bCs/>
          <w:b/>
        </w:rPr>
        <w:t xml:space="preserve">7,6x</w:t>
      </w:r>
      <w:r>
        <w:t xml:space="preserve">.</w:t>
      </w:r>
    </w:p>
    <w:p>
      <w:pPr>
        <w:numPr>
          <w:ilvl w:val="0"/>
          <w:numId w:val="1008"/>
        </w:numPr>
        <w:pStyle w:val="Compact"/>
      </w:pPr>
      <w:r>
        <w:rPr>
          <w:bCs/>
          <w:b/>
        </w:rPr>
        <w:t xml:space="preserve">Mediana de 3 años: ~8,5x NTM</w:t>
      </w:r>
      <w:r>
        <w:t xml:space="preserve"> </w:t>
      </w:r>
      <w:r>
        <w:t xml:space="preserve">(estimación propia: ~8,8x a fin de 2023, ~8,0x a fin de 2024, ~7,8x a fin de 2025; más alto a mediados de 2025).</w:t>
      </w:r>
      <w:r>
        <w:t xml:space="preserve"> </w:t>
      </w:r>
      <w:r>
        <w:rPr>
          <w:bCs/>
          <w:b/>
        </w:rPr>
        <w:t xml:space="preserve">Mínimo: ~5,8x</w:t>
      </w:r>
      <w:r>
        <w:t xml:space="preserve"> </w:t>
      </w:r>
      <w:r>
        <w:t xml:space="preserve">(marzo de 2026). La relación precio/ventas pasada era de 18,4x (2023), 17,1x (2024) y 12,6x (2025) [12].</w:t>
      </w:r>
    </w:p>
    <w:p>
      <w:pPr>
        <w:numPr>
          <w:ilvl w:val="0"/>
          <w:numId w:val="1008"/>
        </w:numPr>
        <w:pStyle w:val="Compact"/>
      </w:pPr>
      <w:r>
        <w:rPr>
          <w:bCs/>
          <w:b/>
        </w:rPr>
        <w:t xml:space="preserve">Comparables: ~7x NTM</w:t>
      </w:r>
      <w:r>
        <w:t xml:space="preserve"> </w:t>
      </w:r>
      <w:r>
        <w:t xml:space="preserve">(UCB ~4,9x pasado, Alnylam ~7,2x pasado, Vertex ~9x; estimación propia, en parte de memoria [21]).</w:t>
      </w:r>
    </w:p>
    <w:p>
      <w:pPr>
        <w:numPr>
          <w:ilvl w:val="0"/>
          <w:numId w:val="1008"/>
        </w:numPr>
        <w:pStyle w:val="Compact"/>
      </w:pPr>
      <w:r>
        <w:rPr>
          <w:bCs/>
          <w:b/>
        </w:rPr>
        <w:t xml:space="preserve">Desaceleración</w:t>
      </w:r>
      <w:r>
        <w:t xml:space="preserve">: crecimiento NTM del 32 % frente al ~21 % de 2028 → factor 0,81.</w:t>
      </w:r>
    </w:p>
    <w:p>
      <w:pPr>
        <w:pStyle w:val="FirstParagraph"/>
      </w:pPr>
      <w:r>
        <w:t xml:space="preserve">Regla v4 (proyección mecánica):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(2 años)</w:t>
            </w:r>
          </w:p>
        </w:tc>
        <w:tc>
          <w:tcPr/>
          <w:p>
            <w:pPr>
              <w:pStyle w:val="Compact"/>
              <w:jc w:val="left"/>
            </w:pPr>
            <w:r>
              <w:t xml:space="preserve">Múltiplo</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8.516</w:t>
            </w:r>
          </w:p>
        </w:tc>
        <w:tc>
          <w:tcPr/>
          <w:p>
            <w:pPr>
              <w:pStyle w:val="Compact"/>
              <w:jc w:val="left"/>
            </w:pPr>
            <w:r>
              <w:t xml:space="preserve">3,4x</w:t>
            </w:r>
          </w:p>
        </w:tc>
        <w:tc>
          <w:tcPr/>
          <w:p>
            <w:pPr>
              <w:pStyle w:val="Compact"/>
              <w:jc w:val="left"/>
            </w:pPr>
            <w:r>
              <w:t xml:space="preserve">513,2</w:t>
            </w:r>
          </w:p>
        </w:tc>
        <w:tc>
          <w:tcPr/>
          <w:p>
            <w:pPr>
              <w:pStyle w:val="Compact"/>
              <w:jc w:val="left"/>
            </w:pPr>
            <w:r>
              <w:t xml:space="preserve">−37,2 %</w:t>
            </w:r>
          </w:p>
        </w:tc>
      </w:tr>
      <w:tr>
        <w:tc>
          <w:tcPr/>
          <w:p>
            <w:pPr>
              <w:pStyle w:val="Compact"/>
              <w:jc w:val="left"/>
            </w:pPr>
            <w:r>
              <w:t xml:space="preserve">Base (50 %)</w:t>
            </w:r>
          </w:p>
        </w:tc>
        <w:tc>
          <w:tcPr/>
          <w:p>
            <w:pPr>
              <w:pStyle w:val="Compact"/>
              <w:jc w:val="left"/>
            </w:pPr>
            <w:r>
              <w:t xml:space="preserve">12.612</w:t>
            </w:r>
          </w:p>
        </w:tc>
        <w:tc>
          <w:tcPr/>
          <w:p>
            <w:pPr>
              <w:pStyle w:val="Compact"/>
              <w:jc w:val="left"/>
            </w:pPr>
            <w:r>
              <w:t xml:space="preserve">5,6x</w:t>
            </w:r>
          </w:p>
        </w:tc>
        <w:tc>
          <w:tcPr/>
          <w:p>
            <w:pPr>
              <w:pStyle w:val="Compact"/>
              <w:jc w:val="left"/>
            </w:pPr>
            <w:r>
              <w:t xml:space="preserve">1.150,5</w:t>
            </w:r>
          </w:p>
        </w:tc>
        <w:tc>
          <w:tcPr/>
          <w:p>
            <w:pPr>
              <w:pStyle w:val="Compact"/>
              <w:jc w:val="left"/>
            </w:pPr>
            <w:r>
              <w:t xml:space="preserve">+40,8 %</w:t>
            </w:r>
          </w:p>
        </w:tc>
      </w:tr>
      <w:tr>
        <w:tc>
          <w:tcPr/>
          <w:p>
            <w:pPr>
              <w:pStyle w:val="Compact"/>
              <w:jc w:val="left"/>
            </w:pPr>
            <w:r>
              <w:t xml:space="preserve">Alcista (25 %)</w:t>
            </w:r>
          </w:p>
        </w:tc>
        <w:tc>
          <w:tcPr/>
          <w:p>
            <w:pPr>
              <w:pStyle w:val="Compact"/>
              <w:jc w:val="left"/>
            </w:pPr>
            <w:r>
              <w:t xml:space="preserve">14.473</w:t>
            </w:r>
          </w:p>
        </w:tc>
        <w:tc>
          <w:tcPr/>
          <w:p>
            <w:pPr>
              <w:pStyle w:val="Compact"/>
              <w:jc w:val="left"/>
            </w:pPr>
            <w:r>
              <w:t xml:space="preserve">8,5x</w:t>
            </w:r>
          </w:p>
        </w:tc>
        <w:tc>
          <w:tcPr/>
          <w:p>
            <w:pPr>
              <w:pStyle w:val="Compact"/>
              <w:jc w:val="left"/>
            </w:pPr>
            <w:r>
              <w:t xml:space="preserve">1.949,0</w:t>
            </w:r>
          </w:p>
        </w:tc>
        <w:tc>
          <w:tcPr/>
          <w:p>
            <w:pPr>
              <w:pStyle w:val="Compact"/>
              <w:jc w:val="left"/>
            </w:pPr>
            <w:r>
              <w:t xml:space="preserve">+138,5 %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1.190,8</w:t>
            </w:r>
          </w:p>
        </w:tc>
        <w:tc>
          <w:tcPr/>
          <w:p>
            <w:pPr>
              <w:pStyle w:val="Compact"/>
              <w:jc w:val="left"/>
            </w:pPr>
            <w:r>
              <w:rPr>
                <w:bCs/>
                <w:b/>
              </w:rPr>
              <w:t xml:space="preserve">+45,7 %</w:t>
            </w:r>
          </w:p>
        </w:tc>
      </w:tr>
    </w:tbl>
    <w:p>
      <w:pPr>
        <w:pStyle w:val="BodyText"/>
      </w:pPr>
      <w:r>
        <w:t xml:space="preserve">Las acciones dentro de 12 meses serían 65,8 M (+2 %). La caja se mantiene en 5.200 M (el FCF positivo no se suma, por la regla).</w:t>
      </w:r>
      <w:r>
        <w:t xml:space="preserve"> </w:t>
      </w:r>
      <w:r>
        <w:rPr>
          <w:bCs/>
          <w:b/>
        </w:rPr>
        <w:t xml:space="preserve">Asimetría: 3,7. Precio máximo de compra: 1.082,5 USD</w:t>
      </w:r>
      <w:r>
        <w:t xml:space="preserve"> </w:t>
      </w:r>
      <w:r>
        <w:t xml:space="preserve">(+32 %), fijado por la rentabilidad, no por el EV/beneficio bruto (35x equivaldría a más de 3.000 USD).</w:t>
      </w:r>
    </w:p>
    <w:p>
      <w:pPr>
        <w:pStyle w:val="BodyText"/>
      </w:pPr>
      <w:r>
        <w:rPr>
          <w:bCs/>
          <w:b/>
        </w:rPr>
        <w:t xml:space="preserve">Contraste con las ventas del analista</w:t>
      </w:r>
      <w:r>
        <w:t xml:space="preserve"> </w:t>
      </w:r>
      <w:r>
        <w:t xml:space="preserve">(alineadas con el consenso de 2028 de ~9.330 M [9]) y los mismos múltiplos: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2028</w:t>
            </w:r>
          </w:p>
        </w:tc>
        <w:tc>
          <w:tcPr/>
          <w:p>
            <w:pPr>
              <w:pStyle w:val="Compact"/>
              <w:jc w:val="left"/>
            </w:pPr>
            <w:r>
              <w:t xml:space="preserve">Múltiplo</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w:t>
            </w:r>
          </w:p>
        </w:tc>
        <w:tc>
          <w:tcPr/>
          <w:p>
            <w:pPr>
              <w:pStyle w:val="Compact"/>
              <w:jc w:val="left"/>
            </w:pPr>
            <w:r>
              <w:t xml:space="preserve">7.600 (+~13 % anual desde 2026)</w:t>
            </w:r>
          </w:p>
        </w:tc>
        <w:tc>
          <w:tcPr/>
          <w:p>
            <w:pPr>
              <w:pStyle w:val="Compact"/>
              <w:jc w:val="left"/>
            </w:pPr>
            <w:r>
              <w:t xml:space="preserve">3,4x</w:t>
            </w:r>
          </w:p>
        </w:tc>
        <w:tc>
          <w:tcPr/>
          <w:p>
            <w:pPr>
              <w:pStyle w:val="Compact"/>
              <w:jc w:val="left"/>
            </w:pPr>
            <w:r>
              <w:t xml:space="preserve">~466</w:t>
            </w:r>
          </w:p>
        </w:tc>
        <w:tc>
          <w:tcPr/>
          <w:p>
            <w:pPr>
              <w:pStyle w:val="Compact"/>
              <w:jc w:val="left"/>
            </w:pPr>
            <w:r>
              <w:t xml:space="preserve">~−43 %</w:t>
            </w:r>
          </w:p>
        </w:tc>
      </w:tr>
      <w:tr>
        <w:tc>
          <w:tcPr/>
          <w:p>
            <w:pPr>
              <w:pStyle w:val="Compact"/>
              <w:jc w:val="left"/>
            </w:pPr>
            <w:r>
              <w:t xml:space="preserve">Base</w:t>
            </w:r>
          </w:p>
        </w:tc>
        <w:tc>
          <w:tcPr/>
          <w:p>
            <w:pPr>
              <w:pStyle w:val="Compact"/>
              <w:jc w:val="left"/>
            </w:pPr>
            <w:r>
              <w:t xml:space="preserve">9.300 (≈ consenso)</w:t>
            </w:r>
          </w:p>
        </w:tc>
        <w:tc>
          <w:tcPr/>
          <w:p>
            <w:pPr>
              <w:pStyle w:val="Compact"/>
              <w:jc w:val="left"/>
            </w:pPr>
            <w:r>
              <w:t xml:space="preserve">5,6x</w:t>
            </w:r>
          </w:p>
        </w:tc>
        <w:tc>
          <w:tcPr/>
          <w:p>
            <w:pPr>
              <w:pStyle w:val="Compact"/>
              <w:jc w:val="left"/>
            </w:pPr>
            <w:r>
              <w:t xml:space="preserve">~871</w:t>
            </w:r>
          </w:p>
        </w:tc>
        <w:tc>
          <w:tcPr/>
          <w:p>
            <w:pPr>
              <w:pStyle w:val="Compact"/>
              <w:jc w:val="left"/>
            </w:pPr>
            <w:r>
              <w:t xml:space="preserve">~+6,5 %</w:t>
            </w:r>
          </w:p>
        </w:tc>
      </w:tr>
      <w:tr>
        <w:tc>
          <w:tcPr/>
          <w:p>
            <w:pPr>
              <w:pStyle w:val="Compact"/>
              <w:jc w:val="left"/>
            </w:pPr>
            <w:r>
              <w:t xml:space="preserve">Alcista</w:t>
            </w:r>
          </w:p>
        </w:tc>
        <w:tc>
          <w:tcPr/>
          <w:p>
            <w:pPr>
              <w:pStyle w:val="Compact"/>
              <w:jc w:val="left"/>
            </w:pPr>
            <w:r>
              <w:t xml:space="preserve">10.500 (miositis, miastenia ocular y NMM suman)</w:t>
            </w:r>
          </w:p>
        </w:tc>
        <w:tc>
          <w:tcPr/>
          <w:p>
            <w:pPr>
              <w:pStyle w:val="Compact"/>
              <w:jc w:val="left"/>
            </w:pPr>
            <w:r>
              <w:t xml:space="preserve">8,5x</w:t>
            </w:r>
          </w:p>
        </w:tc>
        <w:tc>
          <w:tcPr/>
          <w:p>
            <w:pPr>
              <w:pStyle w:val="Compact"/>
              <w:jc w:val="left"/>
            </w:pPr>
            <w:r>
              <w:t xml:space="preserve">~1.436</w:t>
            </w:r>
          </w:p>
        </w:tc>
        <w:tc>
          <w:tcPr/>
          <w:p>
            <w:pPr>
              <w:pStyle w:val="Compact"/>
              <w:jc w:val="left"/>
            </w:pPr>
            <w:r>
              <w:t xml:space="preserve">~+76 %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~911</w:t>
            </w:r>
          </w:p>
        </w:tc>
        <w:tc>
          <w:tcPr/>
          <w:p>
            <w:pPr>
              <w:pStyle w:val="Compact"/>
              <w:jc w:val="left"/>
            </w:pPr>
            <w:r>
              <w:rPr>
                <w:bCs/>
                <w:b/>
              </w:rPr>
              <w:t xml:space="preserve">~+11 %</w:t>
            </w:r>
          </w:p>
        </w:tc>
      </w:tr>
    </w:tbl>
    <w:p>
      <w:pPr>
        <w:numPr>
          <w:ilvl w:val="0"/>
          <w:numId w:val="1009"/>
        </w:numPr>
        <w:pStyle w:val="Compact"/>
      </w:pPr>
      <w:r>
        <w:rPr>
          <w:bCs/>
          <w:b/>
        </w:rPr>
        <w:t xml:space="preserve">Lectura</w:t>
      </w:r>
      <w:r>
        <w:t xml:space="preserve">: con ventas realistas, la acción está a un precio justo con algo de margen, no barata. El +46 % de la regla sale sobre todo de unas ventas que la mecánica sobrestima en ~35 % (ver la propuesta de mejora).</w:t>
      </w:r>
    </w:p>
    <w:p>
      <w:pPr>
        <w:numPr>
          <w:ilvl w:val="0"/>
          <w:numId w:val="1009"/>
        </w:numPr>
        <w:pStyle w:val="Compact"/>
      </w:pPr>
      <w:r>
        <w:rPr>
          <w:bCs/>
          <w:b/>
        </w:rPr>
        <w:t xml:space="preserve">Consenso de precio objetivo</w:t>
      </w:r>
      <w:r>
        <w:t xml:space="preserve">: ~1.076 USD (eToro); el rango de octubre va de 823 (Baird) a 1.157 (BofA) [10].</w:t>
      </w:r>
    </w:p>
    <w:p>
      <w:pPr>
        <w:numPr>
          <w:ilvl w:val="0"/>
          <w:numId w:val="1009"/>
        </w:numPr>
        <w:pStyle w:val="Compact"/>
      </w:pPr>
      <w:r>
        <w:rPr>
          <w:bCs/>
          <w:b/>
        </w:rPr>
        <w:t xml:space="preserve">DCF inverso</w:t>
      </w:r>
      <w:r>
        <w:t xml:space="preserve">: con un WACC del 9 %, un margen FCF que sube del 18 % al 35 % y un crecimiento terminal del 3 %, el precio descuenta un crecimiento de las ventas de</w:t>
      </w:r>
      <w:r>
        <w:t xml:space="preserve"> </w:t>
      </w:r>
      <w:r>
        <w:rPr>
          <w:bCs/>
          <w:b/>
        </w:rPr>
        <w:t xml:space="preserve">~9,5 % anual durante 10 años</w:t>
      </w:r>
      <w:r>
        <w:t xml:space="preserve"> </w:t>
      </w:r>
      <w:r>
        <w:t xml:space="preserve">(~13.000 M USD en 2036).</w:t>
      </w:r>
      <w:r>
        <w:t xml:space="preserve"> </w:t>
      </w:r>
      <w:r>
        <w:rPr>
          <w:bCs/>
          <w:b/>
        </w:rPr>
        <w:t xml:space="preserve">Es exigente pero razonable</w:t>
      </w:r>
      <w:r>
        <w:t xml:space="preserve">: el consenso ya pone 9.330 M en 2028.</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y analistas</w:t>
      </w:r>
      <w:r>
        <w:t xml:space="preserve">: tras el 8-oct, el tono se ha dividido. TIKR habla de una caída «exagerada»: Sjögren no se esperaba hasta 2027 y apenas estaba en las estimaciones hasta 2028. Weiss se pregunta si es momento de «recoger beneficios». BioSpace recuerda que se pierde una ampliación potencialmente «blockbuster». Simply Wall St titula que podría estar «a precio completo tras subir un 185 %» (en 3 años), y su narrativa más seguida da un valor razonable de 686 EUR [8][13]. Deutsche Bank ya había rebajado a Mantener en septiembre [14]. La mayoría de los analistas sigue en Comprar (15 de 25 en «compra fuerte»).</w:t>
      </w:r>
    </w:p>
    <w:p>
      <w:pPr>
        <w:numPr>
          <w:ilvl w:val="0"/>
          <w:numId w:val="1010"/>
        </w:numPr>
        <w:pStyle w:val="Compact"/>
      </w:pPr>
      <w:r>
        <w:rPr>
          <w:bCs/>
          <w:b/>
        </w:rPr>
        <w:t xml:space="preserve">Seeking Alpha</w:t>
      </w:r>
      <w:r>
        <w:t xml:space="preserve">: no aparecieron artículos de septiembre u octubre de 2026. Los anteriores alternan «Compra fuerte» por las ventas con avisos de que «los informes no perfectos se castigan» (1T 2025).</w:t>
      </w:r>
    </w:p>
    <w:p>
      <w:pPr>
        <w:numPr>
          <w:ilvl w:val="0"/>
          <w:numId w:val="1010"/>
        </w:numPr>
        <w:pStyle w:val="Compact"/>
      </w:pPr>
      <w:r>
        <w:rPr>
          <w:bCs/>
          <w:b/>
        </w:rPr>
        <w:t xml:space="preserve">Reddit (r/stocks, r/investing, r/biotech) y StockTwits/X</w:t>
      </w:r>
      <w:r>
        <w:t xml:space="preserve">: las búsquedas no devolvieron hilos indexados recientes.</w:t>
      </w:r>
      <w:r>
        <w:t xml:space="preserve"> </w:t>
      </w:r>
      <w:r>
        <w:rPr>
          <w:bCs/>
          <w:b/>
        </w:rPr>
        <w:t xml:space="preserve">Laguna</w:t>
      </w:r>
      <w:r>
        <w:t xml:space="preserve">: no se puede decir qué se dice ahí.</w:t>
      </w:r>
    </w:p>
    <w:p>
      <w:pPr>
        <w:numPr>
          <w:ilvl w:val="0"/>
          <w:numId w:val="1010"/>
        </w:numPr>
        <w:pStyle w:val="Compact"/>
      </w:pPr>
      <w:r>
        <w:rPr>
          <w:bCs/>
          <w:b/>
        </w:rPr>
        <w:t xml:space="preserve">En castellano</w:t>
      </w:r>
      <w:r>
        <w:t xml:space="preserve">: TIKR ES («Argenx cae un 11 % al suspender el ensayo de Sjögren»); no aparecieron hilos de Rankia ni de Investing ES.</w:t>
      </w:r>
      <w:r>
        <w:t xml:space="preserve"> </w:t>
      </w:r>
      <w:r>
        <w:rPr>
          <w:bCs/>
          <w:b/>
        </w:rPr>
        <w:t xml:space="preserve">Laguna.</w:t>
      </w:r>
      <w:r>
        <w:t xml:space="preserve"> </w:t>
      </w:r>
      <w:r>
        <w:t xml:space="preserve">En Bélgica (La Libre, feb-2026) se describía un consenso muy favorable (23 de 27 positivos) y ~50x el beneficio de 2026 en ese momento.</w:t>
      </w:r>
    </w:p>
    <w:p>
      <w:pPr>
        <w:numPr>
          <w:ilvl w:val="0"/>
          <w:numId w:val="1010"/>
        </w:numPr>
        <w:pStyle w:val="Compact"/>
      </w:pPr>
      <w:r>
        <w:rPr>
          <w:bCs/>
          <w:b/>
        </w:rPr>
        <w:t xml:space="preserve">Contraste con los datos</w:t>
      </w:r>
      <w:r>
        <w:t xml:space="preserve">: el sentimiento ha empeorado más que el negocio. El fracaso afecta a una ampliación futura, no a las ventas actuales, que crecen un 17 % trimestral. Es el tipo de caída que, si los resultados del 3T confirman el ritmo, puede convertirse en un giro de percepción. Hoy todavía no lo es.</w:t>
      </w:r>
    </w:p>
    <w:bookmarkEnd w:id="29"/>
    <w:bookmarkStart w:id="30" w:name="riesgos-y-qué-rompería-la-tesis"/>
    <w:p>
      <w:pPr>
        <w:pStyle w:val="Heading2"/>
      </w:pPr>
      <w:r>
        <w:t xml:space="preserve">11. Riesgos y qué rompería la tesis</w:t>
      </w:r>
    </w:p>
    <w:p>
      <w:pPr>
        <w:numPr>
          <w:ilvl w:val="0"/>
          <w:numId w:val="1011"/>
        </w:numPr>
        <w:pStyle w:val="Compact"/>
      </w:pPr>
      <w:r>
        <w:rPr>
          <w:bCs/>
          <w:b/>
        </w:rPr>
        <w:t xml:space="preserve">Desaceleración más rápida de lo esperado</w:t>
      </w:r>
      <w:r>
        <w:t xml:space="preserve">: si el 3T sale por debajo de ~1.550 M USD (+38 %), el mercado dudará del consenso de 2027-2028.</w:t>
      </w:r>
    </w:p>
    <w:p>
      <w:pPr>
        <w:numPr>
          <w:ilvl w:val="0"/>
          <w:numId w:val="1011"/>
        </w:numPr>
        <w:pStyle w:val="Compact"/>
      </w:pPr>
      <w:r>
        <w:rPr>
          <w:bCs/>
          <w:b/>
        </w:rPr>
        <w:t xml:space="preserve">Competencia en el mismo mecanismo</w:t>
      </w:r>
      <w:r>
        <w:t xml:space="preserve">: nipocalimab (J&amp;J, con su capacidad comercial), rozanolixizumab y sobre todo IMVT-1402, que podría ofrecer más reducción de IgG. Presión de precio en EE. UU.</w:t>
      </w:r>
    </w:p>
    <w:p>
      <w:pPr>
        <w:numPr>
          <w:ilvl w:val="0"/>
          <w:numId w:val="1011"/>
        </w:numPr>
        <w:pStyle w:val="Compact"/>
      </w:pPr>
      <w:r>
        <w:rPr>
          <w:bCs/>
          <w:b/>
        </w:rPr>
        <w:t xml:space="preserve">Riesgo clínico de las ampliaciones</w:t>
      </w:r>
      <w:r>
        <w:t xml:space="preserve">: tres fracasos en 10 meses fuera del núcleo. La tesis de «una molécula, muchas indicaciones» se ha estrechado: depende de NMM (empasiprubart), miositis y miastenia ocular.</w:t>
      </w:r>
    </w:p>
    <w:p>
      <w:pPr>
        <w:numPr>
          <w:ilvl w:val="0"/>
          <w:numId w:val="1011"/>
        </w:numPr>
        <w:pStyle w:val="Compact"/>
      </w:pPr>
      <w:r>
        <w:rPr>
          <w:bCs/>
          <w:b/>
        </w:rPr>
        <w:t xml:space="preserve">Concentración en un producto y un país</w:t>
      </w:r>
      <w:r>
        <w:t xml:space="preserve">: casi todo es Vyvgart y ~85 % de las ventas son de EE. UU. Riesgo de precios de medicamentos (negociación de Medicare/IRA a medio plazo, aranceles o «nación más favorecida»).</w:t>
      </w:r>
    </w:p>
    <w:p>
      <w:pPr>
        <w:numPr>
          <w:ilvl w:val="0"/>
          <w:numId w:val="1011"/>
        </w:numPr>
        <w:pStyle w:val="Compact"/>
      </w:pPr>
      <w:r>
        <w:rPr>
          <w:bCs/>
          <w:b/>
        </w:rPr>
        <w:t xml:space="preserve">Reversión del sentimiento</w:t>
      </w:r>
      <w:r>
        <w:t xml:space="preserve">: la acción ya cayó un 38 % entre septiembre de 2025 y marzo de 2026 y un 24 % desde septiembre de 2026 sin que el negocio cambiara.</w:t>
      </w:r>
    </w:p>
    <w:p>
      <w:pPr>
        <w:numPr>
          <w:ilvl w:val="0"/>
          <w:numId w:val="1011"/>
        </w:numPr>
        <w:pStyle w:val="Compact"/>
      </w:pPr>
      <w:r>
        <w:rPr>
          <w:bCs/>
          <w:b/>
        </w:rPr>
        <w:t xml:space="preserve">Patentes y biosimilares</w:t>
      </w:r>
      <w:r>
        <w:t xml:space="preserve">: protección hasta mediados de la década de 2030; lejos, pero limita el valor terminal.</w:t>
      </w:r>
    </w:p>
    <w:p>
      <w:pPr>
        <w:pStyle w:val="FirstParagraph"/>
      </w:pPr>
      <w:r>
        <w:rPr>
          <w:bCs/>
          <w:b/>
        </w:rPr>
        <w:t xml:space="preserve">Señales de venta concretas</w:t>
      </w:r>
      <w:r>
        <w:t xml:space="preserve">: dos trimestres seguidos con crecimiento trimestral negativo de las ventas en EE. UU.; un rival que gane la mayoría de los pacientes nuevos en miastenia; fracaso de EMPASSION y de las PDIC de empasiprubart (2S 2027); recorte del consenso de 2027 por debajo de 7.000 M USD. Hoy no hay tesis rota.</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22-oct-2026</w:t>
            </w:r>
          </w:p>
        </w:tc>
        <w:tc>
          <w:tcPr/>
          <w:p>
            <w:pPr>
              <w:pStyle w:val="Compact"/>
              <w:jc w:val="left"/>
            </w:pPr>
            <w:r>
              <w:t xml:space="preserve">Resultados del 3T 2026 (consenso: ~1.588 M USD de ventas; BPA ~7,0)</w:t>
            </w:r>
          </w:p>
        </w:tc>
        <w:tc>
          <w:tcPr/>
          <w:p>
            <w:pPr>
              <w:pStyle w:val="Compact"/>
              <w:jc w:val="left"/>
            </w:pPr>
            <w:r>
              <w:t xml:space="preserve">+/−</w:t>
            </w:r>
          </w:p>
        </w:tc>
      </w:tr>
      <w:tr>
        <w:tc>
          <w:tcPr/>
          <w:p>
            <w:pPr>
              <w:pStyle w:val="Compact"/>
              <w:jc w:val="left"/>
            </w:pPr>
            <w:r>
              <w:t xml:space="preserve">4T 2026</w:t>
            </w:r>
          </w:p>
        </w:tc>
        <w:tc>
          <w:tcPr/>
          <w:p>
            <w:pPr>
              <w:pStyle w:val="Compact"/>
              <w:jc w:val="left"/>
            </w:pPr>
            <w:r>
              <w:t xml:space="preserve">Lectura registrable de empasiprubart en NMM (EMPASSION)</w:t>
            </w:r>
          </w:p>
        </w:tc>
        <w:tc>
          <w:tcPr/>
          <w:p>
            <w:pPr>
              <w:pStyle w:val="Compact"/>
              <w:jc w:val="left"/>
            </w:pPr>
            <w:r>
              <w:t xml:space="preserve">+/−</w:t>
            </w:r>
          </w:p>
        </w:tc>
      </w:tr>
      <w:tr>
        <w:tc>
          <w:tcPr/>
          <w:p>
            <w:pPr>
              <w:pStyle w:val="Compact"/>
              <w:jc w:val="left"/>
            </w:pPr>
            <w:r>
              <w:t xml:space="preserve">4T 2026 - 1S 2027</w:t>
            </w:r>
          </w:p>
        </w:tc>
        <w:tc>
          <w:tcPr/>
          <w:p>
            <w:pPr>
              <w:pStyle w:val="Compact"/>
              <w:jc w:val="left"/>
            </w:pPr>
            <w:r>
              <w:t xml:space="preserve">Solicitudes y decisión de la FDA en miastenia ocular y miositis (IMNM)</w:t>
            </w:r>
          </w:p>
        </w:tc>
        <w:tc>
          <w:tcPr/>
          <w:p>
            <w:pPr>
              <w:pStyle w:val="Compact"/>
              <w:jc w:val="left"/>
            </w:pPr>
            <w:r>
              <w:t xml:space="preserve">+</w:t>
            </w:r>
          </w:p>
        </w:tc>
      </w:tr>
      <w:tr>
        <w:tc>
          <w:tcPr/>
          <w:p>
            <w:pPr>
              <w:pStyle w:val="Compact"/>
              <w:jc w:val="left"/>
            </w:pPr>
            <w:r>
              <w:t xml:space="preserve">1S 2027</w:t>
            </w:r>
          </w:p>
        </w:tc>
        <w:tc>
          <w:tcPr/>
          <w:p>
            <w:pPr>
              <w:pStyle w:val="Compact"/>
              <w:jc w:val="left"/>
            </w:pPr>
            <w:r>
              <w:t xml:space="preserve">ADVANCE-NEXT (PTI primaria)</w:t>
            </w:r>
          </w:p>
        </w:tc>
        <w:tc>
          <w:tcPr/>
          <w:p>
            <w:pPr>
              <w:pStyle w:val="Compact"/>
              <w:jc w:val="left"/>
            </w:pPr>
            <w:r>
              <w:t xml:space="preserve">+/−</w:t>
            </w:r>
          </w:p>
        </w:tc>
      </w:tr>
      <w:tr>
        <w:tc>
          <w:tcPr/>
          <w:p>
            <w:pPr>
              <w:pStyle w:val="Compact"/>
              <w:jc w:val="left"/>
            </w:pPr>
            <w:r>
              <w:t xml:space="preserve">2027</w:t>
            </w:r>
          </w:p>
        </w:tc>
        <w:tc>
          <w:tcPr/>
          <w:p>
            <w:pPr>
              <w:pStyle w:val="Compact"/>
              <w:jc w:val="left"/>
            </w:pPr>
            <w:r>
              <w:t xml:space="preserve">Lanzamiento del autoinyector; fase 3 de FB102 en celiaquía</w:t>
            </w:r>
          </w:p>
        </w:tc>
        <w:tc>
          <w:tcPr/>
          <w:p>
            <w:pPr>
              <w:pStyle w:val="Compact"/>
              <w:jc w:val="left"/>
            </w:pPr>
            <w:r>
              <w:t xml:space="preserve">+</w:t>
            </w:r>
          </w:p>
        </w:tc>
      </w:tr>
      <w:tr>
        <w:tc>
          <w:tcPr/>
          <w:p>
            <w:pPr>
              <w:pStyle w:val="Compact"/>
              <w:jc w:val="left"/>
            </w:pPr>
            <w:r>
              <w:t xml:space="preserve">2S 2027</w:t>
            </w:r>
          </w:p>
        </w:tc>
        <w:tc>
          <w:tcPr/>
          <w:p>
            <w:pPr>
              <w:pStyle w:val="Compact"/>
              <w:jc w:val="left"/>
            </w:pPr>
            <w:r>
              <w:t xml:space="preserve">EMVIGORATE / EMNERGIZE (empasiprubart en PDIC)</w:t>
            </w:r>
          </w:p>
        </w:tc>
        <w:tc>
          <w:tcPr/>
          <w:p>
            <w:pPr>
              <w:pStyle w:val="Compact"/>
              <w:jc w:val="left"/>
            </w:pPr>
            <w:r>
              <w:t xml:space="preserve">+/−</w:t>
            </w:r>
          </w:p>
        </w:tc>
      </w:tr>
    </w:tbl>
    <w:bookmarkEnd w:id="31"/>
    <w:bookmarkStart w:id="32" w:name="encaje-en-cartera"/>
    <w:p>
      <w:pPr>
        <w:pStyle w:val="Heading2"/>
      </w:pPr>
      <w:r>
        <w:t xml:space="preserve">13. Encaje en cartera</w:t>
      </w:r>
    </w:p>
    <w:p>
      <w:pPr>
        <w:pStyle w:val="FirstParagraph"/>
      </w:pPr>
      <w:r>
        <w:t xml:space="preserve">Cartera value propuesta de Hotis (~29.800 EUR): IGLN (oro), Edenred, Daiichi Sankyo, Uber, Viscofan, Alphabet, Netflix, SAP, Intuit, Nemetschek, LVMH y ~6.300 EUR de liquidez. Growth ya analizadas: Palantir, CrowdStrike, Spotify y Rheinmetall, ninguna en Comprar. El bolsillo growth podría llegar al 20 % (~5.960 EUR), con posiciones del 3,5-5 % (~1.040-1.490 EUR).</w:t>
      </w:r>
    </w:p>
    <w:p>
      <w:pPr>
        <w:pStyle w:val="BodyText"/>
      </w:pPr>
      <w:r>
        <w:rPr>
          <w:bCs/>
          <w:b/>
        </w:rPr>
        <w:t xml:space="preserve">argenx no entra hoy: peso 0 %.</w:t>
      </w:r>
      <w:r>
        <w:t xml:space="preserve"> </w:t>
      </w:r>
      <w:r>
        <w:t xml:space="preserve">Es la growth analizada con mejor relación entre precio y calidad: puntúa 70,5 y tiene un EV/beneficio bruto de 7,6x, frente a 54x de CrowdStrike. Además diversificaría de verdad: la cartera tiene mucho software y consumo, y la única farmacéutica es Daiichi Sankyo (oncología, sin solapamiento con argenx). Pero el método no compra sin giro de tendencia (3 de 8 señales), y con ventas realistas la rentabilidad esperada es de ~+11 %, justo en el listón.</w:t>
      </w:r>
    </w:p>
    <w:p>
      <w:pPr>
        <w:pStyle w:val="BodyText"/>
      </w:pPr>
      <w:r>
        <w:rPr>
          <w:bCs/>
          <w:b/>
        </w:rPr>
        <w:t xml:space="preserve">Plan si gira</w:t>
      </w:r>
      <w:r>
        <w:t xml:space="preserve">: si tras los resultados del 3T (22-oct) o la lectura de EMPASSION recupera la media de 200 sesiones (~850-880 USD) y el sentimiento se estabiliza, tendría 4-5 señales y pasaría a Comprar con convicción baja. Peso del 3,5 % (~1.040 EUR) a costa de la liquidez, en dos tramos: la mitad al confirmarse la señal y la otra mitad tras los resultados del 4T (feb-2027) o con una caída del 10 % sin cambio de tesis. Precio máximo de compra según la regla: 1.082,5 USD. Con la proyección realista, conviene no pasar de ~900 USD. Comprando en Bruselas en EUR se evita el ADR y la conversión de divisas.</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c>
          <w:tcPr/>
          <w:p>
            <w:pPr>
              <w:pStyle w:val="Compact"/>
              <w:jc w:val="left"/>
            </w:pPr>
            <w:r>
              <w:t xml:space="preserve">Ventas 12 m +71,2 % (5), CAGR a 2 años +81,8 % (5), aceleración −23,7 pp (0)</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20,9 % (1), tecnología 4, posición 5</w:t>
            </w:r>
          </w:p>
        </w:tc>
      </w:tr>
      <w:tr>
        <w:tc>
          <w:tcPr/>
          <w:p>
            <w:pPr>
              <w:pStyle w:val="Compact"/>
              <w:jc w:val="left"/>
            </w:pPr>
            <w:r>
              <w:t xml:space="preserve">C. Cambio de tendencia</w:t>
            </w:r>
          </w:p>
        </w:tc>
        <w:tc>
          <w:tcPr/>
          <w:p>
            <w:pPr>
              <w:pStyle w:val="Compact"/>
              <w:jc w:val="left"/>
            </w:pPr>
            <w:r>
              <w:t xml:space="preserve">7,5</w:t>
            </w:r>
          </w:p>
        </w:tc>
        <w:tc>
          <w:tcPr/>
          <w:p>
            <w:pPr>
              <w:pStyle w:val="Compact"/>
              <w:jc w:val="left"/>
            </w:pPr>
            <w:r>
              <w:t xml:space="preserve">20</w:t>
            </w:r>
          </w:p>
        </w:tc>
        <w:tc>
          <w:tcPr/>
          <w:p>
            <w:pPr>
              <w:pStyle w:val="Compact"/>
              <w:jc w:val="left"/>
            </w:pPr>
            <w:r>
              <w:t xml:space="preserve">3/8 señales, sin euforia</w:t>
            </w:r>
          </w:p>
        </w:tc>
      </w:tr>
      <w:tr>
        <w:tc>
          <w:tcPr/>
          <w:p>
            <w:pPr>
              <w:pStyle w:val="Compact"/>
              <w:jc w:val="left"/>
            </w:pPr>
            <w:r>
              <w:t xml:space="preserve">D. Economía unitaria</w:t>
            </w:r>
          </w:p>
        </w:tc>
        <w:tc>
          <w:tcPr/>
          <w:p>
            <w:pPr>
              <w:pStyle w:val="Compact"/>
              <w:jc w:val="left"/>
            </w:pPr>
            <w:r>
              <w:t xml:space="preserve">15,0</w:t>
            </w:r>
          </w:p>
        </w:tc>
        <w:tc>
          <w:tcPr/>
          <w:p>
            <w:pPr>
              <w:pStyle w:val="Compact"/>
              <w:jc w:val="left"/>
            </w:pPr>
            <w:r>
              <w:t xml:space="preserve">15</w:t>
            </w:r>
          </w:p>
        </w:tc>
        <w:tc>
          <w:tcPr/>
          <w:p>
            <w:pPr>
              <w:pStyle w:val="Compact"/>
              <w:jc w:val="left"/>
            </w:pPr>
            <w:r>
              <w:t xml:space="preserve">Margen bruto 90,4 % (5), regla del 40 = 89,2 (5), FCF creciente (5)</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(5), dilución del 2 % (5)</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Historial 4, dirección 4</w:t>
            </w:r>
          </w:p>
        </w:tc>
      </w:tr>
      <w:tr>
        <w:tc>
          <w:tcPr/>
          <w:p>
            <w:pPr>
              <w:pStyle w:val="Compact"/>
              <w:jc w:val="left"/>
            </w:pPr>
            <w:r>
              <w:rPr>
                <w:bCs/>
                <w:b/>
              </w:rPr>
              <w:t xml:space="preserve">Total</w:t>
            </w:r>
          </w:p>
        </w:tc>
        <w:tc>
          <w:tcPr/>
          <w:p>
            <w:pPr>
              <w:pStyle w:val="Compact"/>
              <w:jc w:val="left"/>
            </w:pPr>
            <w:r>
              <w:rPr>
                <w:bCs/>
                <w:b/>
              </w:rPr>
              <w:t xml:space="preserve">70,5</w:t>
            </w:r>
          </w:p>
        </w:tc>
        <w:tc>
          <w:tcPr/>
          <w:p>
            <w:pPr>
              <w:pStyle w:val="Compact"/>
              <w:jc w:val="left"/>
            </w:pPr>
            <w:r>
              <w:rPr>
                <w:bCs/>
                <w:b/>
              </w:rPr>
              <w:t xml:space="preserve">100</w:t>
            </w:r>
          </w:p>
        </w:tc>
        <w:tc>
          <w:tcPr/>
          <w:p>
            <w:pPr>
              <w:pStyle w:val="Compact"/>
              <w:jc w:val="left"/>
            </w:pPr>
            <w:r>
              <w:t xml:space="preserve">Señal:</w:t>
            </w:r>
            <w:r>
              <w:t xml:space="preserve"> </w:t>
            </w:r>
            <w:r>
              <w:rPr>
                <w:bCs/>
                <w:b/>
              </w:rPr>
              <w:t xml:space="preserve">Mantener</w:t>
            </w:r>
            <w:r>
              <w:t xml:space="preserve">; no compra porque tiene menos de 4 señales</w:t>
            </w:r>
          </w:p>
        </w:tc>
      </w:tr>
    </w:tbl>
    <w:p>
      <w:pPr>
        <w:pStyle w:val="BodyText"/>
      </w:pPr>
      <w:r>
        <w:rPr>
          <w:bCs/>
          <w:b/>
        </w:rPr>
        <w:t xml:space="preserve">Lo que la regla mide mal en argenx (propuesta, sin tocar el código):</w:t>
      </w:r>
      <w:r>
        <w:t xml:space="preserve"> </w:t>
      </w:r>
      <w:r>
        <w:t xml:space="preserve">1.</w:t>
      </w:r>
      <w:r>
        <w:t xml:space="preserve"> </w:t>
      </w:r>
      <w:r>
        <w:rPr>
          <w:iCs/>
          <w:i/>
        </w:rPr>
        <w:t xml:space="preserve">Proyección mecánica con desaceleración fuerte.</w:t>
      </w:r>
      <w:r>
        <w:t xml:space="preserve"> </w:t>
      </w:r>
      <w:r>
        <w:t xml:space="preserve">Mezclar el CAGR de 2 años (+82 %) con el pasado lleva el crecimiento de partida al tope del 60 %, cuando el último trimestre crece un 60 % y el siguiente, un ~41 %. El resultado son unas ventas un ~35 % por encima del consenso. Propuesta: si</w:t>
      </w:r>
      <w:r>
        <w:t xml:space="preserve"> </w:t>
      </w:r>
      <w:r>
        <w:rPr>
          <w:rStyle w:val="VerbatimChar"/>
        </w:rPr>
        <w:t xml:space="preserve">aceleracion_pp</w:t>
      </w:r>
      <w:r>
        <w:t xml:space="preserve"> </w:t>
      </w:r>
      <w:r>
        <w:t xml:space="preserve">&lt; −10, que el crecimiento de partida sea el menor entre la fórmula actual y</w:t>
      </w:r>
      <w:r>
        <w:t xml:space="preserve"> </w:t>
      </w:r>
      <w:r>
        <w:rPr>
          <w:rStyle w:val="VerbatimChar"/>
        </w:rPr>
        <w:t xml:space="preserve">ultimo_trimestre_pct</w:t>
      </w:r>
      <w:r>
        <w:t xml:space="preserve"> </w:t>
      </w:r>
      <w:r>
        <w:t xml:space="preserve">(o</w:t>
      </w:r>
      <w:r>
        <w:t xml:space="preserve"> </w:t>
      </w:r>
      <w:r>
        <w:rPr>
          <w:rStyle w:val="VerbatimChar"/>
        </w:rPr>
        <w:t xml:space="preserve">crecimiento_actual_pct</w:t>
      </w:r>
      <w:r>
        <w:t xml:space="preserve">), y que el decaimiento anual pase del 15 % al 25 %. Aquí la ponderada bajaría de +46 % a ~+10-15 %.</w:t>
      </w:r>
      <w:r>
        <w:t xml:space="preserve"> </w:t>
      </w:r>
      <w:r>
        <w:t xml:space="preserve">2.</w:t>
      </w:r>
      <w:r>
        <w:t xml:space="preserve"> </w:t>
      </w:r>
      <w:r>
        <w:rPr>
          <w:iCs/>
          <w:i/>
        </w:rPr>
        <w:t xml:space="preserve">La penetración castiga al líder.</w:t>
      </w:r>
      <w:r>
        <w:t xml:space="preserve"> </w:t>
      </w:r>
      <w:r>
        <w:t xml:space="preserve">Con el 21 % de un mercado de nicho bien definido puntúa 1/5, igual que una empresa saturada. En biotecnología de enfermedades raras sería mejor medir el mercado en pacientes elegibles con las indicaciones ya aprobadas y en registro, o no dar menos de 2 si el mercado alcanzable crece más del 15 % anual.</w:t>
      </w:r>
      <w:r>
        <w:t xml:space="preserve"> </w:t>
      </w:r>
      <w:r>
        <w:t xml:space="preserve">3.</w:t>
      </w:r>
      <w:r>
        <w:t xml:space="preserve"> </w:t>
      </w:r>
      <w:r>
        <w:rPr>
          <w:iCs/>
          <w:i/>
        </w:rPr>
        <w:t xml:space="preserve">La señal 4 (mejora del múltiplo) penaliza que las ventas crezcan más que el precio.</w:t>
      </w:r>
      <w:r>
        <w:t xml:space="preserve"> </w:t>
      </w:r>
      <w:r>
        <w:t xml:space="preserve">Un EV/ventas que baja con el beneficio disparado no es pérdida de percepción. Se podría aceptar como alternativa «precio +20 % desde el mínimo de 12 meses con estimaciones al alza» (aquí, +23 % desde 662 USD).</w:t>
      </w:r>
    </w:p>
    <w:bookmarkEnd w:id="33"/>
    <w:bookmarkStart w:id="34" w:name="fuentes"/>
    <w:p>
      <w:pPr>
        <w:pStyle w:val="Heading2"/>
      </w:pPr>
      <w:r>
        <w:t xml:space="preserve">Fuentes</w:t>
      </w:r>
    </w:p>
    <w:p>
      <w:pPr>
        <w:pStyle w:val="FirstParagraph"/>
      </w:pPr>
      <w:r>
        <w:t xml:space="preserve">[1] argenx, «Half Year 2026 Financial Results and Second Quarter Business Update» (23-jul-2026), argenx.com y 6-K (SEC); resúmenes en Quartr, Investing.com, MarketScreener y MarketBeat.</w:t>
      </w:r>
      <w:r>
        <w:t xml:space="preserve"> </w:t>
      </w:r>
      <w:r>
        <w:t xml:space="preserve">[2] argenx, resultados del 1T 2026 (7-may-2026) y de FY2025 (26-feb-2026; preliminares del 12-ene-2026).</w:t>
      </w:r>
      <w:r>
        <w:t xml:space="preserve"> </w:t>
      </w:r>
      <w:r>
        <w:t xml:space="preserve">[3] Ad-hoc-news / StockAnalysis / CNBC (cierre Nasdaq de 817,16 USD, 13-oct-2026; 825,03 el 9-oct); Yahoo Finance ARGX.BR (733,20 EUR el 12-oct); Lang &amp; Schwarz (741,80 EUR el 13-oct).</w:t>
      </w:r>
      <w:r>
        <w:t xml:space="preserve"> </w:t>
      </w:r>
      <w:r>
        <w:t xml:space="preserve">[4] Barchart / CNN / Yahoo (rango de 52 semanas 661,85-1.072,75 USD); InvestSmart (precio inicial de 2026).</w:t>
      </w:r>
      <w:r>
        <w:t xml:space="preserve"> </w:t>
      </w:r>
      <w:r>
        <w:t xml:space="preserve">[5] Motley Fool (7-oct-2026 y 19-ago-2026).</w:t>
      </w:r>
      <w:r>
        <w:t xml:space="preserve"> </w:t>
      </w:r>
      <w:r>
        <w:t xml:space="preserve">[6] TipRanks / MarketBeat / Digrin (cierres de oct-2025 y de fin de año); Investing.com (media de 200 sesiones, 1-ago-2026); Equibles (19-ago-2026).</w:t>
      </w:r>
      <w:r>
        <w:t xml:space="preserve"> </w:t>
      </w:r>
      <w:r>
        <w:t xml:space="preserve">[7] argenx, resultados del 2T 2025.</w:t>
      </w:r>
      <w:r>
        <w:t xml:space="preserve"> </w:t>
      </w:r>
      <w:r>
        <w:t xml:space="preserve">[8] Yahoo Finance, TIKR, BioPharma Dive, Endpoints, European Biotechnology y BioSpace (8-oct-2026: UNITY detenido; FB102).</w:t>
      </w:r>
      <w:r>
        <w:t xml:space="preserve"> </w:t>
      </w:r>
      <w:r>
        <w:t xml:space="preserve">[9] Yahoo Finance, Chartmill y StockAnalysis (consenso de ventas y BPA 2026-2027); TIKR (ventas de 2028 y PER futuro); GuruFocus (consenso antes del 1T).</w:t>
      </w:r>
      <w:r>
        <w:t xml:space="preserve"> </w:t>
      </w:r>
      <w:r>
        <w:t xml:space="preserve">[10] Simply Wall St (precio objetivo medio, ago-2026); Benzinga / ad-hoc-news (BofA, Oppenheimer, Morgan Stanley y Baird, oct-2026); eToro (consenso).</w:t>
      </w:r>
      <w:r>
        <w:t xml:space="preserve"> </w:t>
      </w:r>
      <w:r>
        <w:t xml:space="preserve">[11] MarketBeat (BPA del 2T frente al consenso).</w:t>
      </w:r>
      <w:r>
        <w:t xml:space="preserve"> </w:t>
      </w:r>
      <w:r>
        <w:t xml:space="preserve">[12] Companiesmarketcap, YCharts y ROIC.ai (precio/ventas y EV/ventas); EV/ventas NTM históricos de estimación propia.</w:t>
      </w:r>
      <w:r>
        <w:t xml:space="preserve"> </w:t>
      </w:r>
      <w:r>
        <w:t xml:space="preserve">[13] Weiss Ratings, TIKR, Simply Wall St / Wealth Awesome (oct-2026).</w:t>
      </w:r>
      <w:r>
        <w:t xml:space="preserve"> </w:t>
      </w:r>
      <w:r>
        <w:t xml:space="preserve">[14] Deutsche Bank a Mantener (vía Benzinga / boerse.de).</w:t>
      </w:r>
      <w:r>
        <w:t xml:space="preserve"> </w:t>
      </w:r>
      <w:r>
        <w:t xml:space="preserve">[15] AFM, registro de operaciones de directivos (T.J.M. van Hauwermeiren); Simply Wall St (propiedad y operaciones de directivos).</w:t>
      </w:r>
      <w:r>
        <w:t xml:space="preserve"> </w:t>
      </w:r>
      <w:r>
        <w:t xml:space="preserve">[16] argenx (17-ago-2026), ALKIVIA; Practical Neurology; Rheum-Live.</w:t>
      </w:r>
      <w:r>
        <w:t xml:space="preserve"> </w:t>
      </w:r>
      <w:r>
        <w:t xml:space="preserve">[17] argenx, hitos de cartera (1T y 1S 2026); STAT (5-ene-2026) y Pulse2 (7-may-2026), cambio de consejero delegado.</w:t>
      </w:r>
      <w:r>
        <w:t xml:space="preserve"> </w:t>
      </w:r>
      <w:r>
        <w:t xml:space="preserve">[18] Ventas trimestrales de 2023-2025 de las notas de resultados de argenx (</w:t>
      </w:r>
      <w:r>
        <w:rPr>
          <w:bCs/>
          <w:b/>
        </w:rPr>
        <w:t xml:space="preserve">de memoria</w:t>
      </w:r>
      <w:r>
        <w:t xml:space="preserve">; cuadran con los totales anuales y los crecimientos publicados); 1T y 2T 2026 derivados de los porcentajes publicados.</w:t>
      </w:r>
      <w:r>
        <w:t xml:space="preserve"> </w:t>
      </w:r>
      <w:r>
        <w:t xml:space="preserve">[19] StockAnalysis (FCF de 2025 y de los últimos 12 meses); AlphaQuery (pagos en acciones de 2025).</w:t>
      </w:r>
      <w:r>
        <w:t xml:space="preserve"> </w:t>
      </w:r>
      <w:r>
        <w:t xml:space="preserve">[20] Mercado alcanzable de estimación propia, contrastado con GlobalData, Grand View y Vision 2030 de argenx (FiercePharma, Clinical Trials Arena, Yahoo).</w:t>
      </w:r>
      <w:r>
        <w:t xml:space="preserve"> </w:t>
      </w:r>
      <w:r>
        <w:t xml:space="preserve">[21] multiples.vc (UCB, Alnylam); Walnut (PER futuro de ALNY y VRTX); Vertex, Ascendis e Insmed</w:t>
      </w:r>
      <w:r>
        <w:t xml:space="preserve"> </w:t>
      </w:r>
      <w:r>
        <w:rPr>
          <w:bCs/>
          <w:b/>
        </w:rPr>
        <w:t xml:space="preserve">en parte de memoria</w:t>
      </w:r>
      <w:r>
        <w:t xml:space="preserv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2026-10-14T15:14:15Z</dcterms:created>
  <dcterms:modified xsi:type="dcterms:W3CDTF">2026-10-14T15:14:15Z</dcterms:modified>
</cp:coreProperties>
</file>

<file path=docProps/custom.xml><?xml version="1.0" encoding="utf-8"?>
<Properties xmlns="http://schemas.openxmlformats.org/officeDocument/2006/custom-properties" xmlns:vt="http://schemas.openxmlformats.org/officeDocument/2006/docPropsVTypes"/>
</file>