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f4fbf769a5120067c31a217dacc5b1427fa93d8"/>
    <w:p>
      <w:pPr>
        <w:pStyle w:val="Heading1"/>
      </w:pPr>
      <w:r>
        <w:t xml:space="preserve">Axon Enterprise (AXON): análisis growth, 14-oct-2026</w:t>
      </w:r>
    </w:p>
    <w:p>
      <w:pPr>
        <w:pStyle w:val="FirstParagraph"/>
      </w:pPr>
      <w:r>
        <w:rPr>
          <w:bCs/>
          <w:b/>
        </w:rPr>
        <w:t xml:space="preserve">Señal (método v7): Comprar (convicción baja)</w:t>
      </w:r>
      <w:r>
        <w:t xml:space="preserve"> </w:t>
      </w:r>
      <w:r>
        <w:t xml:space="preserve">· Puntuación 68,2/100 · Señales de cambio de tendencia 3/8 · EV/beneficio bruto 14,2x</w:t>
      </w:r>
      <w:r>
        <w:t xml:space="preserve"> </w:t>
      </w:r>
      <w:r>
        <w:t xml:space="preserve">Precio 413,35 USD · Objetivo 12 m 554,8 USD (ponderada +34,2 %, base +28,3 %, bajista -42,4 %, alcista +122,8 %) · Compra hasta 528,4 USD</w:t>
      </w:r>
      <w:r>
        <w:t xml:space="preserve"> </w:t>
      </w:r>
      <w:r>
        <w:t xml:space="preserve">Peso orientativo: 3,5 % de la cartera · Por qué: cumple todos los requisitos de compra</w:t>
      </w:r>
    </w:p>
    <w:p>
      <w:pPr>
        <w:pStyle w:val="BlockText"/>
      </w:pPr>
      <w:r>
        <w:rPr>
          <w:bCs/>
          <w:b/>
        </w:rPr>
        <w:t xml:space="preserve">Calculado con el método v7</w:t>
      </w:r>
      <w:r>
        <w:t xml:space="preserve"> </w:t>
      </w:r>
      <w:r>
        <w:t xml:space="preserve">(vigente desde el 14-oct tras el backtest de 71 casos,</w:t>
      </w:r>
      <w:r>
        <w:t xml:space="preserve"> </w:t>
      </w:r>
      <w:r>
        <w:rPr>
          <w:rStyle w:val="VerbatimChar"/>
        </w:rPr>
        <w:t xml:space="preserve">verticales/growth/metodo.md</w:t>
      </w:r>
      <w:r>
        <w:t xml:space="preserve"> </w:t>
      </w:r>
      <w:r>
        <w:t xml:space="preserve">§6). Si la sección 9 enseña otras cifras de valoración, son del borrador con la proyección del analista; mandan las de arriba: ventas con la regla mecánica (5572 M en el base) y múltiplo de hoy con rebaja por desaceleración (5x / 8,3x / 13x).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Axon (TASER, cámaras corporales, Evidence.com, IA, antidrones Dedrone, Axon 911) crece por décimo trimestre seguido por encima del 30 %: +35,2 % en el 2T26, ventas de 12 meses de 3.219 M USD (+34,6 %), ARR +39 % y retención neta del 126 %. Puntuación 68,2/100, lastrada por la caja y el margen bruto, no por el negocio.</w:t>
      </w:r>
    </w:p>
    <w:p>
      <w:pPr>
        <w:numPr>
          <w:ilvl w:val="0"/>
          <w:numId w:val="1001"/>
        </w:numPr>
        <w:pStyle w:val="Compact"/>
      </w:pPr>
      <w:r>
        <w:t xml:space="preserve">La acción ha caído un 43 % en 12 meses (de ~730 a 413 USD) y un 53 % desde el máximo de 886 USD: venta del software por miedo a la IA, márgenes presionados por aranceles y memoria, pagos en acciones del 16 % de las ventas y un convertible de 1.150 M en septiembre con la caja en mínimos.</w:t>
      </w:r>
    </w:p>
    <w:p>
      <w:pPr>
        <w:numPr>
          <w:ilvl w:val="0"/>
          <w:numId w:val="1001"/>
        </w:numPr>
        <w:pStyle w:val="Compact"/>
      </w:pPr>
      <w:r>
        <w:t xml:space="preserve">Por eso la valoración ha vuelto a la zona de 2023 (cuando el backtest de v4 la compraba): EV/ventas NTM 8,5x, EV/beneficio bruto 14,2x y un DCF inverso que solo descuenta un 17,6 % anual durante 10 años, frente al +32-34 % de la guía 2026 y el objetivo de 6.000 M USD en 2028.</w:t>
      </w:r>
    </w:p>
    <w:p>
      <w:pPr>
        <w:numPr>
          <w:ilvl w:val="0"/>
          <w:numId w:val="1001"/>
        </w:numPr>
        <w:pStyle w:val="Compact"/>
      </w:pPr>
      <w:r>
        <w:t xml:space="preserve">Pero la tendencia todavía no ha girado: precio un 23 % bajo la media de 200 sesiones, fuerza relativa negativa, sentimiento empeorando y sin compras de directivos. Solo 3/8 señales (revisiones de ventas al alza, inflexión operativa y catalizadores nuevos).</w:t>
      </w:r>
    </w:p>
    <w:p>
      <w:pPr>
        <w:numPr>
          <w:ilvl w:val="0"/>
          <w:numId w:val="1001"/>
        </w:numPr>
        <w:pStyle w:val="Compact"/>
      </w:pPr>
      <w:r>
        <w:t xml:space="preserve">Conclusión: Mantener y vigilar de cerca. Es la mejor combinación de crecimiento y precio de las growth analizadas hasta ahora, pero el método pide que el mercado empiece a reconocerlo antes de entrar. Disparadores: precio &gt; ~450 USD (señal 4), vuelta sobre la media de 200 o un 3T (≈ 5-nov) que confirme el margen y mejore el sentimiento.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pStyle w:val="FirstParagraph"/>
      </w:pPr>
      <w:r>
        <w:t xml:space="preserve">Axon vende un ecosistema cerrado a policías, administraciones, ejército y empresas:</w:t>
      </w:r>
      <w:r>
        <w:t xml:space="preserve"> </w:t>
      </w:r>
      <w:r>
        <w:rPr>
          <w:bCs/>
          <w:b/>
        </w:rPr>
        <w:t xml:space="preserve">Dispositivos conectados</w:t>
      </w:r>
      <w:r>
        <w:t xml:space="preserve"> </w:t>
      </w:r>
      <w:r>
        <w:t xml:space="preserve">(TASER 10, cámaras Axon Body 4, cámaras de vehículo, drones y antidrones Dedrone, 507 M USD en el 2T26, +35 %) y</w:t>
      </w:r>
      <w:r>
        <w:t xml:space="preserve"> </w:t>
      </w:r>
      <w:r>
        <w:rPr>
          <w:bCs/>
          <w:b/>
        </w:rPr>
        <w:t xml:space="preserve">Software y servicios</w:t>
      </w:r>
      <w:r>
        <w:t xml:space="preserve"> </w:t>
      </w:r>
      <w:r>
        <w:t xml:space="preserve">(Evidence.com para la gestión de pruebas digitales, Records, Fusus para centros de crimen en tiempo real, Axon 911 tras comprar Carbyne por ~625 M USD en el 1S26, y la capa de IA: Draft One, Axon Assistant, Guardian, Vision; 398 M USD, +36 %) [1][17][18]. Se vende en planes plurianuales (OSP, «AI Era Plan») que agrupan hardware, nube e IA; los contratos futuros suman</w:t>
      </w:r>
      <w:r>
        <w:t xml:space="preserve"> </w:t>
      </w:r>
      <w:r>
        <w:rPr>
          <w:bCs/>
          <w:b/>
        </w:rPr>
        <w:t xml:space="preserve">15.100 M USD (+41 %)</w:t>
      </w:r>
      <w:r>
        <w:t xml:space="preserve"> </w:t>
      </w:r>
      <w:r>
        <w:t xml:space="preserve">[1].</w:t>
      </w:r>
    </w:p>
    <w:p>
      <w:pPr>
        <w:pStyle w:val="BodyText"/>
      </w:pPr>
      <w:r>
        <w:t xml:space="preserve">Lo nuevo: las ventas de IA crecieron más de un 700 % en el 1T26 y el «AI Era Plan» es el producto que más rápido se ha vendido en su historia. Dedrone supera los 100 M USD por trimestre (despliegue en las 11 sedes estadounidenses del Mundial y participante en el programa contra drones del DHS de 1.500 M USD) [13][17].</w:t>
      </w:r>
    </w:p>
    <w:p>
      <w:pPr>
        <w:pStyle w:val="BodyText"/>
      </w:pPr>
      <w:r>
        <w:rPr>
          <w:bCs/>
          <w:b/>
        </w:rPr>
        <w:t xml:space="preserve">Tecnología 5/5</w:t>
      </w:r>
      <w:r>
        <w:t xml:space="preserve">: el dispositivo y la nube están integrados (cadena de custodia de la prueba, CJIS), con datos y flujos de trabajo que ninguna alternativa replica en 3 años y un coste de cambio alto.</w:t>
      </w:r>
      <w:r>
        <w:t xml:space="preserve"> </w:t>
      </w:r>
      <w:r>
        <w:rPr>
          <w:bCs/>
          <w:b/>
        </w:rPr>
        <w:t xml:space="preserve">Posición 5/5</w:t>
      </w:r>
      <w:r>
        <w:t xml:space="preserve">: líder claro en armas de energía conducida y cámaras corporales de grandes ciudades de EE. UU., con cuota creciente en software (Motorola es el único rival de escala).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interanual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+32,7 %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+30,7 %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+39,1 %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+33,7 %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+35,2 %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3T26 (estimación; ~5-nov)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~+28 %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4T26 (el CFO lo prevé el de mayor crecimiento)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~+35 %</w:t>
            </w:r>
          </w:p>
        </w:tc>
      </w:tr>
    </w:tbl>
    <w:p>
      <w:pPr>
        <w:pStyle w:val="BodyText"/>
      </w:pPr>
      <w:r>
        <w:t xml:space="preserve">Fuentes: [1][2][3][4][5][18]. 3T24 (~544) y 4T24 (~573) deducidos de los crecimientos publicados.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Ejercicio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1.564 (memoria)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+33,5 %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guía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3.670-3.730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+32-34 %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 objetivo de la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~+27 % anual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Ventas de 12 meses</w:t>
      </w:r>
      <w:r>
        <w:t xml:space="preserve"> </w:t>
      </w:r>
      <w:r>
        <w:t xml:space="preserve">a jun-26:</w:t>
      </w:r>
      <w:r>
        <w:t xml:space="preserve"> </w:t>
      </w:r>
      <w:r>
        <w:rPr>
          <w:bCs/>
          <w:b/>
        </w:rPr>
        <w:t xml:space="preserve">3.219 M USD, +34,6 %</w:t>
      </w:r>
      <w:r>
        <w:t xml:space="preserve">.</w:t>
      </w:r>
      <w:r>
        <w:t xml:space="preserve"> </w:t>
      </w:r>
      <w:r>
        <w:rPr>
          <w:bCs/>
          <w:b/>
        </w:rPr>
        <w:t xml:space="preserve">CAGR propio a 2 años: 33,4 %</w:t>
      </w:r>
      <w:r>
        <w:t xml:space="preserve"> </w:t>
      </w:r>
      <w:r>
        <w:t xml:space="preserve">(1.809 M a jun-24).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Aceleración</w:t>
      </w:r>
      <w:r>
        <w:t xml:space="preserve">: 2T26 +35,2 % frente a una media del 34,0 % en los cuatro anteriores:</w:t>
      </w:r>
      <w:r>
        <w:t xml:space="preserve"> </w:t>
      </w:r>
      <w:r>
        <w:rPr>
          <w:bCs/>
          <w:b/>
        </w:rPr>
        <w:t xml:space="preserve">+1,2 pp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ARR</w:t>
      </w:r>
      <w:r>
        <w:t xml:space="preserve">: 1.600 M USD (+39 %);</w:t>
      </w:r>
      <w:r>
        <w:t xml:space="preserve"> </w:t>
      </w:r>
      <w:r>
        <w:rPr>
          <w:bCs/>
          <w:b/>
        </w:rPr>
        <w:t xml:space="preserve">retención neta: 126 %</w:t>
      </w:r>
      <w:r>
        <w:t xml:space="preserve"> </w:t>
      </w:r>
      <w:r>
        <w:t xml:space="preserve">(124 % en el 3T25, 125 % en el 1T26) [1][2][4].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Guía</w:t>
      </w:r>
      <w:r>
        <w:t xml:space="preserve">: subida dos veces en 2026 (+27-30 % → +30-32 % → +32-34 %); EBITDA ajustado ~25,5 %; objetivo 2028 de ~6.000 M USD y 28 % de EBITDA ajustado [1][3].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Mercado alcanzable</w:t>
      </w:r>
      <w:r>
        <w:t xml:space="preserve">: Axon habla de</w:t>
      </w:r>
      <w:r>
        <w:t xml:space="preserve"> </w:t>
      </w:r>
      <w:r>
        <w:rPr>
          <w:bCs/>
          <w:b/>
        </w:rPr>
        <w:t xml:space="preserve">159.000 M USD</w:t>
      </w:r>
      <w:r>
        <w:t xml:space="preserve"> </w:t>
      </w:r>
      <w:r>
        <w:t xml:space="preserve">[9]. Incluye todo el mundo, todo el mercado empresarial y federal. Se toma ~1/3,</w:t>
      </w:r>
      <w:r>
        <w:t xml:space="preserve"> </w:t>
      </w:r>
      <w:r>
        <w:rPr>
          <w:bCs/>
          <w:b/>
        </w:rPr>
        <w:t xml:space="preserve">50.000 M USD</w:t>
      </w:r>
      <w:r>
        <w:t xml:space="preserve">, como alcanzable en 2028 (seguridad pública de EE. UU. y aliados, federal, antidrones y algo de empresa).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Penetración</w:t>
      </w:r>
      <w:r>
        <w:t xml:space="preserve">: 3.219 / 50.000 =</w:t>
      </w:r>
      <w:r>
        <w:t xml:space="preserve"> </w:t>
      </w:r>
      <w:r>
        <w:rPr>
          <w:bCs/>
          <w:b/>
        </w:rPr>
        <w:t xml:space="preserve">6,4 %</w:t>
      </w:r>
      <w:r>
        <w:t xml:space="preserve"> </w:t>
      </w:r>
      <w:r>
        <w:t xml:space="preserve">(2,0 % sobre la cifra de la empresa).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Rivales</w:t>
      </w:r>
      <w:r>
        <w:t xml:space="preserve">: Motorola Solutions (cámaras, radio, 911 y software de mando), Flock Safety y otros en lectores de matrículas y centros de crimen, Tyler Technologies en software de justicia, y fabricantes de antidrones en defensa.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Por qué gana</w:t>
      </w:r>
      <w:r>
        <w:t xml:space="preserve">: la plataforma: el TASER y la cámara abren la puerta, Evidence.com retiene y la IA y el 911 amplían el gasto por agente (retención 126 %). Los planes de 5-10 años hacen las ventas muy visibles (15.100 M contratados).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de ventas 2026 subida dos veces (+27-30 % → +32-34 %); 2T26 de 904 M frente a 876 M de consenso; Northcoast a 680 y Argus de 460 a 600 USD. Ojo: el objetivo medio baja de ~735 a ~692-697 USD y el BPA del 3T se espera presionado por la memoria.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[1][7][8]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sobre la media de 200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de 200 sesiones ~539 USD (23-sep) y bajando; cierre 413,35 USD (−23 %).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[10][11]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~393 USD a mediados de abril → 413 USD (+5 %), con el software +40 % desde los mínimos de abril; −26 % en 2026.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[11][12]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 del 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EV/ventas NTM de ~7,4-7,6x en el mínimo de abril (339 USD) a 8,5x hoy: +12-14 %, por debajo del +20 %.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[11][12]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operativo GAAP del 2T26 +5,2 % (47 M) frente a −0,1 % (−1 M): +5,3 pp. Ayudado por devoluciones de aranceles que no se repiten en el 3T.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[1][13]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Empeora: −14 % tras el margen bruto del 2T, −11 % el 15-sep con el convertible, −22 % en septiembre; Weiss a C- (Mantener).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[6][14][15]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de directivos o institucionales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compras en 90 días; ventas netas de ~11 M USD (CTO, plan 10b5-1); el CEO solo recibe concesiones.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Catalizador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Dedrone &gt; 100 M por trimestre y programa del DHS; IA +700 %; Axon 911 (Carbyne); 3T (~5-nov) y un 4T previsto como el de mayor crecimiento.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[13][17][18]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</w:t>
      </w:r>
      <w:r>
        <w:t xml:space="preserve"> </w:t>
      </w:r>
      <w:r>
        <w:t xml:space="preserve">(−43 % en 12 meses). Es justo lo contrario: la percepción está en mínimos mientras el negocio acelera. Las señales 1, 5 y 8 son de negocio; las 2, 3, 4 y 6 (de precio y percepción) siguen en contra.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Margen bruto</w:t>
      </w:r>
      <w:r>
        <w:t xml:space="preserve">: GAAP del</w:t>
      </w:r>
      <w:r>
        <w:t xml:space="preserve"> </w:t>
      </w:r>
      <w:r>
        <w:rPr>
          <w:bCs/>
          <w:b/>
        </w:rPr>
        <w:t xml:space="preserve">~59,5 %</w:t>
      </w:r>
      <w:r>
        <w:t xml:space="preserve"> </w:t>
      </w:r>
      <w:r>
        <w:t xml:space="preserve">en 12 meses (4T25 57,9 %, 2T26 60,4 %; ajustado 62,9 %) [1][3]. Es un margen de empresa mixta: software y servicios al 75 % ajustado, dispositivos al 53 %. Lo presionan los aranceles, la memoria y el peso creciente de antidrones y drones.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FCF de 12 meses</w:t>
      </w:r>
      <w:r>
        <w:t xml:space="preserve">: ~</w:t>
      </w:r>
      <w:r>
        <w:rPr>
          <w:bCs/>
          <w:b/>
        </w:rPr>
        <w:t xml:space="preserve">133 M USD, 4,1 %</w:t>
      </w:r>
      <w:r>
        <w:t xml:space="preserve"> </w:t>
      </w:r>
      <w:r>
        <w:t xml:space="preserve">de las ventas (−24,5 %), por la inversión en inventario. Guía 2026: flujo operativo &gt; 600 M y</w:t>
      </w:r>
      <w:r>
        <w:t xml:space="preserve"> </w:t>
      </w:r>
      <w:r>
        <w:rPr>
          <w:bCs/>
          <w:b/>
        </w:rPr>
        <w:t xml:space="preserve">FCF ~450 M</w:t>
      </w:r>
      <w:r>
        <w:t xml:space="preserve"> </w:t>
      </w:r>
      <w:r>
        <w:t xml:space="preserve">(~12 %), concentrado en el 4T como en los dos últimos años [6][20].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Regla del 40</w:t>
      </w:r>
      <w:r>
        <w:t xml:space="preserve">: 34,6 + 4,1 =</w:t>
      </w:r>
      <w:r>
        <w:t xml:space="preserve"> </w:t>
      </w:r>
      <w:r>
        <w:rPr>
          <w:bCs/>
          <w:b/>
        </w:rPr>
        <w:t xml:space="preserve">38,7</w:t>
      </w:r>
      <w:r>
        <w:t xml:space="preserve"> </w:t>
      </w:r>
      <w:r>
        <w:t xml:space="preserve">(con la guía de FCF 2026 sería ~45).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Rentabilidad</w:t>
      </w:r>
      <w:r>
        <w:t xml:space="preserve">: FCF positivo pero decreciente en 12 meses → «fcf_positivo» (4/5). Margen operativo GAAP del 5,2 % en el 2T26; EBITDA ajustado del 26,8 %.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Caja</w:t>
      </w:r>
      <w:r>
        <w:t xml:space="preserve">: 685 M USD a 30-jun (caja e inversiones a corto) + ~1.019 M netos del convertible de septiembre tras el capped call =</w:t>
      </w:r>
      <w:r>
        <w:t xml:space="preserve"> </w:t>
      </w:r>
      <w:r>
        <w:rPr>
          <w:bCs/>
          <w:b/>
        </w:rPr>
        <w:t xml:space="preserve">~1.704 M USD</w:t>
      </w:r>
      <w:r>
        <w:t xml:space="preserve"> </w:t>
      </w:r>
      <w:r>
        <w:t xml:space="preserve">pro forma (sin el FCF del 3T) [1][21].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Deuda</w:t>
      </w:r>
      <w:r>
        <w:t xml:space="preserve">: ~1.850 M USD a 30-jun (bonos sénior 2030 y 2033) +</w:t>
      </w:r>
      <w:r>
        <w:t xml:space="preserve"> </w:t>
      </w:r>
      <w:r>
        <w:rPr>
          <w:bCs/>
          <w:b/>
        </w:rPr>
        <w:t xml:space="preserve">convertible 0 % 2031 de 1.150 M</w:t>
      </w:r>
      <w:r>
        <w:t xml:space="preserve"> </w:t>
      </w:r>
      <w:r>
        <w:t xml:space="preserve">(conversión a 652,06 USD, capped call hasta 1.049,94 USD) =</w:t>
      </w:r>
      <w:r>
        <w:t xml:space="preserve"> </w:t>
      </w:r>
      <w:r>
        <w:rPr>
          <w:bCs/>
          <w:b/>
        </w:rPr>
        <w:t xml:space="preserve">~3.000 M USD</w:t>
      </w:r>
      <w:r>
        <w:t xml:space="preserve">; deuda neta ~1.300 M (~1,4x el EBITDA ajustado de 2026) [6][21].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Pista</w:t>
      </w:r>
      <w:r>
        <w:t xml:space="preserve">: FCF positivo, sin quema.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Dilución</w:t>
      </w:r>
      <w:r>
        <w:t xml:space="preserve">: acciones diluidas de 78,1 M (sep-24) a 82,5 M (jun-26),</w:t>
      </w:r>
      <w:r>
        <w:t xml:space="preserve"> </w:t>
      </w:r>
      <w:r>
        <w:rPr>
          <w:bCs/>
          <w:b/>
        </w:rPr>
        <w:t xml:space="preserve">~3 % anual</w:t>
      </w:r>
      <w:r>
        <w:t xml:space="preserve">; el convertible está un 58 % fuera de dinero [6].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Pagos en acciones</w:t>
      </w:r>
      <w:r>
        <w:t xml:space="preserve">: guía 2026 de 590-620 M USD,</w:t>
      </w:r>
      <w:r>
        <w:t xml:space="preserve"> </w:t>
      </w:r>
      <w:r>
        <w:rPr>
          <w:bCs/>
          <w:b/>
        </w:rPr>
        <w:t xml:space="preserve">~16,4 % de las ventas. En rojo: supera el 15 %.</w:t>
      </w:r>
      <w:r>
        <w:t xml:space="preserve"> </w:t>
      </w:r>
      <w:r>
        <w:t xml:space="preserve">Incluye ~230 M del plan XSP y del premio al CEO ligado a hitos [20].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Historial (4/5)</w:t>
      </w:r>
      <w:r>
        <w:t xml:space="preserve">: diez trimestres seguidos &gt; 30 %, ventas por encima del consenso al menos nueve seguidos y guía subida dos veces en 2026. No es 5 porque falla en márgenes y BPA (3T25 y 1T26 por debajo del consenso por aranceles, I+D y memoria) y el FCF de 2025 quedó muy por debajo del de 2024.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Dirección (4/5)</w:t>
      </w:r>
      <w:r>
        <w:t xml:space="preserve">: el fundador Rick Smith es CEO desde 1993, con participación relevante y planes ligados a hitos de capitalización. Le restan los pagos en acciones del 16 %, las ventas regulares de directivos, el litigio por la nueva sede en Arizona y haber dejado caer la caja a ~600 M antes de emitir el convertible.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rPr>
          <w:bCs/>
          <w:b/>
        </w:rPr>
        <w:t xml:space="preserve">Ejercicio objetivo</w:t>
      </w:r>
      <w:r>
        <w:t xml:space="preserve">: ventas de los 12 meses a jun-2028 (≈ las NTM que mirará el mercado dentro de un año; regla mecánica a 2 años desde las ventas de 12 m).</w:t>
      </w:r>
      <w:r>
        <w:t xml:space="preserve"> </w:t>
      </w:r>
      <w:r>
        <w:rPr>
          <w:bCs/>
          <w:b/>
        </w:rPr>
        <w:t xml:space="preserve">Métrica</w:t>
      </w:r>
      <w:r>
        <w:t xml:space="preserve">: EV/ventas NTM (el EBITDA ajustado es aún muy sensible a aranceles y pagos en acciones).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EV de hoy</w:t>
      </w:r>
      <w:r>
        <w:t xml:space="preserve">: 413,35 × 82,5 + 3.000 − 1.704 =</w:t>
      </w:r>
      <w:r>
        <w:t xml:space="preserve"> </w:t>
      </w:r>
      <w:r>
        <w:rPr>
          <w:bCs/>
          <w:b/>
        </w:rPr>
        <w:t xml:space="preserve">35.397 M USD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Ventas NTM</w:t>
      </w:r>
      <w:r>
        <w:t xml:space="preserve">: ~4.185 M USD (+30 %) →</w:t>
      </w:r>
      <w:r>
        <w:t xml:space="preserve"> </w:t>
      </w:r>
      <w:r>
        <w:rPr>
          <w:bCs/>
          <w:b/>
        </w:rPr>
        <w:t xml:space="preserve">EV/ventas NTM 8,5x</w:t>
      </w:r>
      <w:r>
        <w:t xml:space="preserve">; EV/ventas 12 m pasados 11,0x;</w:t>
      </w:r>
      <w:r>
        <w:t xml:space="preserve"> </w:t>
      </w:r>
      <w:r>
        <w:rPr>
          <w:bCs/>
          <w:b/>
        </w:rPr>
        <w:t xml:space="preserve">EV/beneficio bruto NTM 14,2x</w:t>
      </w:r>
      <w:r>
        <w:t xml:space="preserve"> </w:t>
      </w:r>
      <w:r>
        <w:t xml:space="preserve">(límite 35).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Mediana de 3 años ~13x NTM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mínimo ~7,4x</w:t>
      </w:r>
      <w:r>
        <w:t xml:space="preserve"> </w:t>
      </w:r>
      <w:r>
        <w:t xml:space="preserve">(abril-2026): estimación propia a partir de Seeking Alpha (12,5x pasado y 9,7x futuro en mar-26; media de 5 años 14,7x pasado) y de los precios de 2023-2025 (~8x en oct-23, 17-21x en 2025) [22].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Comparables ~6x NTM</w:t>
      </w:r>
      <w:r>
        <w:t xml:space="preserve">: Motorola Solutions ~6,0x, Tyler ~5,5-6x, Samsara ~9,6x (Palantir, &gt; 40x, no entra) [23]. Axon crece el triple que Motorola y Tyler.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Desaceleración</w:t>
      </w:r>
      <w:r>
        <w:t xml:space="preserve">: crecimiento NTM 30 % frente al 29 % del año objetivo → factor 0,98.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12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−42,4 %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(50 %)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+28,3 %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13,0x (su mediana de 3 años)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920,9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+122,8 %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554,8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+34,2 %</w:t>
            </w:r>
          </w:p>
        </w:tc>
      </w:tr>
    </w:tbl>
    <w:p>
      <w:pPr>
        <w:pStyle w:val="BodyText"/>
      </w:pPr>
      <w:r>
        <w:t xml:space="preserve">Acciones dentro de 12 meses: 85,0 M (+3 %).</w:t>
      </w:r>
      <w:r>
        <w:t xml:space="preserve"> </w:t>
      </w:r>
      <w:r>
        <w:rPr>
          <w:bCs/>
          <w:b/>
        </w:rPr>
        <w:t xml:space="preserve">Asimetría 2,9.</w:t>
      </w:r>
      <w:r>
        <w:t xml:space="preserve"> </w:t>
      </w:r>
      <w:r>
        <w:rPr>
          <w:bCs/>
          <w:b/>
        </w:rPr>
        <w:t xml:space="preserve">Precio máximo de compra: 504,4 USD</w:t>
      </w:r>
      <w:r>
        <w:t xml:space="preserve"> </w:t>
      </w:r>
      <w:r>
        <w:t xml:space="preserve">(el que da base 0 %; el tope de EV/beneficio bruto 35 quedaría muy por encima).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Contraste con la proyección propia</w:t>
      </w:r>
      <w:r>
        <w:t xml:space="preserve">: 4.800 / 5.500 / 6.000 M (el alcista es el objetivo 2028 de la empresa); la regla mecánica da cifras muy parecidas.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Contraste con el consenso</w:t>
      </w:r>
      <w:r>
        <w:t xml:space="preserve">: objetivo medio de ~692-697 USD (18 de 20-21 analistas en Comprar) [7][8]; nuestra ponderada (554,8) es más prudente porque mantiene el múltiplo de hoy. Consenso de ventas 2028: no encontrado (null).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DCF inverso</w:t>
      </w:r>
      <w:r>
        <w:t xml:space="preserve">: con WACC 10 %, margen FCF del 6 % al 25 % en 10 años y crecimiento terminal del 4 %, el precio descuenta</w:t>
      </w:r>
      <w:r>
        <w:t xml:space="preserve"> </w:t>
      </w:r>
      <w:r>
        <w:rPr>
          <w:bCs/>
          <w:b/>
        </w:rPr>
        <w:t xml:space="preserve">~17,6 % anual durante 10 años</w:t>
      </w:r>
      <w:r>
        <w:t xml:space="preserve"> </w:t>
      </w:r>
      <w:r>
        <w:t xml:space="preserve">(ventas de ~16.200 M en 2036). Es la mitad del ritmo actual:</w:t>
      </w:r>
      <w:r>
        <w:t xml:space="preserve"> </w:t>
      </w:r>
      <w:r>
        <w:rPr>
          <w:bCs/>
          <w:b/>
        </w:rPr>
        <w:t xml:space="preserve">razonable y con margen.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Prensa y analistas</w:t>
      </w:r>
      <w:r>
        <w:t xml:space="preserve">: dos lecturas. Wall Street sigue en Comprar (objetivos 600-800 USD; Needham 750, Goldman 715) y TIKR insiste en que «el negocio no refleja la caída» [6][7][14]. Pero el tono de la prensa en septiembre-octubre es de castigo: margen bruto por debajo de lo esperado, convertible con poca caja, venta de un directivo y la etiqueta de «software que la IA puede sustituir» [6][14][15].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Motley Fool / Seeking Alpha</w:t>
      </w:r>
      <w:r>
        <w:t xml:space="preserve">: la crítica se centra en la valoración por beneficios (PER futuro de 60-70x) y los pagos en acciones; no hemos encontrado artículos de Seeking Alpha de sep-oct 2026 [12][22].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StockTwits / X</w:t>
      </w:r>
      <w:r>
        <w:t xml:space="preserve">: no hemos podido leer el flujo; las noticias de StockTwits sobre el convertible hablan de dilución.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Reddit (r/stocks, r/investing)</w:t>
      </w:r>
      <w:r>
        <w:t xml:space="preserve">: las búsquedas no devolvieron hilos recientes indexados.</w:t>
      </w:r>
      <w:r>
        <w:t xml:space="preserve"> </w:t>
      </w:r>
      <w:r>
        <w:rPr>
          <w:bCs/>
          <w:b/>
        </w:rPr>
        <w:t xml:space="preserve">Laguna.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 castellano</w:t>
      </w:r>
      <w:r>
        <w:t xml:space="preserve">: no aparecen hilos de Rankia ni de Investing ES; TIKR en español repite el debate dilución/margen frente a crecimiento.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Contraste con los datos</w:t>
      </w:r>
      <w:r>
        <w:t xml:space="preserve">: el negocio acelera y sube la guía, pero el precio ha caído más de un 40 %. El sentimiento es de capitulación parcial, no de euforia: es el terreno donde nacen los cambios de tendencia, pero todavía no se ve el giro.</w:t>
      </w:r>
    </w:p>
    <w:bookmarkEnd w:id="29"/>
    <w:bookmarkStart w:id="30" w:name="riesgos-y-qué-rompería-la-tesis"/>
    <w:p>
      <w:pPr>
        <w:pStyle w:val="Heading2"/>
      </w:pPr>
      <w:r>
        <w:t xml:space="preserve">11. Riesgos y qué rompería la tesis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Reversión del sentimiento que no llega</w:t>
      </w:r>
      <w:r>
        <w:t xml:space="preserve">: el principal. Sin giro de percepción el múltiplo puede comprimirse a ~5x (bajista −42 %), como Motorola y Tyler, aunque el negocio cumpla.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Márgenes</w:t>
      </w:r>
      <w:r>
        <w:t xml:space="preserve">: memoria y aranceles en dispositivos, y el peso de antidrones y drones (margen menor). Un 3T con margen bruto &lt; 58 % sin recuperación en el 4T dañaría la guía de FCF.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Caja y deuda</w:t>
      </w:r>
      <w:r>
        <w:t xml:space="preserve">: ~3.000 M de deuda con un FCF de 12 m de 133 M; depende de que el 4T traiga los ~450 M de FCF del año.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Pagos en acciones del 16 % de las ventas</w:t>
      </w:r>
      <w:r>
        <w:t xml:space="preserve">:</w:t>
      </w:r>
      <w:r>
        <w:t xml:space="preserve"> </w:t>
      </w:r>
      <w:r>
        <w:rPr>
          <w:bCs/>
          <w:b/>
        </w:rPr>
        <w:t xml:space="preserve">en rojo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Gasto público y política</w:t>
      </w:r>
      <w:r>
        <w:t xml:space="preserve">: presupuestos municipales, cambios en la financiación federal y debate sobre vigilancia y uso de la fuerza.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Competencia</w:t>
      </w:r>
      <w:r>
        <w:t xml:space="preserve">: Motorola en cámaras y 911; Flock en lectores de matrículas; rivales de defensa en antidrones.</w:t>
      </w:r>
    </w:p>
    <w:p>
      <w:pPr>
        <w:pStyle w:val="FirstParagraph"/>
      </w:pPr>
      <w:r>
        <w:rPr>
          <w:bCs/>
          <w:b/>
        </w:rPr>
        <w:t xml:space="preserve">Señales de venta concretas</w:t>
      </w:r>
      <w:r>
        <w:t xml:space="preserve"> </w:t>
      </w:r>
      <w:r>
        <w:t xml:space="preserve">(para quien la tenga): crecimiento &lt; 25 % dos trimestres seguidos; retención neta &lt; 120 %; recorte de la guía 2026 o del objetivo 2028; FCF 2026 muy por debajo de 450 M sin explicación de inventario; ampliación de capital o nuevo convertible a corto plazo.</w:t>
      </w:r>
    </w:p>
    <w:bookmarkEnd w:id="30"/>
    <w:bookmarkStart w:id="31" w:name="catalizadores-con-fecha"/>
    <w:p>
      <w:pPr>
        <w:pStyle w:val="Heading2"/>
      </w:pPr>
      <w:r>
        <w:t xml:space="preserve">12. Catalizadores con fecha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~5-nov-2026 (por confirmar)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3T26 (margen con la memoria y sin aranceles devueltos; ventas ~910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4T26 (el de mayor crecimiento según el CFO, y la mayor parte del FCF), guía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del programa contra drones del DHS (1.500 M) y federales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Abril-2027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Axon Week: nuevos productos de IA, 911 y drones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2030-2033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Vencimiento de los bonos sénior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neutro</w:t>
            </w:r>
          </w:p>
        </w:tc>
      </w:tr>
    </w:tbl>
    <w:bookmarkEnd w:id="31"/>
    <w:bookmarkStart w:id="32" w:name="encaje-en-cartera"/>
    <w:p>
      <w:pPr>
        <w:pStyle w:val="Heading2"/>
      </w:pPr>
      <w:r>
        <w:t xml:space="preserve">13. Encaje en cartera</w:t>
      </w:r>
    </w:p>
    <w:p>
      <w:pPr>
        <w:pStyle w:val="FirstParagraph"/>
      </w:pPr>
      <w:r>
        <w:t xml:space="preserve">La cartera value propuesta de Hotis (~29.800 EUR: IGLN, Edenred, Daiichi Sankyo, Uber, Viscofan, Alphabet, Netflix, SAP, Intuit, Nemetschek, LVMH y ~6.300 EUR de liquidez) deja hasta un 20 % para growth (~5.960 EUR). Ninguna de las growth ya analizadas (Palantir, CrowdStrike, Spotify, Rheinmetall) está en Comprar.</w:t>
      </w:r>
    </w:p>
    <w:p>
      <w:pPr>
        <w:pStyle w:val="BodyText"/>
      </w:pPr>
      <w:r>
        <w:rPr>
          <w:bCs/>
          <w:b/>
        </w:rPr>
        <w:t xml:space="preserve">Axon no entra hoy: peso 0 %.</w:t>
      </w:r>
      <w:r>
        <w:t xml:space="preserve"> </w:t>
      </w:r>
      <w:r>
        <w:t xml:space="preserve">Pero es la candidata más cercana a entrar de las cinco: a diferencia de CrowdStrike o Palantir, el problema no es el precio (EV/beneficio bruto 14,2x, compra hasta 504,4 USD) sino que la tendencia no ha girado. Además aporta algo que la cartera no tiene: seguridad pública y defensa (antidrones), poco correlacionada con el consumo (LVMH, Netflix, Uber) y distinta del software empresarial (SAP, Intuit, Nemetschek), aunque cotiza con el mismo factor de software de crecimiento.</w:t>
      </w:r>
    </w:p>
    <w:p>
      <w:pPr>
        <w:pStyle w:val="BodyText"/>
      </w:pPr>
      <w:r>
        <w:rPr>
          <w:bCs/>
          <w:b/>
        </w:rPr>
        <w:t xml:space="preserve">Plan si se activa la cuarta señal</w:t>
      </w:r>
      <w:r>
        <w:t xml:space="preserve">: convicción baja →</w:t>
      </w:r>
      <w:r>
        <w:t xml:space="preserve"> </w:t>
      </w:r>
      <w:r>
        <w:rPr>
          <w:bCs/>
          <w:b/>
        </w:rPr>
        <w:t xml:space="preserve">3,5 % (~1.040 EUR)</w:t>
      </w:r>
      <w:r>
        <w:t xml:space="preserve">, de la liquidez, en dos tramos: la mitad cuando se cumpla el disparador (precio &gt; ~450 USD con el múltiplo +20 % sobre el mínimo, vuelta sobre la media de 200 sesiones o mejora clara del sentimiento tras el 3T) y la otra mitad tras los resultados del 4T (feb-2027) si confirman el FCF. Se recalcula tras el 3T.</w:t>
      </w:r>
    </w:p>
    <w:bookmarkEnd w:id="32"/>
    <w:bookmarkStart w:id="33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12 m +34,6 % (4), CAGR 2 años 33,4 % (4), aceleración +1,2 pp 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Penetración 6,4 % (3), tecnología 5, posición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3/8 señales, sin euforia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59,5 % (3), regla del 40 = 38,7 (2), FCF positivo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positivo (5), dilución del 3 % 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4, dirección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68,2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Señal:</w:t>
            </w:r>
            <w:r>
              <w:t xml:space="preserve"> </w:t>
            </w:r>
            <w:r>
              <w:rPr>
                <w:bCs/>
                <w:b/>
              </w:rPr>
              <w:t xml:space="preserve">Mantener</w:t>
            </w:r>
            <w:r>
              <w:t xml:space="preserve"> </w:t>
            </w:r>
            <w:r>
              <w:t xml:space="preserve">(menos de 4 señales)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 sobre el método</w:t>
      </w:r>
      <w:r>
        <w:t xml:space="preserve"> </w:t>
      </w:r>
      <w:r>
        <w:t xml:space="preserve">(propuesta, sin cambiar el código): en Axon la regla mide bien el negocio y la valoración, pero (a) el «precio máximo de compra» (504,4 USD) queda por encima del precio actual y puede leerse como «compra ya», cuando lo que falta es tendencia; convendría que el motor diga, cuando la única falta es de señales, el precio al que se activaría la señal más cercana (aquí la 4, ~445-455 USD) y añada un estado «En vigilancia por tendencia» análogo al de rentabilidad; (b) el margen bruto penaliza a una empresa mixta de hardware y software (59,5 % → 3/5) aunque su software esté al 75 %: se podría puntuar con el margen del negocio recurrente cuando sea &gt; 40 % de las ventas, repasando el backtest.</w:t>
      </w:r>
    </w:p>
    <w:bookmarkEnd w:id="33"/>
    <w:bookmarkStart w:id="34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Axon, 8-K de 5-ago-2026 (carta a accionistas 2T26); resúmenes en Quartr, Stock Titan, Panabee y StockStory.</w:t>
      </w:r>
      <w:r>
        <w:t xml:space="preserve"> </w:t>
      </w:r>
      <w:r>
        <w:t xml:space="preserve">[2] Axon, 8-K de 6-may-2026 (1T26).</w:t>
      </w:r>
      <w:r>
        <w:t xml:space="preserve"> </w:t>
      </w:r>
      <w:r>
        <w:t xml:space="preserve">[3] Axon, 8-K de 24-feb-2026 (4T25 y guía 2026, objetivo 2028); Zacks.</w:t>
      </w:r>
      <w:r>
        <w:t xml:space="preserve"> </w:t>
      </w:r>
      <w:r>
        <w:t xml:space="preserve">[4] Axon, 8-K de 4-nov-2025 (3T25).</w:t>
      </w:r>
      <w:r>
        <w:t xml:space="preserve"> </w:t>
      </w:r>
      <w:r>
        <w:t xml:space="preserve">[5] Axon, 8-K de 4-ago-2025 (2T25); Quantisnow; Simply Wall St.</w:t>
      </w:r>
      <w:r>
        <w:t xml:space="preserve"> </w:t>
      </w:r>
      <w:r>
        <w:t xml:space="preserve">[6] TIKR, «Axon stock just fell 22% in a month» (sep-2026).</w:t>
      </w:r>
      <w:r>
        <w:t xml:space="preserve"> </w:t>
      </w:r>
      <w:r>
        <w:t xml:space="preserve">[7] 247 Wall St, «Axon jumps after earnings beat and analyst target hikes» (11-ago-2026).</w:t>
      </w:r>
      <w:r>
        <w:t xml:space="preserve"> </w:t>
      </w:r>
      <w:r>
        <w:t xml:space="preserve">[8] Benzinga (Argus, guía en USD); StockAnalysis (objetivo medio).</w:t>
      </w:r>
      <w:r>
        <w:t xml:space="preserve"> </w:t>
      </w:r>
      <w:r>
        <w:t xml:space="preserve">[9] Presentación del 2T26 (resumen de 2Slides); Conviction Queue.</w:t>
      </w:r>
      <w:r>
        <w:t xml:space="preserve"> </w:t>
      </w:r>
      <w:r>
        <w:t xml:space="preserve">[10] Investing.com, análisis técnico de AXON (23-sep-2026).</w:t>
      </w:r>
      <w:r>
        <w:t xml:space="preserve"> </w:t>
      </w:r>
      <w:r>
        <w:t xml:space="preserve">[11] Macrotrends (cierre del 13-oct-2026); StockAnalysis (12-oct); Morningstar/TIKR (9-oct).</w:t>
      </w:r>
      <w:r>
        <w:t xml:space="preserve"> </w:t>
      </w:r>
      <w:r>
        <w:t xml:space="preserve">[12] TIKR (abril-2026); Motley Fool (30-abr-2026).</w:t>
      </w:r>
      <w:r>
        <w:t xml:space="preserve"> </w:t>
      </w:r>
      <w:r>
        <w:t xml:space="preserve">[13] Trefis (10-ago-2026); Vectorshift (resumen del 2T26).</w:t>
      </w:r>
      <w:r>
        <w:t xml:space="preserve"> </w:t>
      </w:r>
      <w:r>
        <w:t xml:space="preserve">[14] TIKR (15 y 16-sep-2026); Placera/Finviz (precio del convertible).</w:t>
      </w:r>
      <w:r>
        <w:t xml:space="preserve"> </w:t>
      </w:r>
      <w:r>
        <w:t xml:space="preserve">[15] Weiss Ratings; Chartmill.</w:t>
      </w:r>
      <w:r>
        <w:t xml:space="preserve"> </w:t>
      </w:r>
      <w:r>
        <w:t xml:space="preserve">[16] Arkolith, Stock Titan e Insiderscreener (Formularios 4).</w:t>
      </w:r>
      <w:r>
        <w:t xml:space="preserve"> </w:t>
      </w:r>
      <w:r>
        <w:t xml:space="preserve">[17] MarketBeat (27-may-2026); Critical Communications Review (8-may-2026).</w:t>
      </w:r>
      <w:r>
        <w:t xml:space="preserve"> </w:t>
      </w:r>
      <w:r>
        <w:t xml:space="preserve">[18] TIKR (oct-2026, el CFO y el 4T); Vectorshift e Israel Desks (Carbyne).</w:t>
      </w:r>
      <w:r>
        <w:t xml:space="preserve"> </w:t>
      </w:r>
      <w:r>
        <w:t xml:space="preserve">[19] MarketBeat, historial de cotización; Digrin.</w:t>
      </w:r>
      <w:r>
        <w:t xml:space="preserve"> </w:t>
      </w:r>
      <w:r>
        <w:t xml:space="preserve">[20] Stock Titan (FCF de 12 m); Barchart/Quartr (guía 2026 de flujo, FCF, inversiones y pagos en acciones).</w:t>
      </w:r>
      <w:r>
        <w:t xml:space="preserve"> </w:t>
      </w:r>
      <w:r>
        <w:t xml:space="preserve">[21] Simpson Thacher (25-sep-2026); Axon, nota de precio del convertible (16-sep-2026).</w:t>
      </w:r>
      <w:r>
        <w:t xml:space="preserve"> </w:t>
      </w:r>
      <w:r>
        <w:t xml:space="preserve">[22] Seeking Alpha, métricas de valoración (27-mar-2026).</w:t>
      </w:r>
      <w:r>
        <w:t xml:space="preserve"> </w:t>
      </w:r>
      <w:r>
        <w:t xml:space="preserve">[23] aktien.guide; MarketScreener; OpenCapital.</w:t>
      </w:r>
      <w:r>
        <w:t xml:space="preserve"> </w:t>
      </w:r>
      <w:r>
        <w:t xml:space="preserve">[memoria/estimación propia] Mediana y mínimo de 3 años del EV/ventas NTM, ventas NTM, caja pro forma y deuda, margen bruto de 12 m, ventas de 2023.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2026-10-14T15:14:18Z</dcterms:created>
  <dcterms:modified xsi:type="dcterms:W3CDTF">2026-10-14T15:14:18Z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