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9f714dc233099b43df21bdbc101bae6934cc29"/>
    <w:p>
      <w:pPr>
        <w:pStyle w:val="Heading1"/>
      </w:pPr>
      <w:r>
        <w:t xml:space="preserve">Nu Holdings (NU): análisis growth, 14-oct-2026</w:t>
      </w:r>
    </w:p>
    <w:p>
      <w:pPr>
        <w:pStyle w:val="FirstParagraph"/>
      </w:pPr>
      <w:r>
        <w:rPr>
          <w:bCs/>
          <w:b/>
        </w:rPr>
        <w:t xml:space="preserve">Señal (método v7): Comprar (convicción media)</w:t>
      </w:r>
      <w:r>
        <w:t xml:space="preserve"> </w:t>
      </w:r>
      <w:r>
        <w:t xml:space="preserve">· Puntuación 78,3/100 · Señales de cambio de tendencia 4/8 · EV/beneficio bruto 7,3x</w:t>
      </w:r>
      <w:r>
        <w:t xml:space="preserve"> </w:t>
      </w:r>
      <w:r>
        <w:t xml:space="preserve">Precio 15,58 USD · Objetivo 12 m 19,9 USD (ponderada +27,4 %, base +21,8 %, bajista -45,3 %, alcista +110,9 %) · Compra hasta 18,9 USD</w:t>
      </w:r>
      <w:r>
        <w:t xml:space="preserve"> </w:t>
      </w:r>
      <w:r>
        <w:t xml:space="preserve">Peso orientativo: 4 % de la cartera · Por qué: cumple todos los requisitos de compra</w:t>
      </w:r>
    </w:p>
    <w:p>
      <w:pPr>
        <w:pStyle w:val="BlockText"/>
      </w:pPr>
      <w:r>
        <w:rPr>
          <w:bCs/>
          <w:b/>
        </w:rPr>
        <w:t xml:space="preserve">Calculado con el método v7</w:t>
      </w:r>
      <w:r>
        <w:t xml:space="preserve"> </w:t>
      </w:r>
      <w:r>
        <w:t xml:space="preserve">(vigente desde el 14-oct tras el backtest de 71 casos,</w:t>
      </w:r>
      <w:r>
        <w:t xml:space="preserve"> </w:t>
      </w:r>
      <w:r>
        <w:rPr>
          <w:rStyle w:val="VerbatimChar"/>
        </w:rPr>
        <w:t xml:space="preserve">verticales/growth/metodo.md</w:t>
      </w:r>
      <w:r>
        <w:t xml:space="preserve"> </w:t>
      </w:r>
      <w:r>
        <w:t xml:space="preserve">§6). Si la sección 9 enseña otras cifras de valoración, son del borrador con la proyección del analista; mandan las de arriba: ventas con la regla mecánica (15093 M en el base) y múltiplo de hoy con rebaja por desaceleración (7,7x / 12,8x / 20x).</w:t>
      </w:r>
    </w:p>
    <w:bookmarkStart w:id="20" w:name="la-tesis-en-cinco-líneas"/>
    <w:p>
      <w:pPr>
        <w:pStyle w:val="Heading2"/>
      </w:pPr>
      <w:r>
        <w:t xml:space="preserve">1. La tesis en cinco líneas</w:t>
      </w:r>
    </w:p>
    <w:p>
      <w:pPr>
        <w:numPr>
          <w:ilvl w:val="0"/>
          <w:numId w:val="1001"/>
        </w:numPr>
        <w:pStyle w:val="Compact"/>
      </w:pPr>
      <w:r>
        <w:t xml:space="preserve">Es el mayor banco digital fuera de Asia: 139 M de clientes (más de la mitad de los adultos de Brasil y 16 M en México), un ROE del 33 % y una eficiencia del 19,5 %, frente a ~35-45 % de la banca tradicional. El beneficio bruto crece un 43 % (sin efecto divisa) y en el 2T26 superó por primera vez los 1.000 M USD de beneficio neto [1].</w:t>
      </w:r>
    </w:p>
    <w:p>
      <w:pPr>
        <w:numPr>
          <w:ilvl w:val="0"/>
          <w:numId w:val="1001"/>
        </w:numPr>
        <w:pStyle w:val="Compact"/>
      </w:pPr>
      <w:r>
        <w:t xml:space="preserve">La acción no ha acompañado: cerró 2025 en 16,74 USD, tocó 11,20 USD en junio (cambio de CFO, fallo de BPA en el 1T, BofA a Vender) y hoy está en 15,58 USD, un ~3 % por debajo de hace un año. Cotiza a ~15x el beneficio de los 12 meses siguientes, cuando su mediana de 3 años es de ~20x [6][9][13].</w:t>
      </w:r>
    </w:p>
    <w:p>
      <w:pPr>
        <w:numPr>
          <w:ilvl w:val="0"/>
          <w:numId w:val="1001"/>
        </w:numPr>
        <w:pStyle w:val="Compact"/>
      </w:pPr>
      <w:r>
        <w:t xml:space="preserve">La percepción empieza a girar: Citi pasa de Vender a Comprar, BTG y JPMorgan suben objetivos, y la primera vuelta en Brasil animó a los activos brasileños. Pero solo hay 4 de 8 señales, justo el mínimo, y la tendencia del precio aún no está confirmada (sin fuerza relativa y con la media de 200 sesiones plana o a la baja).</w:t>
      </w:r>
    </w:p>
    <w:p>
      <w:pPr>
        <w:numPr>
          <w:ilvl w:val="0"/>
          <w:numId w:val="1001"/>
        </w:numPr>
        <w:pStyle w:val="Compact"/>
      </w:pPr>
      <w:r>
        <w:t xml:space="preserve">La regla da Comprar con convicción media: base +21,8 % y ponderada +27,4 %. El bajista (−45 %) es el escenario de PER de banco tradicional (7,7x), que pasaría si la morosidad de Brasil se descontrola. El DCF inverso solo exige un ~15 % anual de crecimiento del beneficio durante 10 años, por debajo del ritmo actual.</w:t>
      </w:r>
    </w:p>
    <w:p>
      <w:pPr>
        <w:numPr>
          <w:ilvl w:val="0"/>
          <w:numId w:val="1001"/>
        </w:numPr>
        <w:pStyle w:val="Compact"/>
      </w:pPr>
      <w:r>
        <w:t xml:space="preserve">Es una compra</w:t>
      </w:r>
      <w:r>
        <w:t xml:space="preserve"> </w:t>
      </w:r>
      <w:r>
        <w:rPr>
          <w:bCs/>
          <w:b/>
        </w:rPr>
        <w:t xml:space="preserve">frágil</w:t>
      </w:r>
      <w:r>
        <w:t xml:space="preserve">: si la señal 1 (revisiones) se diera por no cumplida, la regla bajaría a Mantener. Por eso conviene entrar en dos tramos, la mitad ya y la mitad tras los resultados del 3T (12-nov) o tras la segunda vuelta en Brasil.</w:t>
      </w:r>
    </w:p>
    <w:bookmarkEnd w:id="20"/>
    <w:bookmarkStart w:id="21" w:name="negocio-y-tecnología"/>
    <w:p>
      <w:pPr>
        <w:pStyle w:val="Heading2"/>
      </w:pPr>
      <w:r>
        <w:t xml:space="preserve">2. Negocio y tecnología</w:t>
      </w:r>
    </w:p>
    <w:p>
      <w:pPr>
        <w:pStyle w:val="FirstParagraph"/>
      </w:pPr>
      <w:r>
        <w:t xml:space="preserve">Nu vende servicios bancarios por el móvil y sin oficinas en Brasil, México y Colombia: tarjeta de crédito (su origen y aún el grueso del crédito), cuenta y depósitos, préstamos personales y con garantía (nómina, FGTS, garantía de inversiones), PIX financiado, seguros, inversión y, desde 2026, telefonía (NuCel). Gana dinero por tres vías. En el 2T26, el</w:t>
      </w:r>
      <w:r>
        <w:t xml:space="preserve"> </w:t>
      </w:r>
      <w:r>
        <w:rPr>
          <w:bCs/>
          <w:b/>
        </w:rPr>
        <w:t xml:space="preserve">crédito</w:t>
      </w:r>
      <w:r>
        <w:t xml:space="preserve"> </w:t>
      </w:r>
      <w:r>
        <w:t xml:space="preserve">aportó el 41 % del beneficio bruto, las</w:t>
      </w:r>
      <w:r>
        <w:t xml:space="preserve"> </w:t>
      </w:r>
      <w:r>
        <w:rPr>
          <w:bCs/>
          <w:b/>
        </w:rPr>
        <w:t xml:space="preserve">comisiones</w:t>
      </w:r>
      <w:r>
        <w:t xml:space="preserve"> </w:t>
      </w:r>
      <w:r>
        <w:t xml:space="preserve">el 25 % (intercambio de tarjeta, marketplace, seguros) y el</w:t>
      </w:r>
      <w:r>
        <w:t xml:space="preserve"> </w:t>
      </w:r>
      <w:r>
        <w:rPr>
          <w:bCs/>
          <w:b/>
        </w:rPr>
        <w:t xml:space="preserve">margen sobre depósitos</w:t>
      </w:r>
      <w:r>
        <w:t xml:space="preserve"> </w:t>
      </w:r>
      <w:r>
        <w:t xml:space="preserve">(«float») el 34 % [1].</w:t>
      </w:r>
    </w:p>
    <w:p>
      <w:pPr>
        <w:pStyle w:val="BodyText"/>
      </w:pPr>
      <w:r>
        <w:t xml:space="preserve">Lo diferencial es el coste de servir: menos de 1 USD al mes por cliente activo, gracias a una plataforma propia en la nube, a la marca (adquisición de clientes casi sin coste por recomendaciones) y a los datos de comportamiento de 139 M de clientes para conceder crédito. Lo nuevo está en México y EE. UU.</w:t>
      </w:r>
      <w:r>
        <w:t xml:space="preserve"> </w:t>
      </w:r>
      <w:r>
        <w:rPr>
          <w:bCs/>
          <w:b/>
        </w:rPr>
        <w:t xml:space="preserve">Nu México opera como banco desde el 6-ago-2026</w:t>
      </w:r>
      <w:r>
        <w:t xml:space="preserve">: puede captar nómina, ampliar los límites de depósitos con el seguro del IPAB y ofrecer más productos [16]. En EE. UU.,</w:t>
      </w:r>
      <w:r>
        <w:t xml:space="preserve"> </w:t>
      </w:r>
      <w:r>
        <w:rPr>
          <w:bCs/>
          <w:b/>
        </w:rPr>
        <w:t xml:space="preserve">Nubank, N.A.</w:t>
      </w:r>
      <w:r>
        <w:t xml:space="preserve"> </w:t>
      </w:r>
      <w:r>
        <w:t xml:space="preserve">tiene aprobación condicional de la OCC desde enero, pero aún le faltan la FDIC y la Fed, y su apertura se espera hacia 2027 [17].</w:t>
      </w:r>
    </w:p>
    <w:p>
      <w:pPr>
        <w:numPr>
          <w:ilvl w:val="0"/>
          <w:numId w:val="1002"/>
        </w:numPr>
        <w:pStyle w:val="Compact"/>
      </w:pPr>
      <w:r>
        <w:rPr>
          <w:bCs/>
          <w:b/>
        </w:rPr>
        <w:t xml:space="preserve">Tecnología: 4/5.</w:t>
      </w:r>
      <w:r>
        <w:t xml:space="preserve"> </w:t>
      </w:r>
      <w:r>
        <w:t xml:space="preserve">Datos propios a gran escala, un coste de servir que nadie iguala en la región y modelos de crédito afinados con 12 años de historia. No es un 5 porque Mercado Pago, Inter y los bancos grandes (Itaú) se han digitalizado y compiten en lo mismo.</w:t>
      </w:r>
    </w:p>
    <w:p>
      <w:pPr>
        <w:numPr>
          <w:ilvl w:val="0"/>
          <w:numId w:val="1002"/>
        </w:numPr>
        <w:pStyle w:val="Compact"/>
      </w:pPr>
      <w:r>
        <w:rPr>
          <w:bCs/>
          <w:b/>
        </w:rPr>
        <w:t xml:space="preserve">Posición: 4/5.</w:t>
      </w:r>
      <w:r>
        <w:t xml:space="preserve"> </w:t>
      </w:r>
      <w:r>
        <w:t xml:space="preserve">Es el líder digital, con la mayor base de clientes minoristas de Brasil y el mayor banco digital de México. Pero su cuota del beneficio de la banca minorista brasileña es de solo ~7 % [19].</w:t>
      </w:r>
    </w:p>
    <w:bookmarkEnd w:id="21"/>
    <w:bookmarkStart w:id="22" w:name="crecimiento"/>
    <w:p>
      <w:pPr>
        <w:pStyle w:val="Heading2"/>
      </w:pPr>
      <w:r>
        <w:t xml:space="preserve">3. Crecimiento</w:t>
      </w:r>
    </w:p>
    <w:p>
      <w:pPr>
        <w:pStyle w:val="FirstParagraph"/>
      </w:pPr>
      <w:r>
        <w:t xml:space="preserve">Crecimientos sin efecto divisa (FXN), que son los que publica la empresa; en dólares han sido mayores por la apreciación del real. Cifras en millones de USD.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Ingresos</w:t>
            </w:r>
          </w:p>
        </w:tc>
        <w:tc>
          <w:tcPr/>
          <w:p>
            <w:pPr>
              <w:pStyle w:val="Compact"/>
              <w:jc w:val="left"/>
            </w:pPr>
            <w:r>
              <w:t xml:space="preserve">Beneficio bruto («ventas»)</w:t>
            </w:r>
          </w:p>
        </w:tc>
        <w:tc>
          <w:tcPr/>
          <w:p>
            <w:pPr>
              <w:pStyle w:val="Compact"/>
              <w:jc w:val="left"/>
            </w:pPr>
            <w:r>
              <w:t xml:space="preserve">Crec. FXN</w:t>
            </w:r>
          </w:p>
        </w:tc>
        <w:tc>
          <w:tcPr/>
          <w:p>
            <w:pPr>
              <w:pStyle w:val="Compact"/>
              <w:jc w:val="left"/>
            </w:pPr>
            <w:r>
              <w:t xml:space="preserve">Beneficio neto</w:t>
            </w:r>
          </w:p>
        </w:tc>
      </w:tr>
      <w:tr>
        <w:tc>
          <w:tcPr/>
          <w:p>
            <w:pPr>
              <w:pStyle w:val="Compact"/>
              <w:jc w:val="left"/>
            </w:pPr>
            <w:r>
              <w:t xml:space="preserve">2T25</w:t>
            </w:r>
          </w:p>
        </w:tc>
        <w:tc>
          <w:tcPr/>
          <w:p>
            <w:pPr>
              <w:pStyle w:val="Compact"/>
              <w:jc w:val="left"/>
            </w:pPr>
            <w:r>
              <w:t xml:space="preserve">~3.700</w:t>
            </w:r>
          </w:p>
        </w:tc>
        <w:tc>
          <w:tcPr/>
          <w:p>
            <w:pPr>
              <w:pStyle w:val="Compact"/>
              <w:jc w:val="left"/>
            </w:pPr>
            <w:r>
              <w:t xml:space="preserve">1.550</w:t>
            </w:r>
          </w:p>
        </w:tc>
        <w:tc>
          <w:tcPr/>
          <w:p>
            <w:pPr>
              <w:pStyle w:val="Compact"/>
              <w:jc w:val="left"/>
            </w:pPr>
            <w:r>
              <w:t xml:space="preserve">+24 %</w:t>
            </w:r>
          </w:p>
        </w:tc>
        <w:tc>
          <w:tcPr/>
          <w:p>
            <w:pPr>
              <w:pStyle w:val="Compact"/>
              <w:jc w:val="left"/>
            </w:pPr>
            <w:r>
              <w:t xml:space="preserve">637</w:t>
            </w:r>
          </w:p>
        </w:tc>
      </w:tr>
      <w:tr>
        <w:tc>
          <w:tcPr/>
          <w:p>
            <w:pPr>
              <w:pStyle w:val="Compact"/>
              <w:jc w:val="left"/>
            </w:pPr>
            <w:r>
              <w:t xml:space="preserve">3T25</w:t>
            </w:r>
          </w:p>
        </w:tc>
        <w:tc>
          <w:tcPr/>
          <w:p>
            <w:pPr>
              <w:pStyle w:val="Compact"/>
              <w:jc w:val="left"/>
            </w:pPr>
            <w:r>
              <w:t xml:space="preserve">~4.200</w:t>
            </w:r>
          </w:p>
        </w:tc>
        <w:tc>
          <w:tcPr/>
          <w:p>
            <w:pPr>
              <w:pStyle w:val="Compact"/>
              <w:jc w:val="left"/>
            </w:pPr>
            <w:r>
              <w:t xml:space="preserve">1.800</w:t>
            </w:r>
          </w:p>
        </w:tc>
        <w:tc>
          <w:tcPr/>
          <w:p>
            <w:pPr>
              <w:pStyle w:val="Compact"/>
              <w:jc w:val="left"/>
            </w:pPr>
            <w:r>
              <w:t xml:space="preserve">+32 %</w:t>
            </w:r>
          </w:p>
        </w:tc>
        <w:tc>
          <w:tcPr/>
          <w:p>
            <w:pPr>
              <w:pStyle w:val="Compact"/>
              <w:jc w:val="left"/>
            </w:pPr>
            <w:r>
              <w:t xml:space="preserve">783</w:t>
            </w:r>
          </w:p>
        </w:tc>
      </w:tr>
      <w:tr>
        <w:tc>
          <w:tcPr/>
          <w:p>
            <w:pPr>
              <w:pStyle w:val="Compact"/>
              <w:jc w:val="left"/>
            </w:pPr>
            <w:r>
              <w:t xml:space="preserve">4T25</w:t>
            </w:r>
          </w:p>
        </w:tc>
        <w:tc>
          <w:tcPr/>
          <w:p>
            <w:pPr>
              <w:pStyle w:val="Compact"/>
              <w:jc w:val="left"/>
            </w:pPr>
            <w:r>
              <w:t xml:space="preserve">4.857</w:t>
            </w:r>
          </w:p>
        </w:tc>
        <w:tc>
          <w:tcPr/>
          <w:p>
            <w:pPr>
              <w:pStyle w:val="Compact"/>
              <w:jc w:val="left"/>
            </w:pPr>
            <w:r>
              <w:t xml:space="preserve">1.961</w:t>
            </w:r>
          </w:p>
        </w:tc>
        <w:tc>
          <w:tcPr/>
          <w:p>
            <w:pPr>
              <w:pStyle w:val="Compact"/>
              <w:jc w:val="left"/>
            </w:pPr>
            <w:r>
              <w:t xml:space="preserve">+38 %</w:t>
            </w:r>
          </w:p>
        </w:tc>
        <w:tc>
          <w:tcPr/>
          <w:p>
            <w:pPr>
              <w:pStyle w:val="Compact"/>
              <w:jc w:val="left"/>
            </w:pPr>
            <w:r>
              <w:t xml:space="preserve">895</w:t>
            </w:r>
          </w:p>
        </w:tc>
      </w:tr>
      <w:tr>
        <w:tc>
          <w:tcPr/>
          <w:p>
            <w:pPr>
              <w:pStyle w:val="Compact"/>
              <w:jc w:val="left"/>
            </w:pPr>
            <w:r>
              <w:t xml:space="preserve">1T26</w:t>
            </w:r>
          </w:p>
        </w:tc>
        <w:tc>
          <w:tcPr/>
          <w:p>
            <w:pPr>
              <w:pStyle w:val="Compact"/>
              <w:jc w:val="left"/>
            </w:pPr>
            <w:r>
              <w:t xml:space="preserve">&gt; 5.000</w:t>
            </w:r>
          </w:p>
        </w:tc>
        <w:tc>
          <w:tcPr/>
          <w:p>
            <w:pPr>
              <w:pStyle w:val="Compact"/>
              <w:jc w:val="left"/>
            </w:pPr>
            <w:r>
              <w:t xml:space="preserve">1.880</w:t>
            </w:r>
          </w:p>
        </w:tc>
        <w:tc>
          <w:tcPr/>
          <w:p>
            <w:pPr>
              <w:pStyle w:val="Compact"/>
              <w:jc w:val="left"/>
            </w:pPr>
            <w:r>
              <w:t xml:space="preserve">+27 %</w:t>
            </w:r>
          </w:p>
        </w:tc>
        <w:tc>
          <w:tcPr/>
          <w:p>
            <w:pPr>
              <w:pStyle w:val="Compact"/>
              <w:jc w:val="left"/>
            </w:pPr>
            <w:r>
              <w:t xml:space="preserve">871</w:t>
            </w:r>
          </w:p>
        </w:tc>
      </w:tr>
      <w:tr>
        <w:tc>
          <w:tcPr/>
          <w:p>
            <w:pPr>
              <w:pStyle w:val="Compact"/>
              <w:jc w:val="left"/>
            </w:pPr>
            <w:r>
              <w:t xml:space="preserve">2T26</w:t>
            </w:r>
          </w:p>
        </w:tc>
        <w:tc>
          <w:tcPr/>
          <w:p>
            <w:pPr>
              <w:pStyle w:val="Compact"/>
              <w:jc w:val="left"/>
            </w:pPr>
            <w:r>
              <w:t xml:space="preserve">5.876</w:t>
            </w:r>
          </w:p>
        </w:tc>
        <w:tc>
          <w:tcPr/>
          <w:p>
            <w:pPr>
              <w:pStyle w:val="Compact"/>
              <w:jc w:val="left"/>
            </w:pPr>
            <w:r>
              <w:t xml:space="preserve">2.441</w:t>
            </w:r>
          </w:p>
        </w:tc>
        <w:tc>
          <w:tcPr/>
          <w:p>
            <w:pPr>
              <w:pStyle w:val="Compact"/>
              <w:jc w:val="left"/>
            </w:pPr>
            <w:r>
              <w:t xml:space="preserve">+43 %</w:t>
            </w:r>
          </w:p>
        </w:tc>
        <w:tc>
          <w:tcPr/>
          <w:p>
            <w:pPr>
              <w:pStyle w:val="Compact"/>
              <w:jc w:val="left"/>
            </w:pPr>
            <w:r>
              <w:t xml:space="preserve">1.061</w:t>
            </w:r>
          </w:p>
        </w:tc>
      </w:tr>
    </w:tbl>
    <w:p>
      <w:pPr>
        <w:pStyle w:val="BodyText"/>
      </w:pPr>
      <w:r>
        <w:t xml:space="preserve">Fuentes: [1][2][3].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Beneficio bruto</w:t>
            </w:r>
          </w:p>
        </w:tc>
        <w:tc>
          <w:tcPr/>
          <w:p>
            <w:pPr>
              <w:pStyle w:val="Compact"/>
              <w:jc w:val="left"/>
            </w:pPr>
            <w:r>
              <w:t xml:space="preserve">Beneficio neto</w:t>
            </w:r>
          </w:p>
        </w:tc>
      </w:tr>
      <w:tr>
        <w:tc>
          <w:tcPr/>
          <w:p>
            <w:pPr>
              <w:pStyle w:val="Compact"/>
              <w:jc w:val="left"/>
            </w:pPr>
            <w:r>
              <w:t xml:space="preserve">2024</w:t>
            </w:r>
          </w:p>
        </w:tc>
        <w:tc>
          <w:tcPr/>
          <w:p>
            <w:pPr>
              <w:pStyle w:val="Compact"/>
              <w:jc w:val="left"/>
            </w:pPr>
            <w:r>
              <w:t xml:space="preserve">~5.000</w:t>
            </w:r>
          </w:p>
        </w:tc>
        <w:tc>
          <w:tcPr/>
          <w:p>
            <w:pPr>
              <w:pStyle w:val="Compact"/>
              <w:jc w:val="left"/>
            </w:pPr>
            <w:r>
              <w:t xml:space="preserve">~1.970 (de memoria)</w:t>
            </w:r>
          </w:p>
        </w:tc>
      </w:tr>
      <w:tr>
        <w:tc>
          <w:tcPr/>
          <w:p>
            <w:pPr>
              <w:pStyle w:val="Compact"/>
              <w:jc w:val="left"/>
            </w:pPr>
            <w:r>
              <w:t xml:space="preserve">2025</w:t>
            </w:r>
          </w:p>
        </w:tc>
        <w:tc>
          <w:tcPr/>
          <w:p>
            <w:pPr>
              <w:pStyle w:val="Compact"/>
              <w:jc w:val="left"/>
            </w:pPr>
            <w:r>
              <w:t xml:space="preserve">~6.600</w:t>
            </w:r>
          </w:p>
        </w:tc>
        <w:tc>
          <w:tcPr/>
          <w:p>
            <w:pPr>
              <w:pStyle w:val="Compact"/>
              <w:jc w:val="left"/>
            </w:pPr>
            <w:r>
              <w:t xml:space="preserve">2.872</w:t>
            </w:r>
          </w:p>
        </w:tc>
      </w:tr>
      <w:tr>
        <w:tc>
          <w:tcPr/>
          <w:p>
            <w:pPr>
              <w:pStyle w:val="Compact"/>
              <w:jc w:val="left"/>
            </w:pPr>
            <w:r>
              <w:t xml:space="preserve">Últimos 12 meses (jun-26)</w:t>
            </w:r>
          </w:p>
        </w:tc>
        <w:tc>
          <w:tcPr/>
          <w:p>
            <w:pPr>
              <w:pStyle w:val="Compact"/>
              <w:jc w:val="left"/>
            </w:pPr>
            <w:r>
              <w:rPr>
                <w:bCs/>
                <w:b/>
              </w:rPr>
              <w:t xml:space="preserve">8.082</w:t>
            </w:r>
          </w:p>
        </w:tc>
        <w:tc>
          <w:tcPr/>
          <w:p>
            <w:pPr>
              <w:pStyle w:val="Compact"/>
              <w:jc w:val="left"/>
            </w:pPr>
            <w:r>
              <w:rPr>
                <w:bCs/>
                <w:b/>
              </w:rPr>
              <w:t xml:space="preserve">3.610</w:t>
            </w:r>
          </w:p>
        </w:tc>
      </w:tr>
    </w:tbl>
    <w:p>
      <w:pPr>
        <w:numPr>
          <w:ilvl w:val="0"/>
          <w:numId w:val="1003"/>
        </w:numPr>
        <w:pStyle w:val="Compact"/>
      </w:pPr>
      <w:r>
        <w:rPr>
          <w:bCs/>
          <w:b/>
        </w:rPr>
        <w:t xml:space="preserve">Beneficio bruto de los últimos 12 meses</w:t>
      </w:r>
      <w:r>
        <w:t xml:space="preserve">: 8.082 M USD,</w:t>
      </w:r>
      <w:r>
        <w:t xml:space="preserve"> </w:t>
      </w:r>
      <w:r>
        <w:rPr>
          <w:bCs/>
          <w:b/>
        </w:rPr>
        <w:t xml:space="preserve">+35 % FXN</w:t>
      </w:r>
      <w:r>
        <w:t xml:space="preserve"> </w:t>
      </w:r>
      <w:r>
        <w:t xml:space="preserve">(aproximado: la media de los cuatro trimestres; en dólares, ~+44 %).</w:t>
      </w:r>
      <w:r>
        <w:t xml:space="preserve"> </w:t>
      </w:r>
      <w:r>
        <w:rPr>
          <w:bCs/>
          <w:b/>
        </w:rPr>
        <w:t xml:space="preserve">CAGR propio a 2 años: ~32 %</w:t>
      </w:r>
      <w:r>
        <w:t xml:space="preserve">, estimación propia en FXN.</w:t>
      </w:r>
    </w:p>
    <w:p>
      <w:pPr>
        <w:numPr>
          <w:ilvl w:val="0"/>
          <w:numId w:val="1003"/>
        </w:numPr>
        <w:pStyle w:val="Compact"/>
      </w:pPr>
      <w:r>
        <w:rPr>
          <w:bCs/>
          <w:b/>
        </w:rPr>
        <w:t xml:space="preserve">Aceleración</w:t>
      </w:r>
      <w:r>
        <w:t xml:space="preserve">: el 2T26 crece un 43 %, frente al 30,3 % de media de los cuatro trimestres anteriores:</w:t>
      </w:r>
      <w:r>
        <w:t xml:space="preserve"> </w:t>
      </w:r>
      <w:r>
        <w:rPr>
          <w:bCs/>
          <w:b/>
        </w:rPr>
        <w:t xml:space="preserve">+12,8 pp</w:t>
      </w:r>
      <w:r>
        <w:t xml:space="preserve">. Ojo: el 1T26 se vio lastrado por dotaciones altas (1.790 M USD) y el 2T es estacionalmente mejor. Parte de la aceleración es calendario.</w:t>
      </w:r>
    </w:p>
    <w:p>
      <w:pPr>
        <w:numPr>
          <w:ilvl w:val="0"/>
          <w:numId w:val="1003"/>
        </w:numPr>
        <w:pStyle w:val="Compact"/>
      </w:pPr>
      <w:r>
        <w:rPr>
          <w:bCs/>
          <w:b/>
        </w:rPr>
        <w:t xml:space="preserve">Motores</w:t>
      </w:r>
      <w:r>
        <w:t xml:space="preserve">: cartera de crédito de 39.400 M USD (+37 %), depósitos de 45.300 M (+18 %), NIM del 22,9 % (+180 pb) y NIM ajustado por riesgo del 12,4 % (9,9 % hace un año) [1].</w:t>
      </w:r>
    </w:p>
    <w:p>
      <w:pPr>
        <w:numPr>
          <w:ilvl w:val="0"/>
          <w:numId w:val="1003"/>
        </w:numPr>
        <w:pStyle w:val="Compact"/>
      </w:pPr>
      <w:r>
        <w:rPr>
          <w:bCs/>
          <w:b/>
        </w:rPr>
        <w:t xml:space="preserve">Guía</w:t>
      </w:r>
      <w:r>
        <w:t xml:space="preserve">: Nu no da guía de beneficio. En la llamada del 2T dijo que el NIM ajustado por riesgo actual es sostenible (y que el 12,4 % «no es un suelo») y que la eficiencia media de 2026 rondará el 20 % [1].</w:t>
      </w:r>
    </w:p>
    <w:p>
      <w:pPr>
        <w:numPr>
          <w:ilvl w:val="0"/>
          <w:numId w:val="1003"/>
        </w:numPr>
        <w:pStyle w:val="Compact"/>
      </w:pPr>
      <w:r>
        <w:rPr>
          <w:bCs/>
          <w:b/>
        </w:rPr>
        <w:t xml:space="preserve">Retención neta</w:t>
      </w:r>
      <w:r>
        <w:t xml:space="preserve">: no se publica (null).</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~120.000 M USD</w:t>
      </w:r>
      <w:r>
        <w:t xml:space="preserve"> </w:t>
      </w:r>
      <w:r>
        <w:t xml:space="preserve">de ingresos netos de la banca minorista: Brasil ~75.000, México ~35.000 y Colombia ~10.000.</w:t>
      </w:r>
      <w:r>
        <w:t xml:space="preserve"> </w:t>
      </w:r>
      <w:r>
        <w:rPr>
          <w:bCs/>
          <w:b/>
        </w:rPr>
        <w:t xml:space="preserve">Es una estimación propia.</w:t>
      </w:r>
      <w:r>
        <w:t xml:space="preserve"> </w:t>
      </w:r>
      <w:r>
        <w:t xml:space="preserve">Se apoya en el tamaño de la banca minorista brasileña (71.400 M USD en 2025, según Ken Research) y en el beneficio de la banca de Brasil (45.800 M) y México (17.100 M) según Felaban [19]. La propia Nu dice tener ~7 % del beneficio de la banca minorista de Brasil.</w:t>
      </w:r>
    </w:p>
    <w:p>
      <w:pPr>
        <w:numPr>
          <w:ilvl w:val="0"/>
          <w:numId w:val="1004"/>
        </w:numPr>
        <w:pStyle w:val="Compact"/>
      </w:pPr>
      <w:r>
        <w:rPr>
          <w:bCs/>
          <w:b/>
        </w:rPr>
        <w:t xml:space="preserve">Penetración</w:t>
      </w:r>
      <w:r>
        <w:t xml:space="preserve">: 8.082 / 120.000 =</w:t>
      </w:r>
      <w:r>
        <w:t xml:space="preserve"> </w:t>
      </w:r>
      <w:r>
        <w:rPr>
          <w:bCs/>
          <w:b/>
        </w:rPr>
        <w:t xml:space="preserve">6,7 %</w:t>
      </w:r>
      <w:r>
        <w:t xml:space="preserve">. Queda recorrido, sobre todo en México (crédito) y en Brasil (préstamos con garantía, nómina e inversión).</w:t>
      </w:r>
    </w:p>
    <w:p>
      <w:pPr>
        <w:numPr>
          <w:ilvl w:val="0"/>
          <w:numId w:val="1004"/>
        </w:numPr>
        <w:pStyle w:val="Compact"/>
      </w:pPr>
      <w:r>
        <w:rPr>
          <w:bCs/>
          <w:b/>
        </w:rPr>
        <w:t xml:space="preserve">Rivales</w:t>
      </w:r>
      <w:r>
        <w:t xml:space="preserve">: Itaú, Bradesco, Santander Brasil y Banco do Brasil (bancos grandes, más baratos, ~8-10x beneficio); Mercado Pago (el rival digital más fuerte: Nu y Mercado Pago concentran el 36 % del crecimiento del crédito con tarjeta en Brasil); Inter&amp;Co; en México, BBVA, Banorte, Mercado Pago, Klar y Stori.</w:t>
      </w:r>
    </w:p>
    <w:p>
      <w:pPr>
        <w:numPr>
          <w:ilvl w:val="0"/>
          <w:numId w:val="1004"/>
        </w:numPr>
        <w:pStyle w:val="Compact"/>
      </w:pPr>
      <w:r>
        <w:rPr>
          <w:bCs/>
          <w:b/>
        </w:rPr>
        <w:t xml:space="preserve">Por qué gana</w:t>
      </w:r>
      <w:r>
        <w:t xml:space="preserve">: coste por cliente muy inferior, marca y una base de clientes a la que vender más productos. El ingreso medio por cliente activo sube un ~27 % anual (4T25) sin apenas gasto comercial [3].</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 (justa)</w:t>
            </w:r>
          </w:p>
        </w:tc>
        <w:tc>
          <w:tcPr/>
          <w:p>
            <w:pPr>
              <w:pStyle w:val="Compact"/>
              <w:jc w:val="left"/>
            </w:pPr>
            <w:r>
              <w:t xml:space="preserve">Tras el 2T26 (BPA de 0,22 frente a 0,19-0,20 esperado), Citi pasa de Vender a Comprar (18 USD), BTG a Comprar (18), UBS a 18,20 y JPMorgan de 20 a 23 en octubre.</w:t>
            </w:r>
            <w:r>
              <w:t xml:space="preserve"> </w:t>
            </w:r>
            <w:r>
              <w:rPr>
                <w:bCs/>
                <w:b/>
              </w:rPr>
              <w:t xml:space="preserve">Pero las estimaciones de BPA no suben con claridad</w:t>
            </w:r>
            <w:r>
              <w:t xml:space="preserve"> </w:t>
            </w:r>
            <w:r>
              <w:t xml:space="preserve">(ligera bajada entre el 28-ago y el 4-sep) e Itaú BBA rebaja a Neutral.</w:t>
            </w:r>
          </w:p>
        </w:tc>
        <w:tc>
          <w:tcPr/>
          <w:p>
            <w:pPr>
              <w:pStyle w:val="Compact"/>
              <w:jc w:val="left"/>
            </w:pPr>
            <w:r>
              <w:t xml:space="preserve">[5][10][11]</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Precio de 15,58 USD frente a una media de ~14,3-15. Está por encima, pero la media no gira al alza: salen de la ventana los cierres de dic-25 a feb-26 (16,7-19 USD).</w:t>
            </w:r>
          </w:p>
        </w:tc>
        <w:tc>
          <w:tcPr/>
          <w:p>
            <w:pPr>
              <w:pStyle w:val="Compact"/>
              <w:jc w:val="left"/>
            </w:pPr>
            <w:r>
              <w:t xml:space="preserve">[7][8]</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+5 % desde mediados de abril (~14,9 USD), frente a un S&amp;P 500 en máximos (+23 % desde el mínimo de marzo).</w:t>
            </w:r>
          </w:p>
        </w:tc>
        <w:tc>
          <w:tcPr/>
          <w:p>
            <w:pPr>
              <w:pStyle w:val="Compact"/>
              <w:jc w:val="left"/>
            </w:pPr>
            <w:r>
              <w:t xml:space="preserve">[6][12]</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PER NTM de ~12x en el mínimo de junio a ~15x hoy (+25 %); capitalización / beneficio bruto NTM de ~5,7x a ~7,3x.</w:t>
            </w:r>
          </w:p>
        </w:tc>
        <w:tc>
          <w:tcPr/>
          <w:p>
            <w:pPr>
              <w:pStyle w:val="Compact"/>
              <w:jc w:val="left"/>
            </w:pPr>
            <w:r>
              <w:t xml:space="preserve">[6][9]</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Hay récords (más de 1.000 M de beneficio, ROE 33 %, México en equilibrio), pero ya era rentable y el margen neto sobre el beneficio bruto solo mejora ~2,5 pp (41 % → 43,5 %).</w:t>
            </w:r>
          </w:p>
        </w:tc>
        <w:tc>
          <w:tcPr/>
          <w:p>
            <w:pPr>
              <w:pStyle w:val="Compact"/>
              <w:jc w:val="left"/>
            </w:pPr>
            <w:r>
              <w:t xml:space="preserve">[1][2][3]</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Sí</w:t>
            </w:r>
          </w:p>
        </w:tc>
        <w:tc>
          <w:tcPr/>
          <w:p>
            <w:pPr>
              <w:pStyle w:val="Compact"/>
              <w:jc w:val="left"/>
            </w:pPr>
            <w:r>
              <w:t xml:space="preserve">De junio (−33 % en el año, BofA a Vender con 10 USD, Citi y Susquehanna a Neutral) a mejoras de recomendación y un +20 % en la semana del 5-oct. No es eufórico: hay voces de «punto equivocado del ciclo».</w:t>
            </w:r>
          </w:p>
        </w:tc>
        <w:tc>
          <w:tcPr/>
          <w:p>
            <w:pPr>
              <w:pStyle w:val="Compact"/>
              <w:jc w:val="left"/>
            </w:pPr>
            <w:r>
              <w:t xml:space="preserve">[10][11][13][14]</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Sin compras de directivos (ventas de ~6 M USD en el trimestre) ni entrada de un inversor de referencia. Hay recompra de la empresa de hasta 1.000 M USD (jun-26 a jun-27, ~1,3 % del capital), que no cuenta como señal.</w:t>
            </w:r>
          </w:p>
        </w:tc>
        <w:tc>
          <w:tcPr/>
          <w:p>
            <w:pPr>
              <w:pStyle w:val="Compact"/>
              <w:jc w:val="left"/>
            </w:pPr>
            <w:r>
              <w:t xml:space="preserve">[13][15]</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Banco en México desde el 6-ago; segunda vuelta en Brasil el 25-oct; banco en EE. UU. pendiente de la FDIC y la Fed.</w:t>
            </w:r>
          </w:p>
        </w:tc>
        <w:tc>
          <w:tcPr/>
          <w:p>
            <w:pPr>
              <w:pStyle w:val="Compact"/>
              <w:jc w:val="left"/>
            </w:pPr>
            <w:r>
              <w:t xml:space="preserve">[16][17][18]</w:t>
            </w:r>
          </w:p>
        </w:tc>
      </w:tr>
    </w:tbl>
    <w:p>
      <w:pPr>
        <w:pStyle w:val="BodyText"/>
      </w:pPr>
      <w:r>
        <w:rPr>
          <w:bCs/>
          <w:b/>
        </w:rPr>
        <w:t xml:space="preserve">Euforia: no.</w:t>
      </w:r>
      <w:r>
        <w:t xml:space="preserve"> </w:t>
      </w:r>
      <w:r>
        <w:t xml:space="preserve">La acción baja un ~3 % en 12 meses y el EV/beneficio bruto es de 7,3x, muy lejos de los umbrales (+150 % y 20x).</w:t>
      </w:r>
    </w:p>
    <w:bookmarkEnd w:id="24"/>
    <w:bookmarkStart w:id="25" w:name="X6a3ced9ea5ed5bb9ac58f5e7c1bb09ad4718b77"/>
    <w:p>
      <w:pPr>
        <w:pStyle w:val="Heading2"/>
      </w:pPr>
      <w:r>
        <w:t xml:space="preserve">6. Economía unitaria y camino a la rentabilidad</w:t>
      </w:r>
    </w:p>
    <w:p>
      <w:pPr>
        <w:pStyle w:val="FirstParagraph"/>
      </w:pPr>
      <w:r>
        <w:t xml:space="preserve">En un banco, el margen bruto y el FCF no miden lo mismo que en software. Se usan sus equivalentes, y cada uno se explica:</w:t>
      </w:r>
    </w:p>
    <w:p>
      <w:pPr>
        <w:numPr>
          <w:ilvl w:val="0"/>
          <w:numId w:val="1005"/>
        </w:numPr>
        <w:pStyle w:val="Compact"/>
      </w:pPr>
      <w:r>
        <w:rPr>
          <w:bCs/>
          <w:b/>
        </w:rPr>
        <w:t xml:space="preserve">«Margen bruto» = 100 %</w:t>
      </w:r>
      <w:r>
        <w:t xml:space="preserve"> </w:t>
      </w:r>
      <w:r>
        <w:t xml:space="preserve">por definición, porque las «ventas» ya son el beneficio bruto. Para comparar: el beneficio bruto es el ~42 % de los ingresos (42,2 % en el 2T25; ~41,5 % en el 2T26) [1][3].</w:t>
      </w:r>
    </w:p>
    <w:p>
      <w:pPr>
        <w:numPr>
          <w:ilvl w:val="0"/>
          <w:numId w:val="1005"/>
        </w:numPr>
        <w:pStyle w:val="Compact"/>
      </w:pPr>
      <w:r>
        <w:rPr>
          <w:bCs/>
          <w:b/>
        </w:rPr>
        <w:t xml:space="preserve">«Margen FCF» = beneficio neto / beneficio bruto = 44,7 %</w:t>
      </w:r>
      <w:r>
        <w:t xml:space="preserve"> </w:t>
      </w:r>
      <w:r>
        <w:t xml:space="preserve">en los últimos 12 meses (3.610 / 8.082). El FCF de un banco no es significativo: crecer exige retener capital.</w:t>
      </w:r>
    </w:p>
    <w:p>
      <w:pPr>
        <w:numPr>
          <w:ilvl w:val="0"/>
          <w:numId w:val="1005"/>
        </w:numPr>
        <w:pStyle w:val="Compact"/>
      </w:pPr>
      <w:r>
        <w:rPr>
          <w:bCs/>
          <w:b/>
        </w:rPr>
        <w:t xml:space="preserve">Regla del 40</w:t>
      </w:r>
      <w:r>
        <w:t xml:space="preserve"> </w:t>
      </w:r>
      <w:r>
        <w:t xml:space="preserve">(con esa equivalencia): 35 + 44,7 =</w:t>
      </w:r>
      <w:r>
        <w:t xml:space="preserve"> </w:t>
      </w:r>
      <w:r>
        <w:rPr>
          <w:bCs/>
          <w:b/>
        </w:rPr>
        <w:t xml:space="preserve">79,7</w:t>
      </w:r>
      <w:r>
        <w:t xml:space="preserve">.</w:t>
      </w:r>
    </w:p>
    <w:p>
      <w:pPr>
        <w:numPr>
          <w:ilvl w:val="0"/>
          <w:numId w:val="1005"/>
        </w:numPr>
        <w:pStyle w:val="Compact"/>
      </w:pPr>
      <w:r>
        <w:rPr>
          <w:bCs/>
          <w:b/>
        </w:rPr>
        <w:t xml:space="preserve">Camino a la rentabilidad: beneficio creciente</w:t>
      </w:r>
      <w:r>
        <w:t xml:space="preserve"> </w:t>
      </w:r>
      <w:r>
        <w:t xml:space="preserve">(se puntúa como «FCF creciente»): 637 → 783 → 895 → 871 → 1.061 M USD en cinco trimestres.</w:t>
      </w:r>
    </w:p>
    <w:p>
      <w:pPr>
        <w:numPr>
          <w:ilvl w:val="0"/>
          <w:numId w:val="1005"/>
        </w:numPr>
        <w:pStyle w:val="Compact"/>
      </w:pPr>
      <w:r>
        <w:rPr>
          <w:bCs/>
          <w:b/>
        </w:rPr>
        <w:t xml:space="preserve">Apalancamiento operativo</w:t>
      </w:r>
      <w:r>
        <w:t xml:space="preserve">: eficiencia del 19,5 % (21,3 % hace un año). Coste del crédito de 1.700 M USD en el 2T26 (−9 % trimestral). Morosidad temprana (15-90 días) del 4,8 % (−16 pb) y morosidad a más de 90 días del 6,9 % (+35 pb, por el paso estacional de la morosidad del 1T) [1].</w:t>
      </w:r>
    </w:p>
    <w:p>
      <w:pPr>
        <w:numPr>
          <w:ilvl w:val="0"/>
          <w:numId w:val="1005"/>
        </w:numPr>
        <w:pStyle w:val="Compact"/>
      </w:pPr>
      <w:r>
        <w:rPr>
          <w:bCs/>
          <w:b/>
        </w:rPr>
        <w:t xml:space="preserve">Calidad del beneficio</w:t>
      </w:r>
      <w:r>
        <w:t xml:space="preserve">: el salto del NIM ajustado por riesgo viene en parte de la «expansión de riesgo» deliberada hacia crédito sin garantía, más caro y más arriesgado. Funciona mientras la morosidad aguante (sección 11).</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Capital</w:t>
      </w:r>
      <w:r>
        <w:t xml:space="preserve">: P/VC de ~5,2x (jul-2026), lo que supone un patrimonio de ~14.500 M USD (aproximado). Con un ROE del 33 %, se autofinancia. CET1 del conglomerado del 14,7 % a cierre de 2024 (20-F); no he encontrado la cifra de 2026. Depósitos de 45.300 M frente a una cartera de 39.400 M: se financia con depósitos de clientes, sin depender del mercado mayorista [1][9][22].</w:t>
      </w:r>
    </w:p>
    <w:p>
      <w:pPr>
        <w:numPr>
          <w:ilvl w:val="0"/>
          <w:numId w:val="1006"/>
        </w:numPr>
        <w:pStyle w:val="Compact"/>
      </w:pPr>
      <w:r>
        <w:rPr>
          <w:bCs/>
          <w:b/>
        </w:rPr>
        <w:t xml:space="preserve">Pista</w:t>
      </w:r>
      <w:r>
        <w:t xml:space="preserve">: no aplica; es rentable.</w:t>
      </w:r>
    </w:p>
    <w:p>
      <w:pPr>
        <w:numPr>
          <w:ilvl w:val="0"/>
          <w:numId w:val="1006"/>
        </w:numPr>
        <w:pStyle w:val="Compact"/>
      </w:pPr>
      <w:r>
        <w:rPr>
          <w:bCs/>
          <w:b/>
        </w:rPr>
        <w:t xml:space="preserve">Dilución</w:t>
      </w:r>
      <w:r>
        <w:t xml:space="preserve">: ~</w:t>
      </w:r>
      <w:r>
        <w:rPr>
          <w:bCs/>
          <w:b/>
        </w:rPr>
        <w:t xml:space="preserve">1 % anual</w:t>
      </w:r>
      <w:r>
        <w:t xml:space="preserve">. Acciones diluidas de ~4.900 M frente a ~4.820-4.860 M básicas [4]. La recompra de hasta 1.000 M USD compensa la dilución (el código no la descuenta).</w:t>
      </w:r>
    </w:p>
    <w:p>
      <w:pPr>
        <w:numPr>
          <w:ilvl w:val="0"/>
          <w:numId w:val="1006"/>
        </w:numPr>
        <w:pStyle w:val="Compact"/>
      </w:pPr>
      <w:r>
        <w:rPr>
          <w:bCs/>
          <w:b/>
        </w:rPr>
        <w:t xml:space="preserve">Pagos en acciones</w:t>
      </w:r>
      <w:r>
        <w:t xml:space="preserve">: ~3 % del beneficio bruto (de memoria, sin verificar). Lejos del umbral rojo del 15 %.</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(3/5)</w:t>
      </w:r>
      <w:r>
        <w:t xml:space="preserve">: el crecimiento de clientes, crédito y beneficio ha sido constante, y México llegó al equilibrio cuando prometió. Pero en los últimos ocho trimestres hay varios fallos frente al consenso de BPA (el último, 1T26: 0,18 frente a 0,20) y caídas tras resultados (−9,6 % tras el 4T25). Como no da guía, tampoco hay compromisos que medir.</w:t>
      </w:r>
    </w:p>
    <w:p>
      <w:pPr>
        <w:numPr>
          <w:ilvl w:val="0"/>
          <w:numId w:val="1007"/>
        </w:numPr>
        <w:pStyle w:val="Compact"/>
      </w:pPr>
      <w:r>
        <w:rPr>
          <w:bCs/>
          <w:b/>
        </w:rPr>
        <w:t xml:space="preserve">Dirección (4/5)</w:t>
      </w:r>
      <w:r>
        <w:t xml:space="preserve">: David Vélez, cofundador y CEO, controla la empresa con acciones de voto múltiple. La asignación de capital es sensata (recompra, expansión financiada con el propio beneficio). Le restan el cambio de CFO en junio (Guilherme Lago sale y entra Rob Livingston, ex-Visa), el ruido de una supuesta compra de Monzo (desmentida) y la apuesta por EE. UU., un mercado que ha costado caro a otros neobancos [13][17].</w:t>
      </w:r>
    </w:p>
    <w:bookmarkEnd w:id="27"/>
    <w:bookmarkStart w:id="28" w:name="valoración"/>
    <w:p>
      <w:pPr>
        <w:pStyle w:val="Heading2"/>
      </w:pPr>
      <w:r>
        <w:t xml:space="preserve">9. Valoración</w:t>
      </w:r>
    </w:p>
    <w:p>
      <w:pPr>
        <w:pStyle w:val="FirstParagraph"/>
      </w:pPr>
      <w:r>
        <w:rPr>
          <w:bCs/>
          <w:b/>
        </w:rPr>
        <w:t xml:space="preserve">Por qué el PER y no el EV/ventas</w:t>
      </w:r>
      <w:r>
        <w:t xml:space="preserve">:</w:t>
      </w:r>
      <w:r>
        <w:t xml:space="preserve"> </w:t>
      </w:r>
      <w:r>
        <w:t xml:space="preserve">- En un banco, los depósitos y la deuda son el negocio, así que el valor de empresa (EV) no tiene sentido.</w:t>
      </w:r>
      <w:r>
        <w:t xml:space="preserve"> </w:t>
      </w:r>
      <w:r>
        <w:t xml:space="preserve">- Los «ingresos» brutos incluyen los intereses que se pagan a los depositantes.</w:t>
      </w:r>
      <w:r>
        <w:t xml:space="preserve"> </w:t>
      </w:r>
      <w:r>
        <w:t xml:space="preserve">- El margen bruto sobre ingresos depende de cuánto cuesta financiarse y de cuánto se pierde en crédito, no de la tecnología.</w:t>
      </w:r>
    </w:p>
    <w:p>
      <w:pPr>
        <w:pStyle w:val="BodyText"/>
      </w:pPr>
      <w:r>
        <w:t xml:space="preserve">Por eso las «ventas» del método son el beneficio bruto (lo que queda tras la financiación y las pérdidas por crédito) y el múltiplo es el PER de los 12 meses siguientes, el que usa el mercado para Nu y sus comparables. El P/VC (~5x) se descarta como múltiplo central porque con un ROE del 33 % solo dice lo mismo que el PER, pero peor.</w:t>
      </w:r>
    </w:p>
    <w:p>
      <w:pPr>
        <w:numPr>
          <w:ilvl w:val="0"/>
          <w:numId w:val="1008"/>
        </w:numPr>
        <w:pStyle w:val="Compact"/>
      </w:pPr>
      <w:r>
        <w:rPr>
          <w:bCs/>
          <w:b/>
        </w:rPr>
        <w:t xml:space="preserve">Capitalización (EV del código)</w:t>
      </w:r>
      <w:r>
        <w:t xml:space="preserve">: 15,58 × 4.900 =</w:t>
      </w:r>
      <w:r>
        <w:t xml:space="preserve"> </w:t>
      </w:r>
      <w:r>
        <w:rPr>
          <w:bCs/>
          <w:b/>
        </w:rPr>
        <w:t xml:space="preserve">76.342 M USD</w:t>
      </w:r>
      <w:r>
        <w:t xml:space="preserve">.</w:t>
      </w:r>
    </w:p>
    <w:p>
      <w:pPr>
        <w:numPr>
          <w:ilvl w:val="0"/>
          <w:numId w:val="1008"/>
        </w:numPr>
        <w:pStyle w:val="Compact"/>
      </w:pPr>
      <w:r>
        <w:rPr>
          <w:bCs/>
          <w:b/>
        </w:rPr>
        <w:t xml:space="preserve">Beneficio bruto NTM</w:t>
      </w:r>
      <w:r>
        <w:t xml:space="preserve">: 8.082 × 1,30 = 10.507 M USD. Capitalización / beneficio bruto NTM =</w:t>
      </w:r>
      <w:r>
        <w:t xml:space="preserve"> </w:t>
      </w:r>
      <w:r>
        <w:rPr>
          <w:bCs/>
          <w:b/>
        </w:rPr>
        <w:t xml:space="preserve">7,3x</w:t>
      </w:r>
      <w:r>
        <w:t xml:space="preserve">.</w:t>
      </w:r>
    </w:p>
    <w:p>
      <w:pPr>
        <w:numPr>
          <w:ilvl w:val="0"/>
          <w:numId w:val="1008"/>
        </w:numPr>
        <w:pStyle w:val="Compact"/>
      </w:pPr>
      <w:r>
        <w:rPr>
          <w:bCs/>
          <w:b/>
        </w:rPr>
        <w:t xml:space="preserve">Beneficio neto NTM</w:t>
      </w:r>
      <w:r>
        <w:t xml:space="preserve">: ~5.090 M USD (BPA de ~1,05 USD, que suma el consenso trimestral del 3T26 al 2T27 [5]).</w:t>
      </w:r>
      <w:r>
        <w:t xml:space="preserve"> </w:t>
      </w:r>
      <w:r>
        <w:rPr>
          <w:bCs/>
          <w:b/>
        </w:rPr>
        <w:t xml:space="preserve">PER NTM: ~15x</w:t>
      </w:r>
      <w:r>
        <w:t xml:space="preserve">. El PER de los últimos 12 meses es de 21,2x [6].</w:t>
      </w:r>
    </w:p>
    <w:p>
      <w:pPr>
        <w:numPr>
          <w:ilvl w:val="0"/>
          <w:numId w:val="1008"/>
        </w:numPr>
        <w:pStyle w:val="Compact"/>
      </w:pPr>
      <w:r>
        <w:rPr>
          <w:bCs/>
          <w:b/>
        </w:rPr>
        <w:t xml:space="preserve">Mediana de 3 años: ~20x NTM</w:t>
      </w:r>
      <w:r>
        <w:t xml:space="preserve">. Es una estimación propia. Los PER de los últimos 12 meses a final de año fueron de 36-40x (2023), ~26x (2024) y ~24-29x (2025) [9]; ajustados por el crecimiento siguiente, en torno a 20x.</w:t>
      </w:r>
    </w:p>
    <w:p>
      <w:pPr>
        <w:numPr>
          <w:ilvl w:val="0"/>
          <w:numId w:val="1008"/>
        </w:numPr>
        <w:pStyle w:val="Compact"/>
      </w:pPr>
      <w:r>
        <w:rPr>
          <w:bCs/>
          <w:b/>
        </w:rPr>
        <w:t xml:space="preserve">Mínimo de 3 años: ~12x</w:t>
      </w:r>
      <w:r>
        <w:t xml:space="preserve"> </w:t>
      </w:r>
      <w:r>
        <w:t xml:space="preserve">(junio de 2026, a 11,20 USD).</w:t>
      </w:r>
    </w:p>
    <w:p>
      <w:pPr>
        <w:numPr>
          <w:ilvl w:val="0"/>
          <w:numId w:val="1008"/>
        </w:numPr>
        <w:pStyle w:val="Compact"/>
      </w:pPr>
      <w:r>
        <w:rPr>
          <w:bCs/>
          <w:b/>
        </w:rPr>
        <w:t xml:space="preserve">Comparables: mediana de ~9,5x</w:t>
      </w:r>
      <w:r>
        <w:t xml:space="preserve">. Itaú (~9,5-10x), Inter&amp;Co (~8x), StoneCo (~8x), Banorte (~9x) y MercadoLibre (~35x). Salvo Itaú, son cifras de memoria [21].</w:t>
      </w:r>
    </w:p>
    <w:p>
      <w:pPr>
        <w:numPr>
          <w:ilvl w:val="0"/>
          <w:numId w:val="1008"/>
        </w:numPr>
        <w:pStyle w:val="Compact"/>
      </w:pPr>
      <w:r>
        <w:rPr>
          <w:bCs/>
          <w:b/>
        </w:rPr>
        <w:t xml:space="preserve">Ejercicio objetivo</w:t>
      </w:r>
      <w:r>
        <w:t xml:space="preserve">: los 12 meses que mirará el mercado en octubre de 2027 (4T27-3T28), a</w:t>
      </w:r>
      <w:r>
        <w:t xml:space="preserve"> </w:t>
      </w:r>
      <w:r>
        <w:rPr>
          <w:bCs/>
          <w:b/>
        </w:rPr>
        <w:t xml:space="preserve">2,25 años</w:t>
      </w:r>
      <w:r>
        <w:t xml:space="preserve"> </w:t>
      </w:r>
      <w:r>
        <w:t xml:space="preserve">de los últimos 12 meses conocidos (jun-26).</w:t>
      </w:r>
    </w:p>
    <w:p>
      <w:pPr>
        <w:numPr>
          <w:ilvl w:val="0"/>
          <w:numId w:val="1008"/>
        </w:numPr>
        <w:pStyle w:val="Compact"/>
      </w:pPr>
      <w:r>
        <w:rPr>
          <w:bCs/>
          <w:b/>
        </w:rPr>
        <w:t xml:space="preserve">Desaceleración</w:t>
      </w:r>
      <w:r>
        <w:t xml:space="preserve">: crecimiento NTM del 30 % frente al 22 % en el año objetivo, lo que da un factor de 0,86.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Beneficio bruto (regla mecánica)</w:t>
            </w:r>
          </w:p>
        </w:tc>
        <w:tc>
          <w:tcPr/>
          <w:p>
            <w:pPr>
              <w:pStyle w:val="Compact"/>
              <w:jc w:val="left"/>
            </w:pPr>
            <w:r>
              <w:t xml:space="preserve">Beneficio neto implícito (×0,487)</w:t>
            </w:r>
          </w:p>
        </w:tc>
        <w:tc>
          <w:tcPr/>
          <w:p>
            <w:pPr>
              <w:pStyle w:val="Compact"/>
              <w:jc w:val="left"/>
            </w:pPr>
            <w:r>
              <w:t xml:space="preserve">PER</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11.288</w:t>
            </w:r>
          </w:p>
        </w:tc>
        <w:tc>
          <w:tcPr/>
          <w:p>
            <w:pPr>
              <w:pStyle w:val="Compact"/>
              <w:jc w:val="left"/>
            </w:pPr>
            <w:r>
              <w:t xml:space="preserve">~5.500</w:t>
            </w:r>
          </w:p>
        </w:tc>
        <w:tc>
          <w:tcPr/>
          <w:p>
            <w:pPr>
              <w:pStyle w:val="Compact"/>
              <w:jc w:val="left"/>
            </w:pPr>
            <w:r>
              <w:t xml:space="preserve">7,7x</w:t>
            </w:r>
          </w:p>
        </w:tc>
        <w:tc>
          <w:tcPr/>
          <w:p>
            <w:pPr>
              <w:pStyle w:val="Compact"/>
              <w:jc w:val="left"/>
            </w:pPr>
            <w:r>
              <w:t xml:space="preserve">8,5</w:t>
            </w:r>
          </w:p>
        </w:tc>
        <w:tc>
          <w:tcPr/>
          <w:p>
            <w:pPr>
              <w:pStyle w:val="Compact"/>
              <w:jc w:val="left"/>
            </w:pPr>
            <w:r>
              <w:t xml:space="preserve">−45,3 %</w:t>
            </w:r>
          </w:p>
        </w:tc>
      </w:tr>
      <w:tr>
        <w:tc>
          <w:tcPr/>
          <w:p>
            <w:pPr>
              <w:pStyle w:val="Compact"/>
              <w:jc w:val="left"/>
            </w:pPr>
            <w:r>
              <w:t xml:space="preserve">Base (50 %)</w:t>
            </w:r>
          </w:p>
        </w:tc>
        <w:tc>
          <w:tcPr/>
          <w:p>
            <w:pPr>
              <w:pStyle w:val="Compact"/>
              <w:jc w:val="left"/>
            </w:pPr>
            <w:r>
              <w:t xml:space="preserve">15.093</w:t>
            </w:r>
          </w:p>
        </w:tc>
        <w:tc>
          <w:tcPr/>
          <w:p>
            <w:pPr>
              <w:pStyle w:val="Compact"/>
              <w:jc w:val="left"/>
            </w:pPr>
            <w:r>
              <w:t xml:space="preserve">~7.350</w:t>
            </w:r>
          </w:p>
        </w:tc>
        <w:tc>
          <w:tcPr/>
          <w:p>
            <w:pPr>
              <w:pStyle w:val="Compact"/>
              <w:jc w:val="left"/>
            </w:pPr>
            <w:r>
              <w:t xml:space="preserve">12,8x</w:t>
            </w:r>
          </w:p>
        </w:tc>
        <w:tc>
          <w:tcPr/>
          <w:p>
            <w:pPr>
              <w:pStyle w:val="Compact"/>
              <w:jc w:val="left"/>
            </w:pPr>
            <w:r>
              <w:t xml:space="preserve">19,0</w:t>
            </w:r>
          </w:p>
        </w:tc>
        <w:tc>
          <w:tcPr/>
          <w:p>
            <w:pPr>
              <w:pStyle w:val="Compact"/>
              <w:jc w:val="left"/>
            </w:pPr>
            <w:r>
              <w:t xml:space="preserve">+21,8 %</w:t>
            </w:r>
          </w:p>
        </w:tc>
      </w:tr>
      <w:tr>
        <w:tc>
          <w:tcPr/>
          <w:p>
            <w:pPr>
              <w:pStyle w:val="Compact"/>
              <w:jc w:val="left"/>
            </w:pPr>
            <w:r>
              <w:t xml:space="preserve">Alcista (25 %)</w:t>
            </w:r>
          </w:p>
        </w:tc>
        <w:tc>
          <w:tcPr/>
          <w:p>
            <w:pPr>
              <w:pStyle w:val="Compact"/>
              <w:jc w:val="left"/>
            </w:pPr>
            <w:r>
              <w:t xml:space="preserve">16.787</w:t>
            </w:r>
          </w:p>
        </w:tc>
        <w:tc>
          <w:tcPr/>
          <w:p>
            <w:pPr>
              <w:pStyle w:val="Compact"/>
              <w:jc w:val="left"/>
            </w:pPr>
            <w:r>
              <w:t xml:space="preserve">~8.170</w:t>
            </w:r>
          </w:p>
        </w:tc>
        <w:tc>
          <w:tcPr/>
          <w:p>
            <w:pPr>
              <w:pStyle w:val="Compact"/>
              <w:jc w:val="left"/>
            </w:pPr>
            <w:r>
              <w:t xml:space="preserve">20,0x</w:t>
            </w:r>
          </w:p>
        </w:tc>
        <w:tc>
          <w:tcPr/>
          <w:p>
            <w:pPr>
              <w:pStyle w:val="Compact"/>
              <w:jc w:val="left"/>
            </w:pPr>
            <w:r>
              <w:t xml:space="preserve">32,9</w:t>
            </w:r>
          </w:p>
        </w:tc>
        <w:tc>
          <w:tcPr/>
          <w:p>
            <w:pPr>
              <w:pStyle w:val="Compact"/>
              <w:jc w:val="left"/>
            </w:pPr>
            <w:r>
              <w:t xml:space="preserve">+110,9 %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jc w:val="left"/>
            </w:pPr>
            <w:r>
              <w:rPr>
                <w:bCs/>
                <w:b/>
              </w:rPr>
              <w:t xml:space="preserve">19,9</w:t>
            </w:r>
          </w:p>
        </w:tc>
        <w:tc>
          <w:tcPr/>
          <w:p>
            <w:pPr>
              <w:pStyle w:val="Compact"/>
              <w:jc w:val="left"/>
            </w:pPr>
            <w:r>
              <w:rPr>
                <w:bCs/>
                <w:b/>
              </w:rPr>
              <w:t xml:space="preserve">+27,4 %</w:t>
            </w:r>
          </w:p>
        </w:tc>
      </w:tr>
    </w:tbl>
    <w:p>
      <w:pPr>
        <w:numPr>
          <w:ilvl w:val="0"/>
          <w:numId w:val="1009"/>
        </w:numPr>
        <w:pStyle w:val="Compact"/>
      </w:pPr>
      <w:r>
        <w:rPr>
          <w:bCs/>
          <w:b/>
        </w:rPr>
        <w:t xml:space="preserve">Asimetría</w:t>
      </w:r>
      <w:r>
        <w:t xml:space="preserve">: 2,4.</w:t>
      </w:r>
    </w:p>
    <w:p>
      <w:pPr>
        <w:numPr>
          <w:ilvl w:val="0"/>
          <w:numId w:val="1009"/>
        </w:numPr>
        <w:pStyle w:val="Compact"/>
      </w:pPr>
      <w:r>
        <w:rPr>
          <w:bCs/>
          <w:b/>
        </w:rPr>
        <w:t xml:space="preserve">Acciones dentro de 12 meses</w:t>
      </w:r>
      <w:r>
        <w:t xml:space="preserve">: 4.949 M (+1 %; sin descontar la recompra).</w:t>
      </w:r>
    </w:p>
    <w:p>
      <w:pPr>
        <w:numPr>
          <w:ilvl w:val="0"/>
          <w:numId w:val="1009"/>
        </w:numPr>
        <w:pStyle w:val="Compact"/>
      </w:pPr>
      <w:r>
        <w:rPr>
          <w:bCs/>
          <w:b/>
        </w:rPr>
        <w:t xml:space="preserve">Precio máximo de compra: 18,0 USD</w:t>
      </w:r>
      <w:r>
        <w:t xml:space="preserve">. Es el que deja la ponderada en +10 %. El tope de EV/beneficio bruto de 35x quedaría muy por encima.</w:t>
      </w:r>
    </w:p>
    <w:p>
      <w:pPr>
        <w:numPr>
          <w:ilvl w:val="0"/>
          <w:numId w:val="1009"/>
        </w:numPr>
        <w:pStyle w:val="Compact"/>
      </w:pPr>
      <w:r>
        <w:rPr>
          <w:bCs/>
          <w:b/>
        </w:rPr>
        <w:t xml:space="preserve">Contraste con la proyección propia</w:t>
      </w:r>
      <w:r>
        <w:t xml:space="preserve">: la regla mecánica (crecimiento de partida del 35,5 % que decae) da 15.093 M de beneficio bruto en el base, más que mi proyección (13.500). Con la mía, el base daría ~17,0 USD (+9 %) y la ponderada ~+15 %: seguiría siendo Comprar.</w:t>
      </w:r>
    </w:p>
    <w:p>
      <w:pPr>
        <w:numPr>
          <w:ilvl w:val="0"/>
          <w:numId w:val="1009"/>
        </w:numPr>
        <w:pStyle w:val="Compact"/>
      </w:pPr>
      <w:r>
        <w:rPr>
          <w:bCs/>
          <w:b/>
        </w:rPr>
        <w:t xml:space="preserve">Contraste con el consenso</w:t>
      </w:r>
      <w:r>
        <w:t xml:space="preserve">: el precio objetivo medio es de 18,77 USD (22 analistas) [6], con un rango de 10 (BofA) a 23 (JPMorgan). El base de la regla (19,0) está en línea con el consenso. El BPA implícito en el base dentro de un año (~1,49 USD NTM) supera el consenso de 2027 (~1,11-1,15):</w:t>
      </w:r>
      <w:r>
        <w:t xml:space="preserve"> </w:t>
      </w:r>
      <w:r>
        <w:rPr>
          <w:bCs/>
          <w:b/>
        </w:rPr>
        <w:t xml:space="preserve">la regla es más optimista que el consenso en beneficio y más prudente en PER</w:t>
      </w:r>
      <w:r>
        <w:t xml:space="preserve"> </w:t>
      </w:r>
      <w:r>
        <w:t xml:space="preserve">(12,8x frente a los 15x de hoy).</w:t>
      </w:r>
    </w:p>
    <w:p>
      <w:pPr>
        <w:numPr>
          <w:ilvl w:val="0"/>
          <w:numId w:val="1009"/>
        </w:numPr>
        <w:pStyle w:val="Compact"/>
      </w:pPr>
      <w:r>
        <w:rPr>
          <w:bCs/>
          <w:b/>
        </w:rPr>
        <w:t xml:space="preserve">DCF inverso</w:t>
      </w:r>
      <w:r>
        <w:t xml:space="preserve">: el precio descuenta un</w:t>
      </w:r>
      <w:r>
        <w:t xml:space="preserve"> </w:t>
      </w:r>
      <w:r>
        <w:rPr>
          <w:bCs/>
          <w:b/>
        </w:rPr>
        <w:t xml:space="preserve">~15 % anual de crecimiento del beneficio durante 10 años</w:t>
      </w:r>
      <w:r>
        <w:t xml:space="preserve">. Supuestos: coste del capital del 13 % (riesgo Brasil en dólares), BPA de partida de 1,05, ROE del 30 % para la reinversión y crecimiento terminal del 5 %. Es la mitad del ritmo actual.</w:t>
      </w:r>
      <w:r>
        <w:t xml:space="preserve"> </w:t>
      </w:r>
      <w:r>
        <w:rPr>
          <w:bCs/>
          <w:b/>
        </w:rPr>
        <w:t xml:space="preserve">Es exigente solo si el ciclo de crédito se rompe.</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el tono pasó de muy negativo en junio («cambio de CFO», «tormenta en el crédito al consumo brasileño», BofA a Vender con 10 USD) a constructivo tras el 2T26 y la primera vuelta. Citi hace una doble mejora, BTG pasa a Comprar y JPMorgan sube a 23 [10][11][13]. Itaú BBA sigue neutral por el consumo brasileño.</w:t>
      </w:r>
    </w:p>
    <w:p>
      <w:pPr>
        <w:numPr>
          <w:ilvl w:val="0"/>
          <w:numId w:val="1010"/>
        </w:numPr>
        <w:pStyle w:val="Compact"/>
      </w:pPr>
      <w:r>
        <w:rPr>
          <w:bCs/>
          <w:b/>
        </w:rPr>
        <w:t xml:space="preserve">Seeking Alpha</w:t>
      </w:r>
      <w:r>
        <w:t xml:space="preserve">: dividido. En agosto, «The First Billion-Dollar Quarter Deserves A Buy Rating»; en septiembre, «The Best Bank In Latin America, At The Wrong Point In The Cycle», que recomienda Mantener con un valor razonable de ~11 USD (15x el beneficio pasado) [14].</w:t>
      </w:r>
    </w:p>
    <w:p>
      <w:pPr>
        <w:numPr>
          <w:ilvl w:val="0"/>
          <w:numId w:val="1010"/>
        </w:numPr>
        <w:pStyle w:val="Compact"/>
      </w:pPr>
      <w:r>
        <w:rPr>
          <w:bCs/>
          <w:b/>
        </w:rPr>
        <w:t xml:space="preserve">X / StockTwits</w:t>
      </w:r>
      <w:r>
        <w:t xml:space="preserve">: no hay datos de StockTwits indexados. XTB y 24/7 Wall St. destacan la sesión del 5-oct (+13 %, una de las mejores en años) ligada a la política brasileña. Benzinga muestra un put/call de 1,41 (bajista) y un 4,1 % de posiciones cortas [14].</w:t>
      </w:r>
    </w:p>
    <w:p>
      <w:pPr>
        <w:numPr>
          <w:ilvl w:val="0"/>
          <w:numId w:val="1010"/>
        </w:numPr>
        <w:pStyle w:val="Compact"/>
      </w:pPr>
      <w:r>
        <w:rPr>
          <w:bCs/>
          <w:b/>
        </w:rPr>
        <w:t xml:space="preserve">Reddit (r/stocks, r/investing, r/brazil)</w:t>
      </w:r>
      <w:r>
        <w:t xml:space="preserve">: las búsquedas no devolvieron hilos recientes indexados.</w:t>
      </w:r>
      <w:r>
        <w:t xml:space="preserve"> </w:t>
      </w:r>
      <w:r>
        <w:rPr>
          <w:bCs/>
          <w:b/>
        </w:rPr>
        <w:t xml:space="preserve">Laguna.</w:t>
      </w:r>
    </w:p>
    <w:p>
      <w:pPr>
        <w:numPr>
          <w:ilvl w:val="0"/>
          <w:numId w:val="1010"/>
        </w:numPr>
        <w:pStyle w:val="Compact"/>
      </w:pPr>
      <w:r>
        <w:rPr>
          <w:bCs/>
          <w:b/>
        </w:rPr>
        <w:t xml:space="preserve">En castellano</w:t>
      </w:r>
      <w:r>
        <w:t xml:space="preserve">: Bloomberg Línea destaca la caída de más del 33 % en el año hasta junio y la recompra. Ni en Rankia ni en TradingView ES hay hilos legibles con opiniones recientes [13].</w:t>
      </w:r>
    </w:p>
    <w:p>
      <w:pPr>
        <w:numPr>
          <w:ilvl w:val="0"/>
          <w:numId w:val="1010"/>
        </w:numPr>
        <w:pStyle w:val="Compact"/>
      </w:pPr>
      <w:r>
        <w:rPr>
          <w:bCs/>
          <w:b/>
        </w:rPr>
        <w:t xml:space="preserve">Contraste con los datos</w:t>
      </w:r>
      <w:r>
        <w:t xml:space="preserve">: el negocio nunca ha ido mejor (beneficio +49 %, ROE 33 %). La acción, en cambio, se mueve con la política brasileña y el miedo al ciclo de crédito, y el sentimiento ha mejorado sin llegar a la euforia. Es el patrón que busca el método:</w:t>
      </w:r>
      <w:r>
        <w:t xml:space="preserve"> </w:t>
      </w:r>
      <w:r>
        <w:rPr>
          <w:bCs/>
          <w:b/>
        </w:rPr>
        <w:t xml:space="preserve">percepción que gira desde el pesimismo con el negocio intacto</w:t>
      </w:r>
      <w:r>
        <w:t xml:space="preserve">. El riesgo es que el giro dependa de un resultado electoral.</w:t>
      </w:r>
    </w:p>
    <w:bookmarkEnd w:id="29"/>
    <w:bookmarkStart w:id="30" w:name="riesgos-y-qué-rompería-la-tesis"/>
    <w:p>
      <w:pPr>
        <w:pStyle w:val="Heading2"/>
      </w:pPr>
      <w:r>
        <w:t xml:space="preserve">11. Riesgos y qué rompería la tesis</w:t>
      </w:r>
    </w:p>
    <w:p>
      <w:pPr>
        <w:numPr>
          <w:ilvl w:val="0"/>
          <w:numId w:val="1011"/>
        </w:numPr>
        <w:pStyle w:val="Compact"/>
      </w:pPr>
      <w:r>
        <w:rPr>
          <w:bCs/>
          <w:b/>
        </w:rPr>
        <w:t xml:space="preserve">Ciclo de crédito en Brasil (riesgo principal)</w:t>
      </w:r>
      <w:r>
        <w:t xml:space="preserve">. Los hogares dedican un récord del 28,5 % de su renta a pagar deudas, el 82 % de las familias está endeudado, la Selic está en el 14 % y la morosidad a más de 90 días de Nu sube al 6,9 % [20]. Nu ha ampliado riesgo a propósito. Si la morosidad se dispara, el NIM ajustado por riesgo cae y el mercado le pondrá PER de banco tradicional: es el escenario bajista (−45 %).</w:t>
      </w:r>
    </w:p>
    <w:p>
      <w:pPr>
        <w:numPr>
          <w:ilvl w:val="0"/>
          <w:numId w:val="1011"/>
        </w:numPr>
        <w:pStyle w:val="Compact"/>
      </w:pPr>
      <w:r>
        <w:rPr>
          <w:bCs/>
          <w:b/>
        </w:rPr>
        <w:t xml:space="preserve">Política y divisa</w:t>
      </w:r>
      <w:r>
        <w:t xml:space="preserve">: la segunda vuelta es el 25-oct. El rally de octubre descuenta en parte una victoria de Flávio Bolsonaro; un resultado contrario podría devolver parte de la subida. Además, el beneficio se genera en reales y la acción cotiza en dólares.</w:t>
      </w:r>
    </w:p>
    <w:p>
      <w:pPr>
        <w:numPr>
          <w:ilvl w:val="0"/>
          <w:numId w:val="1011"/>
        </w:numPr>
        <w:pStyle w:val="Compact"/>
      </w:pPr>
      <w:r>
        <w:rPr>
          <w:bCs/>
          <w:b/>
        </w:rPr>
        <w:t xml:space="preserve">Regulación</w:t>
      </w:r>
      <w:r>
        <w:t xml:space="preserve">: topes de tipos al crédito rotativo y a la tarjeta en Brasil, el impuesto IOF y los cambios en el PIX financiado.</w:t>
      </w:r>
    </w:p>
    <w:p>
      <w:pPr>
        <w:numPr>
          <w:ilvl w:val="0"/>
          <w:numId w:val="1011"/>
        </w:numPr>
        <w:pStyle w:val="Compact"/>
      </w:pPr>
      <w:r>
        <w:rPr>
          <w:bCs/>
          <w:b/>
        </w:rPr>
        <w:t xml:space="preserve">Competencia</w:t>
      </w:r>
      <w:r>
        <w:t xml:space="preserve">: Mercado Pago agresivo en tarjeta, y bancos grandes que reaccionan en precio.</w:t>
      </w:r>
    </w:p>
    <w:p>
      <w:pPr>
        <w:numPr>
          <w:ilvl w:val="0"/>
          <w:numId w:val="1011"/>
        </w:numPr>
        <w:pStyle w:val="Compact"/>
      </w:pPr>
      <w:r>
        <w:rPr>
          <w:bCs/>
          <w:b/>
        </w:rPr>
        <w:t xml:space="preserve">Expansión cara</w:t>
      </w:r>
      <w:r>
        <w:t xml:space="preserve">: EE. UU. es un mercado donde otros neobancos han quemado capital; en México hay que invertir 4.200 M USD hasta 2030.</w:t>
      </w:r>
    </w:p>
    <w:p>
      <w:pPr>
        <w:numPr>
          <w:ilvl w:val="0"/>
          <w:numId w:val="1011"/>
        </w:numPr>
        <w:pStyle w:val="Compact"/>
      </w:pPr>
      <w:r>
        <w:rPr>
          <w:bCs/>
          <w:b/>
        </w:rPr>
        <w:t xml:space="preserve">Dirección</w:t>
      </w:r>
      <w:r>
        <w:t xml:space="preserve">: el cambio de CFO y el control del fundador mediante voto múltiple.</w:t>
      </w:r>
    </w:p>
    <w:p>
      <w:pPr>
        <w:pStyle w:val="FirstParagraph"/>
      </w:pPr>
      <w:r>
        <w:rPr>
          <w:bCs/>
          <w:b/>
        </w:rPr>
        <w:t xml:space="preserve">Señales de venta concretas</w:t>
      </w:r>
      <w:r>
        <w:t xml:space="preserve">:</w:t>
      </w:r>
      <w:r>
        <w:t xml:space="preserve"> </w:t>
      </w:r>
      <w:r>
        <w:t xml:space="preserve">- Morosidad temprana (15-90 días) por encima del 5,5 % en dos trimestres seguidos.</w:t>
      </w:r>
      <w:r>
        <w:t xml:space="preserve"> </w:t>
      </w:r>
      <w:r>
        <w:t xml:space="preserve">- NIM ajustado por riesgo por debajo del 9 %.</w:t>
      </w:r>
      <w:r>
        <w:t xml:space="preserve"> </w:t>
      </w:r>
      <w:r>
        <w:t xml:space="preserve">- Crecimiento del beneficio bruto FXN por debajo del 20 % dos trimestres seguidos (desaceleración fuerte).</w:t>
      </w:r>
      <w:r>
        <w:t xml:space="preserve"> </w:t>
      </w:r>
      <w:r>
        <w:t xml:space="preserve">- Una pérdida relevante en EE. UU. o México que lleve el ROE por debajo del 20 %.</w:t>
      </w:r>
      <w:r>
        <w:t xml:space="preserve"> </w:t>
      </w:r>
      <w:r>
        <w:t xml:space="preserve">- Un cambio regulatorio que limite los tipos de la tarjeta.</w:t>
      </w:r>
    </w:p>
    <w:p>
      <w:pPr>
        <w:pStyle w:val="BodyText"/>
      </w:pPr>
      <w:r>
        <w:rPr>
          <w:bCs/>
          <w:b/>
        </w:rPr>
        <w:t xml:space="preserve">Lo que la regla mide mal en un banco (propuestas de mejora; no se ha tocado el código)</w:t>
      </w:r>
      <w:r>
        <w:t xml:space="preserve">:</w:t>
      </w:r>
      <w:r>
        <w:t xml:space="preserve"> </w:t>
      </w:r>
      <w:r>
        <w:t xml:space="preserve">-</w:t>
      </w:r>
      <w:r>
        <w:t xml:space="preserve"> </w:t>
      </w:r>
      <w:r>
        <w:rPr>
          <w:bCs/>
          <w:b/>
        </w:rPr>
        <w:t xml:space="preserve">a) El filtro de valoración no muerde.</w:t>
      </w:r>
      <w:r>
        <w:t xml:space="preserve"> </w:t>
      </w:r>
      <w:r>
        <w:t xml:space="preserve">El EV/beneficio bruto (7,3x frente al tope de 35x) nunca frenará a un banco, y el bloque D da 15/15 casi por construcción: margen bruto del 100 % y una «regla del 40» con el beneficio neto.</w:t>
      </w:r>
      <w:r>
        <w:t xml:space="preserve"> </w:t>
      </w:r>
      <w:r>
        <w:rPr>
          <w:bCs/>
          <w:b/>
        </w:rPr>
        <w:t xml:space="preserve">Propuesta:</w:t>
      </w:r>
      <w:r>
        <w:t xml:space="preserve"> </w:t>
      </w:r>
      <w:r>
        <w:t xml:space="preserve">un modo</w:t>
      </w:r>
      <w:r>
        <w:t xml:space="preserve"> </w:t>
      </w:r>
      <w:r>
        <w:rPr>
          <w:rStyle w:val="VerbatimChar"/>
        </w:rPr>
        <w:t xml:space="preserve">sector: "financiero"</w:t>
      </w:r>
      <w:r>
        <w:t xml:space="preserve"> </w:t>
      </w:r>
      <w:r>
        <w:t xml:space="preserve">con tres cambios.</w:t>
      </w:r>
      <w:r>
        <w:t xml:space="preserve"> </w:t>
      </w:r>
      <w:r>
        <w:t xml:space="preserve">- En la señal, filtro de PER NTM ≤ 25x (o P/VC ≤ ROE / coste del capital × 1,5) en lugar del EV/beneficio bruto.</w:t>
      </w:r>
      <w:r>
        <w:t xml:space="preserve"> </w:t>
      </w:r>
      <w:r>
        <w:t xml:space="preserve">- En el bloque D, ROE (≥ 25 % = 5), eficiencia (&lt; 30 % = 5) y tendencia de la morosidad temprana, en lugar del margen bruto y la regla del 40.</w:t>
      </w:r>
      <w:r>
        <w:t xml:space="preserve"> </w:t>
      </w:r>
      <w:r>
        <w:t xml:space="preserve">- En el bloque E, el CET1 en lugar de la pista de caja.</w:t>
      </w:r>
    </w:p>
    <w:p>
      <w:pPr>
        <w:pStyle w:val="BodyText"/>
      </w:pPr>
      <w:r>
        <w:t xml:space="preserve">Con el margen sobre ingresos (~42 %, 2 puntos en vez de 5), la puntuación bajaría a ~75,3: seguiría siendo Comprar, pero en el límite de la convicción media.</w:t>
      </w:r>
      <w:r>
        <w:t xml:space="preserve"> </w:t>
      </w:r>
      <w:r>
        <w:t xml:space="preserve">-</w:t>
      </w:r>
      <w:r>
        <w:t xml:space="preserve"> </w:t>
      </w:r>
      <w:r>
        <w:rPr>
          <w:bCs/>
          <w:b/>
        </w:rPr>
        <w:t xml:space="preserve">b) Detección del múltiplo por texto.</w:t>
      </w:r>
      <w:r>
        <w:t xml:space="preserve"> </w:t>
      </w:r>
      <w:r>
        <w:t xml:space="preserve">El código decide si el múltiplo es de ventas buscando la palabra «ventas» en</w:t>
      </w:r>
      <w:r>
        <w:t xml:space="preserve"> </w:t>
      </w:r>
      <w:r>
        <w:rPr>
          <w:rStyle w:val="VerbatimChar"/>
        </w:rPr>
        <w:t xml:space="preserve">metrica</w:t>
      </w:r>
      <w:r>
        <w:t xml:space="preserve">. Mi primer borrador la mencionaba dentro de la explicación y el cálculo aplicó el PER directamente al beneficio bruto: ponderada +163 %.</w:t>
      </w:r>
      <w:r>
        <w:t xml:space="preserve"> </w:t>
      </w:r>
      <w:r>
        <w:rPr>
          <w:bCs/>
          <w:b/>
        </w:rPr>
        <w:t xml:space="preserve">Propuesta:</w:t>
      </w:r>
      <w:r>
        <w:t xml:space="preserve"> </w:t>
      </w:r>
      <w:r>
        <w:t xml:space="preserve">un campo explícito</w:t>
      </w:r>
      <w:r>
        <w:t xml:space="preserve"> </w:t>
      </w:r>
      <w:r>
        <w:rPr>
          <w:rStyle w:val="VerbatimChar"/>
        </w:rPr>
        <w:t xml:space="preserve">tipo_multiplo: "ventas" | "ebitda" | "beneficio"</w:t>
      </w:r>
      <w:r>
        <w:t xml:space="preserve"> </w:t>
      </w:r>
      <w:r>
        <w:t xml:space="preserve">y un aviso cuando no cuadre con</w:t>
      </w:r>
      <w:r>
        <w:t xml:space="preserve"> </w:t>
      </w:r>
      <w:r>
        <w:rPr>
          <w:rStyle w:val="VerbatimChar"/>
        </w:rPr>
        <w:t xml:space="preserve">multiplo_actual</w:t>
      </w:r>
      <w:r>
        <w:t xml:space="preserve">.</w:t>
      </w:r>
      <w:r>
        <w:t xml:space="preserve"> </w:t>
      </w:r>
      <w:r>
        <w:t xml:space="preserve">-</w:t>
      </w:r>
      <w:r>
        <w:t xml:space="preserve"> </w:t>
      </w:r>
      <w:r>
        <w:rPr>
          <w:bCs/>
          <w:b/>
        </w:rPr>
        <w:t xml:space="preserve">c) Estacionalidad de las dotaciones.</w:t>
      </w:r>
      <w:r>
        <w:t xml:space="preserve"> </w:t>
      </w:r>
      <w:r>
        <w:t xml:space="preserve">La aceleración del 2T (+12,8 pp) viene en parte de un 1T con dotaciones altas.</w:t>
      </w:r>
      <w:r>
        <w:t xml:space="preserve"> </w:t>
      </w:r>
      <w:r>
        <w:rPr>
          <w:bCs/>
          <w:b/>
        </w:rPr>
        <w:t xml:space="preserve">Propuesta:</w:t>
      </w:r>
      <w:r>
        <w:t xml:space="preserve"> </w:t>
      </w:r>
      <w:r>
        <w:t xml:space="preserve">en negocios con provisiones estacionales, medir la aceleración con la media de los dos últimos trimestres.</w:t>
      </w:r>
      <w:r>
        <w:t xml:space="preserve"> </w:t>
      </w:r>
      <w:r>
        <w:t xml:space="preserve">-</w:t>
      </w:r>
      <w:r>
        <w:t xml:space="preserve"> </w:t>
      </w:r>
      <w:r>
        <w:rPr>
          <w:bCs/>
          <w:b/>
        </w:rPr>
        <w:t xml:space="preserve">d) Una señal decide la señal final.</w:t>
      </w:r>
      <w:r>
        <w:t xml:space="preserve"> </w:t>
      </w:r>
      <w:r>
        <w:t xml:space="preserve">La revisión al alza es de recomendaciones y objetivos, no de BPA. Sin ella, 3/8 y Mantener.</w:t>
      </w:r>
      <w:r>
        <w:t xml:space="preserve"> </w:t>
      </w:r>
      <w:r>
        <w:rPr>
          <w:bCs/>
          <w:b/>
        </w:rPr>
        <w:t xml:space="preserve">Propuesta:</w:t>
      </w:r>
      <w:r>
        <w:t xml:space="preserve"> </w:t>
      </w:r>
      <w:r>
        <w:t xml:space="preserve">exigir que la señal 1 se apoye en estimaciones de beneficio o ventas, no en precios objetivo.</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25-oct-2026</w:t>
            </w:r>
          </w:p>
        </w:tc>
        <w:tc>
          <w:tcPr/>
          <w:p>
            <w:pPr>
              <w:pStyle w:val="Compact"/>
              <w:jc w:val="left"/>
            </w:pPr>
            <w:r>
              <w:t xml:space="preserve">Segunda vuelta presidencial en Brasil (Bolsonaro 49 % - Lula 45 % según Datafolha, empate técnico)</w:t>
            </w:r>
          </w:p>
        </w:tc>
        <w:tc>
          <w:tcPr/>
          <w:p>
            <w:pPr>
              <w:pStyle w:val="Compact"/>
              <w:jc w:val="left"/>
            </w:pPr>
            <w:r>
              <w:t xml:space="preserve">+/− fuerte</w:t>
            </w:r>
          </w:p>
        </w:tc>
      </w:tr>
      <w:tr>
        <w:tc>
          <w:tcPr/>
          <w:p>
            <w:pPr>
              <w:pStyle w:val="Compact"/>
              <w:jc w:val="left"/>
            </w:pPr>
            <w:r>
              <w:t xml:space="preserve">12-nov-2026 (por confirmar)</w:t>
            </w:r>
          </w:p>
        </w:tc>
        <w:tc>
          <w:tcPr/>
          <w:p>
            <w:pPr>
              <w:pStyle w:val="Compact"/>
              <w:jc w:val="left"/>
            </w:pPr>
            <w:r>
              <w:t xml:space="preserve">Resultados del 3T26 (consenso de BPA ~0,22)</w:t>
            </w:r>
          </w:p>
        </w:tc>
        <w:tc>
          <w:tcPr/>
          <w:p>
            <w:pPr>
              <w:pStyle w:val="Compact"/>
              <w:jc w:val="left"/>
            </w:pPr>
            <w:r>
              <w:t xml:space="preserve">+/−</w:t>
            </w:r>
          </w:p>
        </w:tc>
      </w:tr>
      <w:tr>
        <w:tc>
          <w:tcPr/>
          <w:p>
            <w:pPr>
              <w:pStyle w:val="Compact"/>
              <w:jc w:val="left"/>
            </w:pPr>
            <w:r>
              <w:t xml:space="preserve">Dic-2026</w:t>
            </w:r>
          </w:p>
        </w:tc>
        <w:tc>
          <w:tcPr/>
          <w:p>
            <w:pPr>
              <w:pStyle w:val="Compact"/>
              <w:jc w:val="left"/>
            </w:pPr>
            <w:r>
              <w:t xml:space="preserve">Copom: ritmo de bajadas de la Selic (14 % en agosto)</w:t>
            </w:r>
          </w:p>
        </w:tc>
        <w:tc>
          <w:tcPr/>
          <w:p>
            <w:pPr>
              <w:pStyle w:val="Compact"/>
              <w:jc w:val="left"/>
            </w:pPr>
            <w:r>
              <w:t xml:space="preserve">+ si baja</w:t>
            </w:r>
          </w:p>
        </w:tc>
      </w:tr>
      <w:tr>
        <w:tc>
          <w:tcPr/>
          <w:p>
            <w:pPr>
              <w:pStyle w:val="Compact"/>
              <w:jc w:val="left"/>
            </w:pPr>
            <w:r>
              <w:t xml:space="preserve">1S-2027</w:t>
            </w:r>
          </w:p>
        </w:tc>
        <w:tc>
          <w:tcPr/>
          <w:p>
            <w:pPr>
              <w:pStyle w:val="Compact"/>
              <w:jc w:val="left"/>
            </w:pPr>
            <w:r>
              <w:t xml:space="preserve">Primeros datos de Nu México como banco (nómina, depósitos)</w:t>
            </w:r>
          </w:p>
        </w:tc>
        <w:tc>
          <w:tcPr/>
          <w:p>
            <w:pPr>
              <w:pStyle w:val="Compact"/>
              <w:jc w:val="left"/>
            </w:pPr>
            <w:r>
              <w:t xml:space="preserve">+</w:t>
            </w:r>
          </w:p>
        </w:tc>
      </w:tr>
      <w:tr>
        <w:tc>
          <w:tcPr/>
          <w:p>
            <w:pPr>
              <w:pStyle w:val="Compact"/>
              <w:jc w:val="left"/>
            </w:pPr>
            <w:r>
              <w:t xml:space="preserve">~Feb-2027</w:t>
            </w:r>
          </w:p>
        </w:tc>
        <w:tc>
          <w:tcPr/>
          <w:p>
            <w:pPr>
              <w:pStyle w:val="Compact"/>
              <w:jc w:val="left"/>
            </w:pPr>
            <w:r>
              <w:t xml:space="preserve">Resultados del 4T26 y año 2026</w:t>
            </w:r>
          </w:p>
        </w:tc>
        <w:tc>
          <w:tcPr/>
          <w:p>
            <w:pPr>
              <w:pStyle w:val="Compact"/>
              <w:jc w:val="left"/>
            </w:pPr>
            <w:r>
              <w:t xml:space="preserve">+/−</w:t>
            </w:r>
          </w:p>
        </w:tc>
      </w:tr>
      <w:tr>
        <w:tc>
          <w:tcPr/>
          <w:p>
            <w:pPr>
              <w:pStyle w:val="Compact"/>
              <w:jc w:val="left"/>
            </w:pPr>
            <w:r>
              <w:t xml:space="preserve">2027</w:t>
            </w:r>
          </w:p>
        </w:tc>
        <w:tc>
          <w:tcPr/>
          <w:p>
            <w:pPr>
              <w:pStyle w:val="Compact"/>
              <w:jc w:val="left"/>
            </w:pPr>
            <w:r>
              <w:t xml:space="preserve">Aprobaciones de la FDIC y la Fed y apertura de Nubank, N.A. en EE. UU.</w:t>
            </w:r>
          </w:p>
        </w:tc>
        <w:tc>
          <w:tcPr/>
          <w:p>
            <w:pPr>
              <w:pStyle w:val="Compact"/>
              <w:jc w:val="left"/>
            </w:pPr>
            <w:r>
              <w:t xml:space="preserve">+/− (coste)</w:t>
            </w:r>
          </w:p>
        </w:tc>
      </w:tr>
      <w:tr>
        <w:tc>
          <w:tcPr/>
          <w:p>
            <w:pPr>
              <w:pStyle w:val="Compact"/>
              <w:jc w:val="left"/>
            </w:pPr>
            <w:r>
              <w:t xml:space="preserve">Jun-2027</w:t>
            </w:r>
          </w:p>
        </w:tc>
        <w:tc>
          <w:tcPr/>
          <w:p>
            <w:pPr>
              <w:pStyle w:val="Compact"/>
              <w:jc w:val="left"/>
            </w:pPr>
            <w:r>
              <w:t xml:space="preserve">Fin del plan de recompra de 1.000 M USD</w:t>
            </w:r>
          </w:p>
        </w:tc>
        <w:tc>
          <w:tcPr/>
          <w:p>
            <w:pPr>
              <w:pStyle w:val="Compact"/>
              <w:jc w:val="left"/>
            </w:pPr>
            <w:r>
              <w:t xml:space="preserve">+</w:t>
            </w:r>
          </w:p>
        </w:tc>
      </w:tr>
    </w:tbl>
    <w:bookmarkEnd w:id="31"/>
    <w:bookmarkStart w:id="32" w:name="encaje-en-cartera"/>
    <w:p>
      <w:pPr>
        <w:pStyle w:val="Heading2"/>
      </w:pPr>
      <w:r>
        <w:t xml:space="preserve">13. Encaje en cartera</w:t>
      </w:r>
    </w:p>
    <w:p>
      <w:pPr>
        <w:pStyle w:val="FirstParagraph"/>
      </w:pPr>
      <w:r>
        <w:t xml:space="preserve">La cartera value propuesta de Hotis (~29.800 EUR) está formada por IGLN (oro), Edenred, Daiichi Sankyo, Uber, Viscofan, Alphabet, Netflix, SAP, Intuit, Nemetschek, LVMH y ~6.300 EUR de liquidez. Con ella, el bolsillo growth podría llegar al 20 % (~5.960 EUR). De las growth ya analizadas (Palantir, CrowdStrike, Spotify y Rheinmetall),</w:t>
      </w:r>
      <w:r>
        <w:t xml:space="preserve"> </w:t>
      </w:r>
      <w:r>
        <w:rPr>
          <w:bCs/>
          <w:b/>
        </w:rPr>
        <w:t xml:space="preserve">ninguna está en Comprar: Nu sería la primera</w:t>
      </w:r>
      <w:r>
        <w:t xml:space="preserve">.</w:t>
      </w:r>
    </w:p>
    <w:p>
      <w:pPr>
        <w:numPr>
          <w:ilvl w:val="0"/>
          <w:numId w:val="1012"/>
        </w:numPr>
        <w:pStyle w:val="Compact"/>
      </w:pPr>
      <w:r>
        <w:rPr>
          <w:bCs/>
          <w:b/>
        </w:rPr>
        <w:t xml:space="preserve">Peso: 4 % (convicción media), ~1.190 EUR</w:t>
      </w:r>
      <w:r>
        <w:t xml:space="preserve">, con cargo a la liquidez (que bajaría a ~5.100 EUR).</w:t>
      </w:r>
    </w:p>
    <w:p>
      <w:pPr>
        <w:numPr>
          <w:ilvl w:val="0"/>
          <w:numId w:val="1012"/>
        </w:numPr>
        <w:pStyle w:val="Compact"/>
      </w:pPr>
      <w:r>
        <w:rPr>
          <w:bCs/>
          <w:b/>
        </w:rPr>
        <w:t xml:space="preserve">Tramos</w:t>
      </w:r>
      <w:r>
        <w:t xml:space="preserve">: ~600 EUR ya (hasta 18,0 USD) y ~600 EUR tras los resultados del 3T26 (12-nov), si la morosidad temprana no empeora. También si cae un 10 % sin cambio de tesis, por ejemplo por la segunda vuelta. Por encima de 18,0 USD no se compra.</w:t>
      </w:r>
    </w:p>
    <w:p>
      <w:pPr>
        <w:numPr>
          <w:ilvl w:val="0"/>
          <w:numId w:val="1012"/>
        </w:numPr>
        <w:pStyle w:val="Compact"/>
      </w:pPr>
      <w:r>
        <w:rPr>
          <w:bCs/>
          <w:b/>
        </w:rPr>
        <w:t xml:space="preserve">Qué aporta</w:t>
      </w:r>
      <w:r>
        <w:t xml:space="preserve">: es la única exposición a un banco y a Latinoamérica, y no correlaciona con el software (Alphabet, SAP, Intuit, Nemetschek) que domina la cartera.</w:t>
      </w:r>
      <w:r>
        <w:t xml:space="preserve"> </w:t>
      </w:r>
      <w:r>
        <w:rPr>
          <w:bCs/>
          <w:b/>
        </w:rPr>
        <w:t xml:space="preserve">Ojo con Edenred</w:t>
      </w:r>
      <w:r>
        <w:t xml:space="preserve">: también tiene mucha exposición a Brasil (vales de comida, regulación), así que las dos juntas concentran el riesgo del real y de la política brasileña. Entre las dos, mejor no superar ~8-9 % de la cartera.</w:t>
      </w:r>
    </w:p>
    <w:p>
      <w:pPr>
        <w:numPr>
          <w:ilvl w:val="0"/>
          <w:numId w:val="1012"/>
        </w:numPr>
        <w:pStyle w:val="Compact"/>
      </w:pPr>
      <w:r>
        <w:rPr>
          <w:bCs/>
          <w:b/>
        </w:rPr>
        <w:t xml:space="preserve">Salida por tesis</w:t>
      </w:r>
      <w:r>
        <w:t xml:space="preserve">, no por precio: ver las señales de venta de la sección 11.</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21,7</w:t>
            </w:r>
          </w:p>
        </w:tc>
        <w:tc>
          <w:tcPr/>
          <w:p>
            <w:pPr>
              <w:pStyle w:val="Compact"/>
              <w:jc w:val="left"/>
            </w:pPr>
            <w:r>
              <w:t xml:space="preserve">25</w:t>
            </w:r>
          </w:p>
        </w:tc>
        <w:tc>
          <w:tcPr/>
          <w:p>
            <w:pPr>
              <w:pStyle w:val="Compact"/>
              <w:jc w:val="left"/>
            </w:pPr>
            <w:r>
              <w:t xml:space="preserve">Beneficio bruto 12 m +35 % FXN (4), CAGR a 2 años ~32 % (4), aceleración +12,8 pp (5)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6,7 % (3), tecnología 4, posición 4</w:t>
            </w:r>
          </w:p>
        </w:tc>
      </w:tr>
      <w:tr>
        <w:tc>
          <w:tcPr/>
          <w:p>
            <w:pPr>
              <w:pStyle w:val="Compact"/>
              <w:jc w:val="left"/>
            </w:pPr>
            <w:r>
              <w:t xml:space="preserve">C. Cambio de tendencia</w:t>
            </w:r>
          </w:p>
        </w:tc>
        <w:tc>
          <w:tcPr/>
          <w:p>
            <w:pPr>
              <w:pStyle w:val="Compact"/>
              <w:jc w:val="left"/>
            </w:pPr>
            <w:r>
              <w:t xml:space="preserve">10,0</w:t>
            </w:r>
          </w:p>
        </w:tc>
        <w:tc>
          <w:tcPr/>
          <w:p>
            <w:pPr>
              <w:pStyle w:val="Compact"/>
              <w:jc w:val="left"/>
            </w:pPr>
            <w:r>
              <w:t xml:space="preserve">20</w:t>
            </w:r>
          </w:p>
        </w:tc>
        <w:tc>
          <w:tcPr/>
          <w:p>
            <w:pPr>
              <w:pStyle w:val="Compact"/>
              <w:jc w:val="left"/>
            </w:pPr>
            <w:r>
              <w:t xml:space="preserve">4/8 señales (revisiones, múltiplo, sentimiento, catalizador), sin euforia</w:t>
            </w:r>
          </w:p>
        </w:tc>
      </w:tr>
      <w:tr>
        <w:tc>
          <w:tcPr/>
          <w:p>
            <w:pPr>
              <w:pStyle w:val="Compact"/>
              <w:jc w:val="left"/>
            </w:pPr>
            <w:r>
              <w:t xml:space="preserve">D. Economía unitaria</w:t>
            </w:r>
          </w:p>
        </w:tc>
        <w:tc>
          <w:tcPr/>
          <w:p>
            <w:pPr>
              <w:pStyle w:val="Compact"/>
              <w:jc w:val="left"/>
            </w:pPr>
            <w:r>
              <w:t xml:space="preserve">15,0</w:t>
            </w:r>
          </w:p>
        </w:tc>
        <w:tc>
          <w:tcPr/>
          <w:p>
            <w:pPr>
              <w:pStyle w:val="Compact"/>
              <w:jc w:val="left"/>
            </w:pPr>
            <w:r>
              <w:t xml:space="preserve">15</w:t>
            </w:r>
          </w:p>
        </w:tc>
        <w:tc>
          <w:tcPr/>
          <w:p>
            <w:pPr>
              <w:pStyle w:val="Compact"/>
              <w:jc w:val="left"/>
            </w:pPr>
            <w:r>
              <w:t xml:space="preserve">«Margen bruto» 100 % por definición (5), regla del 40 = 79,7 con el beneficio neto (5), beneficio creciente (5). Inflado en un banco: ver la sección 11a</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Rentable (5), dilución ~1 % (5)</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3, dirección 4</w:t>
            </w:r>
          </w:p>
        </w:tc>
      </w:tr>
      <w:tr>
        <w:tc>
          <w:tcPr/>
          <w:p>
            <w:pPr>
              <w:pStyle w:val="Compact"/>
              <w:jc w:val="left"/>
            </w:pPr>
            <w:r>
              <w:rPr>
                <w:bCs/>
                <w:b/>
              </w:rPr>
              <w:t xml:space="preserve">Total</w:t>
            </w:r>
          </w:p>
        </w:tc>
        <w:tc>
          <w:tcPr/>
          <w:p>
            <w:pPr>
              <w:pStyle w:val="Compact"/>
              <w:jc w:val="left"/>
            </w:pPr>
            <w:r>
              <w:rPr>
                <w:bCs/>
                <w:b/>
              </w:rPr>
              <w:t xml:space="preserve">78,3</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Comprar (media)</w:t>
            </w:r>
            <w:r>
              <w:t xml:space="preserve">, peso del 4 %, compra hasta 18,0 USD</w:t>
            </w:r>
          </w:p>
        </w:tc>
      </w:tr>
    </w:tbl>
    <w:bookmarkEnd w:id="33"/>
    <w:bookmarkStart w:id="34" w:name="fuentes"/>
    <w:p>
      <w:pPr>
        <w:pStyle w:val="Heading2"/>
      </w:pPr>
      <w:r>
        <w:t xml:space="preserve">Fuentes</w:t>
      </w:r>
    </w:p>
    <w:p>
      <w:pPr>
        <w:pStyle w:val="FirstParagraph"/>
      </w:pPr>
      <w:r>
        <w:t xml:space="preserve">[1] Nu Holdings, nota de resultados del 2T26 (13-ago-2026), 6-K (SEC) y nu.com; resúmenes en Investing.com, Quartr, StockTitan, TIKR, Goldesel y TradingKey (transcripción).</w:t>
      </w:r>
      <w:r>
        <w:t xml:space="preserve"> </w:t>
      </w:r>
      <w:r>
        <w:t xml:space="preserve">[2] Nu Holdings, resultados del 1T26 (14-may-2026), 6-K; TIKR.</w:t>
      </w:r>
      <w:r>
        <w:t xml:space="preserve"> </w:t>
      </w:r>
      <w:r>
        <w:t xml:space="preserve">[3] Nu Holdings, resultados del 4T25 y 2025 (25-feb-2026), 3T25 (13-nov-2025) y 2T25 (14-ago-2025); 6-K, Business Wire y Fintool.</w:t>
      </w:r>
      <w:r>
        <w:t xml:space="preserve"> </w:t>
      </w:r>
      <w:r>
        <w:t xml:space="preserve">[4] SEC, 6-K del 2T25 (acciones diluidas y básicas); CompaniesMarketCap (ago-2026).</w:t>
      </w:r>
      <w:r>
        <w:t xml:space="preserve"> </w:t>
      </w:r>
      <w:r>
        <w:t xml:space="preserve">[5] Benzinga (consenso de BPA trimestral, ago-sep-2026); StockAlarm y Tickflow (BPA 2026-2027).</w:t>
      </w:r>
      <w:r>
        <w:t xml:space="preserve"> </w:t>
      </w:r>
      <w:r>
        <w:t xml:space="preserve">[6] StockAnalysis (cierre del 13-oct-2026, capitalización, PER, rango de 52 semanas, objetivo medio); StocksToTrade (cierre del 9-oct).</w:t>
      </w:r>
      <w:r>
        <w:t xml:space="preserve"> </w:t>
      </w:r>
      <w:r>
        <w:t xml:space="preserve">[7] Digrin, Macrotrends, Stockscan y ChartRow (cotizaciones mensuales y mínimo del 3-jun-2026).</w:t>
      </w:r>
      <w:r>
        <w:t xml:space="preserve"> </w:t>
      </w:r>
      <w:r>
        <w:t xml:space="preserve">[8] Investing.com (análisis técnico, medias de 200 sesiones, jul-ago-2026); Equibles.</w:t>
      </w:r>
      <w:r>
        <w:t xml:space="preserve"> </w:t>
      </w:r>
      <w:r>
        <w:t xml:space="preserve">[9] StockHub, AllInvestView, Macrotrends, Value Research, VCP Scanner y YCharts (PER y P/VC actuales e históricos); estimación propia del PER NTM.</w:t>
      </w:r>
      <w:r>
        <w:t xml:space="preserve"> </w:t>
      </w:r>
      <w:r>
        <w:t xml:space="preserve">[10] MarketBeat, TipRanks y StocksToTrade (JPMorgan, oct-2026); Itaú BBA.</w:t>
      </w:r>
      <w:r>
        <w:t xml:space="preserve"> </w:t>
      </w:r>
      <w:r>
        <w:t xml:space="preserve">[11] Webull, iTiger y Goldesel (Citi, BTG y UBS tras el 2T26).</w:t>
      </w:r>
      <w:r>
        <w:t xml:space="preserve"> </w:t>
      </w:r>
      <w:r>
        <w:t xml:space="preserve">[12] AP, Nasdaq y Webull (S&amp;P 500, oct-2026).</w:t>
      </w:r>
      <w:r>
        <w:t xml:space="preserve"> </w:t>
      </w:r>
      <w:r>
        <w:t xml:space="preserve">[13] MEXC y Bloomberg Línea (jun-2026: cambio de CFO, BofA, Citi, Susquehanna, recompra).</w:t>
      </w:r>
      <w:r>
        <w:t xml:space="preserve"> </w:t>
      </w:r>
      <w:r>
        <w:t xml:space="preserve">[14] XTB y 24/7 Wall St. (5-oct-2026); Seeking Alpha (ago y sep-2026); Benzinga (sentimiento).</w:t>
      </w:r>
      <w:r>
        <w:t xml:space="preserve"> </w:t>
      </w:r>
      <w:r>
        <w:t xml:space="preserve">[15] InsiderSet (13F del 2T26); MarketBeat (ventas de directivos).</w:t>
      </w:r>
      <w:r>
        <w:t xml:space="preserve"> </w:t>
      </w:r>
      <w:r>
        <w:t xml:space="preserve">[16] Mexico Business News, Nu y La República (Nu México como banco).</w:t>
      </w:r>
      <w:r>
        <w:t xml:space="preserve"> </w:t>
      </w:r>
      <w:r>
        <w:t xml:space="preserve">[17] Nu, Business Wire, PaymentExpert y wiki.private.law (Nubank, N.A.).</w:t>
      </w:r>
      <w:r>
        <w:t xml:space="preserve"> </w:t>
      </w:r>
      <w:r>
        <w:t xml:space="preserve">[18] The Star, Datafolha, Outlook India y Bernama (elecciones de Brasil).</w:t>
      </w:r>
      <w:r>
        <w:t xml:space="preserve"> </w:t>
      </w:r>
      <w:r>
        <w:t xml:space="preserve">[19] Bloomberg Línea (Felaban), Ken Research y Neofeed (tamaño del mercado y cuota); estimación propia del mercado alcanzable.</w:t>
      </w:r>
      <w:r>
        <w:t xml:space="preserve"> </w:t>
      </w:r>
      <w:r>
        <w:t xml:space="preserve">[20] Agência Brasil, Poder360 y Rio Times / BofA (endeudamiento y morosidad en Brasil; Selic).</w:t>
      </w:r>
      <w:r>
        <w:t xml:space="preserve"> </w:t>
      </w:r>
      <w:r>
        <w:t xml:space="preserve">[21] MarketScreener, Seeking Alpha y VCP Scanner (PER de Itaú); resto de comparables, de memoria.</w:t>
      </w:r>
      <w:r>
        <w:t xml:space="preserve"> </w:t>
      </w:r>
      <w:r>
        <w:t xml:space="preserve">[22] De memoria, sin verificar: pagos en acciones, precio de mediados de oct-2025, CET1 de 2024 (20-F) y beneficio neto de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2026-10-14T15:14:25Z</dcterms:created>
  <dcterms:modified xsi:type="dcterms:W3CDTF">2026-10-14T15:14:25Z</dcterms:modified>
</cp:coreProperties>
</file>

<file path=docProps/custom.xml><?xml version="1.0" encoding="utf-8"?>
<Properties xmlns="http://schemas.openxmlformats.org/officeDocument/2006/custom-properties" xmlns:vt="http://schemas.openxmlformats.org/officeDocument/2006/docPropsVTypes"/>
</file>